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 2022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По итогам 2022 года </w:t>
      </w:r>
      <w:r>
        <w:rPr>
          <w:rFonts w:cs="Times New Roman" w:ascii="Times New Roman" w:hAnsi="Times New Roman"/>
          <w:sz w:val="28"/>
          <w:szCs w:val="28"/>
        </w:rPr>
        <w:t xml:space="preserve">динамику роста показали: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сельское хозяйство,</w:t>
      </w:r>
      <w:r>
        <w:rPr>
          <w:rFonts w:cs="Times New Roman" w:ascii="Times New Roman" w:hAnsi="Times New Roman"/>
          <w:sz w:val="28"/>
          <w:szCs w:val="28"/>
        </w:rPr>
        <w:t xml:space="preserve"> строительство, розничная и оптовая торговля, общественное питание, пассажирооборот и грузооборот автомобильного транспорта. Вместе с тем, наблюдается снижение объема платных услуг населению, промышленного производства и инвестиций в основной капитал.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Оборот организаций по всем видам экономической деятельности за 2022 год составил 510 706,6 млн рублей, увеличившись на 11,4% к 2021 году в действующих ценах.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Индекс промышленного производства составил 84,5%. Отрицательная динамика наблюдается: в добывающей промышленности (-4,8%), в обрабатывающих производствах (-19,3%), в деятельности организаций по обеспечению электрической энергией, газом и паром; кондиционированию воздуха (-1,3%), осуществляющих водоснабжение, водоотведение, организацию сбора и утилизации отходов, ликвидации загрязнений (-25,0%).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Предприятиями, осуществляющими добычу полезных ископаемых, отгружено продукции на 30 311,0 млн рублей (91,6% в действующих ценах к 2021 году). Индекс производства составил 95,2%, что обусловлено снижением добычи металлических руд на 4,4%.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Снижена добыча золота. </w:t>
      </w:r>
      <w:r>
        <w:rPr>
          <w:rFonts w:cs="Times New Roman" w:ascii="Times New Roman" w:hAnsi="Times New Roman"/>
          <w:sz w:val="28"/>
          <w:szCs w:val="28"/>
        </w:rPr>
        <w:t xml:space="preserve">Временно законсервированы месторождения Агинское, Южно-Агинское и Оганчинское (АО «Камголд»).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Добыча никеля ЗАО НПК «Геотехнология» в 2022 году не производилась в связи с проведением на месторождении Шануч горно-подготовительных работ. Предприятие планирует строительство флотационной обогатительной фабрики для более глубокой переработки никелевой руды, срок ввода – 2025 год.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обрабатывающих производствах отгружено товаров собственного производства на сумму 127 981,3 млн рублей или 100,4% по отношению к 2021 году в действующих ценах, индекс производства составил 80,7%.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Индекс производства пищевых продуктов составил 80,0% к 2021 году, объем отгруженной продукции составил 120 184,7 млн рублей (98,4% к 2021 году).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Рыбы переработанной и консервированной, ракообразных и моллюсков произведено 997,2 тыс. тонн или 86,6% к 2021 году.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Рыбодобывающими предприятиями Камчатского края выловлено 1 405,1 тыс. тонн рыбы и морепродуктов (84,7% к 2021 году).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вылова по тихоокеанским лососям составило – 69,4%, по треске – 21,6%, по наваге – 7,0%, кальмару – 19,1%. Увеличение объемов вылова отмечается по минтаю – 111,3%, сельди – 117,5%, камбале – 110,4%.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молока на 6,2%, мяса крупного рогатого скота на 3,3%, мяса и субпродуктов пищевых домашней птицы на 4,9%, мяса и субпродуктов на 3,2%, сыров и творога на 9,4%, хлебобулочных изделий на 1,1% и кондитерских изделий на 8,3% к 2021 году.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отмечалось в производстве полуфабрикатов мясных и мясосодержащих на 6,6%, колбасных изделий на 6,4%.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Наблюдается снижение производства по ремонту и монтажу машин и оборудования (судоремонт) на 7,5%.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25 842,6 млн рублей, что составляет 123,4% к 2021 году в действующих ценах, индекс производства составил 98,7%. Производство электроэнергии снизилось на 0,5% к 2021 году и составило 2 017,2 млн кВт-ч. Сокращено потребление электроэнергии предприятиями рыбоперерабатывающей промышленности. </w:t>
      </w:r>
      <w:r>
        <w:rPr>
          <w:rFonts w:cs="Times New Roman" w:ascii="Times New Roman" w:hAnsi="Times New Roman"/>
          <w:sz w:val="28"/>
          <w:szCs w:val="28"/>
        </w:rPr>
        <w:t xml:space="preserve">Производство тепловой энергии, пара и горячей воды уменьшилось на 2,3% (произведено </w:t>
      </w:r>
      <w:r>
        <w:rPr>
          <w:rFonts w:cs="Times New Roman CYR" w:ascii="Times New Roman CYR" w:hAnsi="Times New Roman CYR"/>
          <w:sz w:val="28"/>
          <w:szCs w:val="28"/>
        </w:rPr>
        <w:t>3 523,1</w:t>
      </w:r>
      <w:r>
        <w:rPr>
          <w:rFonts w:cs="Times New Roman" w:ascii="Times New Roman" w:hAnsi="Times New Roman"/>
          <w:sz w:val="28"/>
          <w:szCs w:val="28"/>
        </w:rPr>
        <w:t xml:space="preserve"> тыс. Гкал.),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снижено потребление теплоэнергии населением.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3 740,3 млн рублей (127,4% к 2021 году в действующих ценах), индекс производства составил 75,0%. Отмечается снижение по забору, очистке и распределению воды на 24,2%, сбору и обработке сточных вод на 29,9%.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Отмечается уменьшение потребления услуг холодного водоснабжения предприятиями рыбоперерабатывающей промышленности и населением. Сбор, обработка и утилизация отходов; обработка вторичного сырья снижены на 23,1%.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Индекс производства продукции сельского хозяйства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за 2022 год составил 100,9% к 2021 году.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  <w:shd w:fill="auto" w:val="clear"/>
        </w:rPr>
        <w:t>В сельск</w:t>
      </w:r>
      <w:r>
        <w:rPr>
          <w:rFonts w:cs="Times New Roman CYR" w:ascii="Times New Roman CYR" w:hAnsi="Times New Roman CYR"/>
          <w:sz w:val="28"/>
          <w:szCs w:val="28"/>
        </w:rPr>
        <w:t>охозяйственных организациях Камчатского края ситуация в сфере животноводства и растениеводства сложилась следующим образом: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мяса составило 9,4 тыс. тонн (97,8% к 2021 году);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 xml:space="preserve">производство яйца увеличилось на 17,0% 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к 2021 году, яйценоскость кур- несушек возросла на 6,4%;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молока составило 22,7 тыс. тонн (99,9% к 2021 году). Средний надой молока на одну корову увеличился на 1,3%;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валовой сбор картофеля составил 41,1 тыс. тонн (104,9% к 2021 году);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валовой сбор овощей (открытого и закрытого грунта) составил 13,1 тыс. тонн (93,0% к 2021 году), рост урожайности овощей открытого грунта составил 34,5% к 2021 году.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Объём инвестиций в основной капитал за 2022 год составил 90 935 млн рублей или 98,5% к 2021 году (в сопоставимой оценке).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отчетном периоде производилась реализация таких инвестиционных проектов как: строительство ООО «Новый дом» гостиничного комплекса на ул. Ленинградская в городе Петропавловске-Камчатском, строительство морского перегрузочного комплекса сжиженного природного газа в Камчатском крае; строительство Камчатской краевой больницы; аэропортового комплекса Петропавловск-Камчатский (Елизово), реконструкция объектов терминала «Сероглазка».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Объём работ, выполненных по виду экономической деятельности «Строительство» в 2022 году составил 40 189,6 млн рублей, что в сопоставимой оценке составляет 109,2% к показателю 2021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 обусловлен реализацией значимых для Камчатского края проектов, строительство которых осуществляется в рамках федеральной адресной инвестиционной программы: жилые дома в г. Петропавловске-Камчатском, комплекс многоквартирных жилых домов в г. Вилючинске; строительство Камчатской краевой больницы; строительство общеобразовательной школы по проспекту Рыбаков в г. Петропавловск-Камчатский; строительство подъезда к аэровокзалу в г. Елизово; строительство детского сада в жилом районе Рыбачий в г. Вилючинск на 260 мест.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2022 год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67,4 тыс. кв. метров (112,2% к аналогичному периоду 2021 году), в том числе, построенных населением за счет собственных и привлеченных средств 50,3 тыс. кв. метров (122,2% к аналогичному периоду 2021 года).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22 626,3 млн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2022 году предусмотрены в объеме 152,7 млн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ассигнования на объекты и мероприятия, не включенные в федеральные целевые программы (непрограммная часть ФАИП) в 2022 году составили 22 473,6 млн рублей, в том числе по направлениям: «здравоохранение» – 2 366,9 млн рублей, «морской транспорт» – 13 501,1 млн рублей, «воздушный транспорт» – 3 460,7 млн рублей, «коммунальное строительство» – 2 726,2 млн рублей, «водное хозяйство и охрана окружающей среды» – 419,6 млн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 годов» (далее – Инвестиционная программа).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2022 году на реализацию инвестиционных мероприятий предусмотрены ассигнования за счет всех источников финансирования в сумме 14 952,3 млн рублей, в том числе за счет средств федерального бюджета – 9 760,7 млн рублей (65,3%), краевого бюджета – 3 867,7 млн рублей (25,9%), Фонда содействия реформированию ЖКХ – 1 172,7 млн рублей (7,8%).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Инвестиционной программы в 2022 году осуществлялось строительство значимых для Камчатского края объектов, в том числе: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</w:t>
      </w:r>
      <w:r>
        <w:rPr>
          <w:rFonts w:cs="Times New Roman" w:ascii="Times New Roman" w:hAnsi="Times New Roman"/>
          <w:sz w:val="28"/>
          <w:szCs w:val="28"/>
        </w:rPr>
        <w:t>жилых домов в г. Петропавловске-Камчатском, комплекса многоквартирных жилых домов в г. Вилючинске;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</w:t>
      </w:r>
      <w:r>
        <w:rPr>
          <w:rFonts w:cs="Times New Roman" w:ascii="Times New Roman" w:hAnsi="Times New Roman"/>
          <w:sz w:val="28"/>
          <w:szCs w:val="28"/>
        </w:rPr>
        <w:t>Камчатской краевой больницы;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</w:t>
      </w:r>
      <w:r>
        <w:rPr>
          <w:rFonts w:cs="Times New Roman" w:ascii="Times New Roman" w:hAnsi="Times New Roman"/>
          <w:sz w:val="28"/>
          <w:szCs w:val="28"/>
        </w:rPr>
        <w:t>подъезда к аэровокзалу в г. Елизово от федеральной дороги А</w:t>
        <w:noBreakHyphen/>
        <w:t>401;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</w:t>
      </w:r>
      <w:r>
        <w:rPr>
          <w:rFonts w:cs="Times New Roman" w:ascii="Times New Roman" w:hAnsi="Times New Roman"/>
          <w:sz w:val="28"/>
          <w:szCs w:val="28"/>
        </w:rPr>
        <w:t>детского сада по ул. Вилюйская, 60 в г. Петропавловске-Камчатском на 160 мест;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</w:t>
      </w:r>
      <w:r>
        <w:rPr>
          <w:rFonts w:cs="Times New Roman" w:ascii="Times New Roman" w:hAnsi="Times New Roman"/>
          <w:sz w:val="28"/>
          <w:szCs w:val="28"/>
        </w:rPr>
        <w:t>строительство Камчатского театра кукол в г. Петропавловске-Камчатском на 350 мест;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</w:t>
      </w:r>
      <w:r>
        <w:rPr>
          <w:rFonts w:cs="Times New Roman" w:ascii="Times New Roman" w:hAnsi="Times New Roman"/>
          <w:sz w:val="28"/>
          <w:szCs w:val="28"/>
        </w:rPr>
        <w:t>спортивного зала единоборств в г. Елизово. Срок окончания работ по контракту – 10.06.2023 году. По информации Министерства спорта Камчатского края техническая готовность объекта – 87%.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ahoma" w:cs="Lohit Devanagari"/>
          <w:color w:val="000000"/>
          <w:sz w:val="28"/>
          <w:szCs w:val="20"/>
          <w:lang w:eastAsia="zh-CN" w:bidi="hi-IN"/>
        </w:rPr>
      </w:pPr>
      <w:r>
        <w:rPr>
          <w:rFonts w:eastAsia="Tahoma" w:cs="Lohit Devanagari" w:ascii="Times New Roman" w:hAnsi="Times New Roman"/>
          <w:color w:val="000000"/>
          <w:sz w:val="28"/>
          <w:szCs w:val="20"/>
          <w:lang w:eastAsia="zh-CN" w:bidi="hi-IN"/>
        </w:rPr>
        <w:t>В отчетном году: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ahoma" w:cs="Lohit Devanagari"/>
          <w:color w:val="000000"/>
          <w:sz w:val="28"/>
          <w:szCs w:val="20"/>
          <w:lang w:eastAsia="zh-CN" w:bidi="hi-IN"/>
        </w:rPr>
      </w:pPr>
      <w:r>
        <w:rPr>
          <w:rFonts w:cs="Times New Roman" w:ascii="Times New Roman" w:hAnsi="Times New Roman"/>
          <w:sz w:val="28"/>
          <w:szCs w:val="28"/>
        </w:rPr>
        <w:t>– </w:t>
      </w:r>
      <w:r>
        <w:rPr>
          <w:rFonts w:eastAsia="Tahoma" w:cs="Lohit Devanagari" w:ascii="Times New Roman" w:hAnsi="Times New Roman"/>
          <w:color w:val="000000"/>
          <w:sz w:val="28"/>
          <w:szCs w:val="20"/>
          <w:lang w:eastAsia="zh-CN" w:bidi="hi-IN"/>
        </w:rPr>
        <w:t>завершено строительство общеобразовательной школы по проекту Рыбаков в г. Петропавловск-Камчатский на 650 мест. По информации Минстроя Камчатского края 27.10.2022 получено разрешение на ввод объекта в эксплуатацию;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ahoma" w:cs="Lohit Devanagari"/>
          <w:color w:val="000000"/>
          <w:sz w:val="28"/>
          <w:szCs w:val="20"/>
          <w:lang w:eastAsia="zh-CN" w:bidi="hi-IN"/>
        </w:rPr>
      </w:pPr>
      <w:r>
        <w:rPr>
          <w:rFonts w:cs="Times New Roman" w:ascii="Times New Roman" w:hAnsi="Times New Roman"/>
          <w:sz w:val="28"/>
          <w:szCs w:val="28"/>
        </w:rPr>
        <w:t>– 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eastAsia="Tahoma" w:cs="Lohit Devanagari" w:ascii="Times New Roman" w:hAnsi="Times New Roman"/>
          <w:color w:val="000000"/>
          <w:sz w:val="28"/>
          <w:szCs w:val="20"/>
          <w:lang w:eastAsia="zh-CN" w:bidi="hi-IN"/>
        </w:rPr>
        <w:t xml:space="preserve">веден в эксплуатацию Детский сад в жилом районе Рыбачий в г. Вилючинск на 260 мест;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ahoma" w:cs="Lohit Devanagari"/>
          <w:color w:val="000000"/>
          <w:sz w:val="28"/>
          <w:szCs w:val="20"/>
          <w:lang w:eastAsia="zh-CN" w:bidi="hi-IN"/>
        </w:rPr>
      </w:pPr>
      <w:r>
        <w:rPr>
          <w:rFonts w:eastAsia="Tahoma" w:cs="Lohit Devanagari" w:ascii="Times New Roman" w:hAnsi="Times New Roman"/>
          <w:color w:val="000000"/>
          <w:sz w:val="28"/>
          <w:szCs w:val="20"/>
          <w:lang w:eastAsia="zh-CN" w:bidi="hi-IN"/>
        </w:rPr>
        <w:t>– </w:t>
      </w:r>
      <w:r>
        <w:rPr>
          <w:rFonts w:eastAsia="Tahoma" w:cs="Lohit Devanagari" w:ascii="Times New Roman" w:hAnsi="Times New Roman"/>
          <w:color w:val="000000"/>
          <w:sz w:val="28"/>
          <w:szCs w:val="20"/>
          <w:lang w:eastAsia="zh-CN" w:bidi="hi-IN"/>
        </w:rPr>
        <w:t>завершена реализация мероприятия «Реконструкция инфраструктуры горнолыжного комплекса Камчатского края. 2-ая очередь. Горнолыжная база «Эдельвейс», г. Петропавловск-Камчатский. Строительство системы искусственного снегообразования и системы искусственного освещения трасс, строительство скоростной канатной дороги гондольного типа и буксировочных канатных дорог. Строительство СИС – система искусственного снегообразования», 29.12.2022г. получено разрешение на ввод объекта в эксплуатацию.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ahoma" w:cs="Lohit Devanagari"/>
          <w:color w:val="000000"/>
          <w:sz w:val="28"/>
          <w:szCs w:val="20"/>
          <w:lang w:eastAsia="zh-CN" w:bidi="hi-IN"/>
        </w:rPr>
      </w:pPr>
      <w:r>
        <w:rPr>
          <w:rFonts w:eastAsia="Tahoma" w:cs="Lohit Devanagari" w:ascii="Times New Roman" w:hAnsi="Times New Roman"/>
          <w:color w:val="000000"/>
          <w:sz w:val="28"/>
          <w:szCs w:val="20"/>
          <w:lang w:eastAsia="zh-CN" w:bidi="hi-IN"/>
        </w:rPr>
        <w:t>Фактический объем финансирования за отчетный период составил 13 228,7 млн рублей (88,5% от предусмотренного объема), в том числе за счет средств федерального бюджета – 9 001,2 млн рублей (92,2%), за счет средств краевого бюджета – 3 330,4 млн рублей (86,1%), за счет Фонда содействия реформированию ЖКХ – 746,4 млн рублей (63,7%).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ahoma" w:cs="Lohit Devanagari"/>
          <w:color w:val="000000"/>
          <w:sz w:val="28"/>
          <w:szCs w:val="20"/>
          <w:lang w:eastAsia="zh-CN" w:bidi="hi-IN"/>
        </w:rPr>
      </w:pPr>
      <w:r>
        <w:rPr>
          <w:rFonts w:eastAsia="Tahoma" w:cs="Lohit Devanagari" w:ascii="Times New Roman" w:hAnsi="Times New Roman"/>
          <w:color w:val="000000"/>
          <w:sz w:val="28"/>
          <w:szCs w:val="20"/>
          <w:lang w:eastAsia="zh-CN" w:bidi="hi-IN"/>
        </w:rPr>
        <w:t>По состоянию на 01.01.2023 освоение составило 13 097,3 млн рублей (87,6 % от предусмотренного объема), в том числе за счет средств федерального бюджета – 8 876,5 млн рублей (90,9%), за счет средств краевого бюджета – 3 328,8 млн рублей (86,1%), за счет Фонда содействия реформированию ЖКХ – 741,9 млн рублей (63,3%).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секторе потребительского рынка в 2022 году сложилась следующая ситуация: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розничной торговли составил 86 462,2 млн рублей (100,6% к 2021 году в сопоставимых ценах) и на 93,8% сформирован торгующими организациями и индивидуальными предпринимателями, осуществляющими деятельность вне рынка;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общественного питания составил 8 219,0 млн рублей (101,2% к 2021 году в сопоставимых ценах);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платных услуг населению края было оказано на сумму 31 535,8 млн рублей (98,2% в сопоставимых ценах к 2021 году).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74,0% общего объема потребляемых услуг. Удельный вес бытовых услуг в общем объеме платных услуг населению составил 6,1%. В 2022 году населению края было оказано бытовых услуг на 1933,7 млн рублей, что в сопоставимых ценах на 4,4% больше, чем в 2021 году.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Пассажирооборот автомобильного транспорта за 2022 год составил 281,8 млн пасс.-км (101,7% к 2021 году). Число перевезенных пассажиров автомобильным транспортом составило 34,7 млн человек (101,6% к 2021 году).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Грузооборот автомобильного транспорта за 2022 год составил 25,1 млн т-км (116,3% к 2021 году).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Объем перевезенного груза на морском транспорте составил 1 225,5 тыс. тонн (115,8% к 2021 году). Грузооборот морского транспорта увеличен на 1,6% и составил 2 934,2 млн т</w:t>
        <w:noBreakHyphen/>
        <w:t xml:space="preserve">км. В каботажном плавании рост составил 7,4%, в заграничном плавании произошло снижение на 30,5% к 2021 году. 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Среднегодовой показатель индекса потребительских цен в 2022 году составил 111,9% (112,2 % к декабрю 2021 года), в том числе 116,5% на продовольственные товары, 113,2% на непродовольственные товары и 103,7% на услуги.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  <w:shd w:fill="auto" w:val="clear"/>
        </w:rPr>
        <w:t>Среднемесячная номинальная начисленная заработная плата одного работника за 2022 год составила 103 529,5 рублей (106,9% к 2021 году). Отмечено снижение реальной заработной платы на 4,5% к 2021 году.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Реальные денежные доходы в 2022 году сложились на уровне 96,7% к 2021 году. Реальные располагаемые денежные доходы составили 98,0%.</w:t>
      </w:r>
    </w:p>
    <w:p>
      <w:pPr>
        <w:pStyle w:val="Normal"/>
        <w:spacing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Размер среднедушевого дохода в 2022 году составил 70 653,0 руб. Соотношение среднедушевого денежного дохода с величиной прожиточного минимума – 291,1%.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Потребительские расходы сложились в размере 43 991,0 рублей в среднем на душу населения. На цели потребления населением направлено 68,8% среднедушевого дохода.</w:t>
      </w:r>
    </w:p>
    <w:p>
      <w:pPr>
        <w:pStyle w:val="Normal"/>
        <w:spacing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На 01.01.2023 просроченная задолженность по заработной плате составила 3,2 млн рублей, в том числе: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1) МУП «Автодор» – 2,5 млн рублей;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2) МУП Карагинского района «Портпункт «Оссора» – 0,7 млн рублей.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Численность официально зарегистрированных безработных по состоянию на 01.01.2023 составила 1,8 тыс. человек. Уровень регистрируемой безработицы – 1,0% (на 01.01.2022 – 1,4%). Напряженность на рынке труда составила 0,4 человека на одну заявленную работодателями вакансию (01.01.2022 г. – 0,5).</w:t>
      </w:r>
    </w:p>
    <w:p>
      <w:pPr>
        <w:pStyle w:val="Normal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  <w:shd w:fill="auto" w:val="clear"/>
        </w:rPr>
        <w:t>По состоянию на 1 января 2023 года численность населения с учетом итогов ВПН-2020 составила 288,7 тыс. человек. За год численность населения сократилась на 3 844 человека за счет миграционной (-2963 человека) и естественной (-881 человек) убыли населения.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Сальдированный финансовый результат деятельности учтенного круга крупных и средних предприятий за 2022 год составил 41 229,7 млн рублей, что меньше 2021 года на 29,3%.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 – 26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203,1 млн рублей; «добыча полезных ископаемых»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3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954,2 млн рублей; «обрабатывающие производства»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4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576,2 млн рублей; «транспортировка и хранение»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1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767,8 млн рублей; «торговля оптовая и розничная; ремонт автотранспортных средств и мотоциклов»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2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987,1 млн рублей; «обеспечение электрической энергией, газом и паром»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1 273,1 млн рублей; «строительство»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596,5 млн рублей; «водоснабжение, водоотведение, сбор и утилизация отходов, деятельность по ликвидации загрязнений»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8,4 млн рублей; «деятельность по операциям с недвижимым имуществом»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160,2 млн рублей; «деятельность гостиниц и предприятий общественного питания» – 45,1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Удельный вес убыточных организаций в общем числе организаций составил 26,3% от их общего числа.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Дебиторская задолженность по состоянию на 01.01.2023 года составила 108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948,3 млн рублей, что на 4,9 выше, чем на 01.01.2022 год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Удельный вес просроченной дебиторской задолженности в общем объеме задолженности на 01.01.2023 год составил 6,3%. 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Суммарный объем просроченной дебиторской задолженности по сравнению с 2021 годом снизился на 16,9% и составил 6 896,5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Кредиторская задолженность по состоянию на 01.01.2023 год составила 101 551,9 млн рублей, по сравнению с 2021 годом увеличилась на 9,8%. 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Удельный вес просроченной кредиторской задолженности в общем объеме задолженности на 01.01.2023 год составил 1,9%, суммарный объем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 xml:space="preserve">1 927,9 млн рублей. 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Производство важнейших видов промышленной продукции по Камчатскому краю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964"/>
        <w:gridCol w:w="1416"/>
        <w:gridCol w:w="1241"/>
        <w:gridCol w:w="1284"/>
        <w:gridCol w:w="2268"/>
      </w:tblGrid>
      <w:tr>
        <w:trPr>
          <w:trHeight w:val="12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Единица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2022 г. в % к 2021 г. 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млн.кВт/ч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2 026,8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2 017,2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99,5</w:t>
            </w:r>
          </w:p>
        </w:tc>
      </w:tr>
      <w:tr>
        <w:trPr>
          <w:trHeight w:val="5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тыс.Гкал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3 605,0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3 523,1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97,7</w:t>
            </w:r>
          </w:p>
        </w:tc>
      </w:tr>
      <w:tr>
        <w:trPr>
          <w:trHeight w:val="41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млн.куб.м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76,2</w:t>
            </w:r>
          </w:p>
        </w:tc>
      </w:tr>
      <w:tr>
        <w:trPr>
          <w:trHeight w:val="40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3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плотных куб.м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68,5</w:t>
            </w:r>
          </w:p>
        </w:tc>
      </w:tr>
      <w:tr>
        <w:trPr>
          <w:trHeight w:val="44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куб.м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26,8</w:t>
            </w:r>
          </w:p>
        </w:tc>
      </w:tr>
      <w:tr>
        <w:trPr>
          <w:trHeight w:val="41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м</w:t>
            </w: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122,2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105,6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103,3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93,6</w:t>
            </w:r>
          </w:p>
        </w:tc>
      </w:tr>
      <w:tr>
        <w:trPr>
          <w:trHeight w:val="427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106,2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109,4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101,1</w:t>
            </w:r>
          </w:p>
        </w:tc>
      </w:tr>
      <w:tr>
        <w:trPr>
          <w:trHeight w:val="55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108,3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95,1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дкл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930,7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968,6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104,1</w:t>
            </w:r>
          </w:p>
        </w:tc>
      </w:tr>
      <w:tr>
        <w:trPr>
          <w:trHeight w:val="41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1 151,8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997,2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86,6</w:t>
            </w:r>
          </w:p>
        </w:tc>
      </w:tr>
      <w:tr>
        <w:trPr>
          <w:trHeight w:val="3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туб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90,1</w:t>
            </w:r>
          </w:p>
        </w:tc>
      </w:tr>
    </w:tbl>
    <w:p>
      <w:pPr>
        <w:pStyle w:val="Normal"/>
        <w:spacing w:lineRule="auto" w:line="240" w:before="40" w:after="0"/>
        <w:ind w:firstLine="425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4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Макроэкономические показатели по Камчатскому 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1012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740"/>
        <w:gridCol w:w="1395"/>
        <w:gridCol w:w="1694"/>
        <w:gridCol w:w="2294"/>
      </w:tblGrid>
      <w:tr>
        <w:trPr>
          <w:tblHeader w:val="true"/>
          <w:trHeight w:val="5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021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2022 г. в % к 2021 г. (в сопоставимых условиях)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8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32 684,6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30 311,0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95,2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76,2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28 076,6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25 673,5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95,6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прочих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1 039,5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1 525,0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113,0</w:t>
            </w:r>
          </w:p>
        </w:tc>
      </w:tr>
      <w:tr>
        <w:trPr>
          <w:trHeight w:val="158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155 338,5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127 981,3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80,7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147 974,3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120 184,7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994,9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1 132,7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99,3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22,8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190,7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196,1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85,0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81,9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180,9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187,9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98,2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 производство прочей неметаллической минеральной продукции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594,2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556,4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99,3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3 930,9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4 399,1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92,5</w:t>
            </w:r>
          </w:p>
        </w:tc>
      </w:tr>
      <w:tr>
        <w:trPr>
          <w:trHeight w:val="245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22 755,4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25 842,6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98,7</w:t>
            </w:r>
          </w:p>
        </w:tc>
      </w:tr>
      <w:tr>
        <w:trPr>
          <w:trHeight w:val="245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3 426,8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3 740,3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75,0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78 471,3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45 319,2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43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123,6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58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Ввод жилья, тыс. 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112,2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11 077,1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12 413,5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884" w:leader="none"/>
              </w:tabs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100,9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производства продукции животноводства: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мясо, тыс. тонн (живой вес)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97,8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молоко, тыс. тонн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99,9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яйца, млн штук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117,0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31 172,2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31 535,8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98,2</w:t>
            </w:r>
          </w:p>
        </w:tc>
      </w:tr>
      <w:tr>
        <w:trPr>
          <w:trHeight w:val="158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него: бытовые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1 728,3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1 933,7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104,4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74 835,7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86 462,2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100,6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6 786,9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8 219,0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101,2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93 880,3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103 529,5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95,5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 по видам деятельности: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местных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бюджета субъекта РФ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557" w:leader="none"/>
              </w:tabs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557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trHeight w:val="245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116,3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277,2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281,8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101,7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74 199,2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27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41 229,7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55,6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50 575,8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26 203,1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51,8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8 649,3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3 954,2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45,7</w:t>
            </w:r>
          </w:p>
        </w:tc>
      </w:tr>
      <w:tr>
        <w:trPr>
          <w:trHeight w:val="130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7 760,8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4 576,2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58,9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2 901,6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1 273,1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43,9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8,4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5,5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-62,6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596,5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2 987,1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2 645,3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1 767,8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66,8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45,1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146,2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160,2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auto" w:val="clear"/>
              </w:rPr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дебиторская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103 840,6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108 948,3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104,9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8 298,8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6 896,5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83,1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кредиторская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92 492,1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101 551,9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109,8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2 312,3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1 927,9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83,4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Численность населения, тыс. чел. (среднегодовая)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312,2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290,8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93,1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-1 392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-853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61,3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2 429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-2 993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98,5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82,8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 т. ч. официально зарегистрированных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73,2</w:t>
            </w:r>
          </w:p>
        </w:tc>
      </w:tr>
      <w:tr>
        <w:trPr>
          <w:trHeight w:val="159" w:hRule="atLeast"/>
          <w:cantSplit w:val="true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113" w:right="0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Примечание: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113" w:right="0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…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113" w:right="0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1 - январь-сентябрь 2022 года;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113" w:right="0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2 - январь-сентябрь 2022 года к январю-сентябрю 2021 года.</w:t>
      </w:r>
    </w:p>
    <w:p>
      <w:pPr>
        <w:pStyle w:val="Normal"/>
        <w:shd w:val="clear" w:color="auto" w:fill="FFFFFF"/>
        <w:spacing w:lineRule="auto" w:line="240" w:before="0" w:after="0"/>
        <w:ind w:left="-426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83444848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5e4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8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d5ab3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1d5ab3"/>
    <w:rPr>
      <w:sz w:val="20"/>
      <w:szCs w:val="20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1d5ab3"/>
    <w:rPr>
      <w:b/>
      <w:bCs/>
      <w:sz w:val="20"/>
      <w:szCs w:val="20"/>
    </w:rPr>
  </w:style>
  <w:style w:type="character" w:styleId="Bxmessengerajax" w:customStyle="1">
    <w:name w:val="bx-messenger-ajax"/>
    <w:basedOn w:val="DefaultParagraphFont"/>
    <w:qFormat/>
    <w:rsid w:val="007949cb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8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1d5a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1d5ab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AD8F-DFA6-43CB-822E-74658F3B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LibreOffice/7.4.4.2$Linux_X86_64 LibreOffice_project/40$Build-2</Application>
  <AppVersion>15.0000</AppVersion>
  <Pages>10</Pages>
  <Words>2966</Words>
  <Characters>18818</Characters>
  <CharactersWithSpaces>21502</CharactersWithSpaces>
  <Paragraphs>428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2023-02-02T21:13:00Z</dcterms:created>
  <dc:creator>Киселев Виктор Вадимович</dc:creator>
  <dc:description/>
  <dc:language>ru-RU</dc:language>
  <cp:lastModifiedBy/>
  <cp:lastPrinted>2023-01-26T01:21:00Z</cp:lastPrinted>
  <dcterms:modified xsi:type="dcterms:W3CDTF">2023-05-12T10:29:04Z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