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итогах социально-экономического развития Камчатского края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 январь-март 2023 года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 январе-марте 2023 года </w:t>
      </w:r>
      <w:r>
        <w:rPr>
          <w:rFonts w:cs="Times New Roman" w:ascii="Times New Roman" w:hAnsi="Times New Roman"/>
          <w:sz w:val="28"/>
          <w:szCs w:val="28"/>
        </w:rPr>
        <w:t>динамику роста показали: промышленное производство, ввод в действие жилых домов, оборот оптовой торговли, пассажирооборот автомобильного транспорта.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тем, наблюдается снижение объема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строительных работ</w:t>
      </w:r>
      <w:r>
        <w:rPr>
          <w:rFonts w:cs="Times New Roman" w:ascii="Times New Roman" w:hAnsi="Times New Roman"/>
          <w:sz w:val="28"/>
          <w:szCs w:val="28"/>
        </w:rPr>
        <w:t>, общественного питания, грузо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оборота автомобильного транспорта, платных услуг населению, розничной торговли.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Оборот организаций по всем видам экономической деятельности за январь- март 2023 года составил 124 279,7 млн рублей, вырос на 3,2% к январю-марту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Индекс промышленного производства составил 115,8%.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Рост в добывающей промышленности составил 41,8% к январю-марту 2022 года, в обрабатывающих производствах 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Calibri" w:cs="Times New Roman CYR" w:ascii="Times New Roman CYR" w:hAnsi="Times New Roman CYR"/>
          <w:sz w:val="28"/>
          <w:szCs w:val="28"/>
          <w:shd w:fill="FFFFFF" w:val="clear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15,1%, в деятельности организаций по обеспечению</w:t>
      </w:r>
      <w:r>
        <w:rPr>
          <w:rFonts w:cs="Times New Roman CYR" w:ascii="Times New Roman CYR" w:hAnsi="Times New Roman CYR"/>
          <w:sz w:val="28"/>
          <w:szCs w:val="28"/>
        </w:rPr>
        <w:t xml:space="preserve"> электрической энергией, газом 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паром; кондиционированию воздуха</w:t>
      </w:r>
      <w:r>
        <w:rPr/>
        <w:t> 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Calibri" w:cs="Times New Roman CYR" w:ascii="Times New Roman CYR" w:hAnsi="Times New Roman CYR"/>
          <w:sz w:val="28"/>
          <w:szCs w:val="28"/>
          <w:shd w:fill="FFFFFF" w:val="clear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5,0%, в водоснабжении, водоотведении, организации сбора и утилизации отходов, ликвидации загрязнений</w:t>
      </w:r>
      <w:r>
        <w:rPr>
          <w:rFonts w:cs="Times New Roman CYR" w:ascii="Times New Roman CYR" w:hAnsi="Times New Roman CYR"/>
          <w:sz w:val="28"/>
          <w:szCs w:val="28"/>
        </w:rPr>
        <w:t xml:space="preserve"> 0,7%.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7 091,3 млн рублей (82,9% к январю-марту 2022 года в действующих ценах). Индекс производства составил 141,8%, что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обусловлено ростом</w:t>
      </w:r>
      <w:r>
        <w:rPr>
          <w:rFonts w:cs="Times New Roman CYR" w:ascii="Times New Roman CYR" w:hAnsi="Times New Roman CYR"/>
          <w:sz w:val="28"/>
          <w:szCs w:val="28"/>
        </w:rPr>
        <w:t xml:space="preserve"> добычи металлических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руд в 1,5 раза. Увеличена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добыча золота и серебра такими предприятиями как: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  <w:shd w:fill="FFFFFF" w:val="clear"/>
        </w:rPr>
        <w:t>АО «Аметистовое»,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 xml:space="preserve"> АО «ТСГ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Асача»,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>АО «</w:t>
      </w:r>
      <w:r>
        <w:rPr>
          <w:rFonts w:cs="Times New Roman" w:ascii="Times New Roman" w:hAnsi="Times New Roman"/>
          <w:color w:val="000000"/>
          <w:sz w:val="28"/>
          <w:szCs w:val="28"/>
        </w:rPr>
        <w:t>СиГМА».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обрабатывающих производствах отгружено товаров собственного производства на сумму 33 534,2 млн рублей или 117,8% по отношению к январю-марту 2022 года, индекс производства составил 115,1%.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Индекс производства пищевых продуктов составил 111,9% к январю-марту 2022 года, объем отгруженной продукции составил 31 037,0 млн рублей (113,9% к январю-марту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311,3</w:t>
      </w:r>
      <w:r>
        <w:rPr>
          <w:rFonts w:cs="Times New Roman CYR" w:ascii="Times New Roman CYR" w:hAnsi="Times New Roman CYR"/>
          <w:sz w:val="28"/>
          <w:szCs w:val="28"/>
        </w:rPr>
        <w:t xml:space="preserve"> тыс. тонн или 118,1% к январю-марту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Рыбодобывающими предприятиями Камчатского края выловлено 451,8 тыс. тонн рыбы 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морепродуктов (115,4%</w:t>
      </w:r>
      <w:r>
        <w:rPr>
          <w:rFonts w:cs="Times New Roman CYR" w:ascii="Times New Roman CYR" w:hAnsi="Times New Roman CYR"/>
          <w:sz w:val="28"/>
          <w:szCs w:val="28"/>
        </w:rPr>
        <w:t xml:space="preserve"> к январю-марту 2022 года).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Увеличение объемов вылова отмечается по: минтаю +14,5%, крабу +34,0%, камбале +23,0% и сельди в 1,8 раза.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молока на 3,3%, мяса крупного рогатого скота на 2,5%, мяса и субпродуктов пищевых домашней птицы в 1,5 раза, мяса и субпродуктов на 10,6%, полуфабрикатов мясных и мясосодержащих в 1,6 раза, сыров и творога на 3,7%.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отмечалось в производстве колбасных изделий на 15,3%, хлебобулочных изделий на 8,7% и кондитерских изделий на 7,3% к январю-марту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Наблюдается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рост производства по ремонту и монтажу машин и оборудования (судоремонт) в 2,5 раза к январю-марту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color w:val="151515"/>
          <w:sz w:val="23"/>
          <w:szCs w:val="23"/>
          <w:shd w:fill="FBFBFB" w:val="clear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8 160,5 млн рублей, что составляет 116,9% к январю-марту 2022 года, индекс производства составил 105,0%. Производство электроэнергии увеличилось на 6,2% к январю-марту 2022 года и составило 595,3 млн кВт-ч. </w:t>
      </w:r>
      <w:r>
        <w:rPr>
          <w:rFonts w:cs="Times New Roman" w:ascii="Times New Roman" w:hAnsi="Times New Roman"/>
          <w:sz w:val="28"/>
          <w:szCs w:val="28"/>
        </w:rPr>
        <w:t xml:space="preserve">Производство тепловой энергии, пара и горячей воды увеличилось на 2,9% (произведено </w:t>
      </w:r>
      <w:r>
        <w:rPr>
          <w:rFonts w:cs="Times New Roman CYR" w:ascii="Times New Roman CYR" w:hAnsi="Times New Roman CYR"/>
          <w:sz w:val="28"/>
          <w:szCs w:val="28"/>
        </w:rPr>
        <w:t>1312,4</w:t>
      </w:r>
      <w:r>
        <w:rPr>
          <w:rFonts w:cs="Times New Roman" w:ascii="Times New Roman" w:hAnsi="Times New Roman"/>
          <w:sz w:val="28"/>
          <w:szCs w:val="28"/>
        </w:rPr>
        <w:t xml:space="preserve"> тыс. Гкал.).</w:t>
      </w:r>
      <w:r>
        <w:rPr>
          <w:color w:val="151515"/>
          <w:sz w:val="23"/>
          <w:szCs w:val="23"/>
          <w:shd w:fill="FBFBFB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Рост потребления электрической и тепловой энергии обусловлен установившимися в январе-марте 2023 года низкими среднесуточными температурами воздуха.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969,1 млн рублей (145,1% к январю-марту 2022 года), индекс производства составил 100,7%,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в том числе индекс производства по забору, очистке и распределению воды составил 85,9%, по сбору и обработке сточных вод</w:t>
      </w:r>
      <w:r>
        <w:rPr>
          <w:rFonts w:cs="Times New Roman CYR" w:ascii="Times New Roman CYR" w:hAnsi="Times New Roman CYR"/>
          <w:sz w:val="28"/>
          <w:szCs w:val="28"/>
          <w:shd w:fill="FFFFFF" w:val="clear"/>
          <w:lang w:val="en-US"/>
        </w:rPr>
        <w:t> 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Open Sans" w:cs="Open Sans" w:ascii="Open Sans" w:hAnsi="Open Sans"/>
          <w:sz w:val="28"/>
          <w:szCs w:val="28"/>
          <w:shd w:fill="FFFFFF" w:val="clear"/>
          <w:lang w:val="en-US"/>
        </w:rPr>
        <w:t> </w:t>
      </w:r>
      <w:r>
        <w:rPr>
          <w:rFonts w:eastAsia="Open Sans" w:cs="Open Sans" w:ascii="Times New Roman" w:hAnsi="Times New Roman"/>
          <w:sz w:val="28"/>
          <w:szCs w:val="28"/>
          <w:shd w:fill="FFFFFF" w:val="clear"/>
        </w:rPr>
        <w:t>92,9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%.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Отмечается рост сбора, обработки и утилизации отходов; обработки вторичного сырья на 31,7%.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январе-марте 2023 года в сельскохозяйственных организациях Камчатского края ситуация в сфере животноводства и растениеводства сложилась следующим образом: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мяса составило 2,1 тыс. тонн (97,2% к январю-марту 2022 года);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 xml:space="preserve">производство яйца увеличилось на 6,9% 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к январю-марту 2022 года, яйценоскость кур- несушек возросла на 2,4%;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молока составило 5,4 тыс. тонн (98,5% к январю-марту 2022 года). Средний надой молока на одну корову увеличился на 2,1%.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Объём инвестиций в основной капитал за 2022 год составил 90 934,7 млн рублей или 98,5% к 2021 году.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Объём работ, выполненных по виду экономической деятельности «Строительство», в январе-марте 2023 года составил 5 479,7 млн рублей, что в сопоставимой оценке составляет 53,4% относительно показателя за аналогичный период предыдущего года. 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январь-март 2023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25,9 тыс. кв. метров (156,6% к аналогичному периоду 2022 года), в том числе, построенных населением за счет собственных и привлеченных средств 18,9 тыс. кв. метров (120% к аналогичному периоду 2022 года). В отчетном периоде введен в эксплуатацию многоквартирный жилой дом в Усть-Большерецком муниципальном районе общей площадью 846 кв. м.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Федеральной адресной инвестиционной программой на 2023 год и на плановый период 2024 и 2025 годов, утвержденной Президиумом Правительственной комиссии по региональному развитию в Российской Федерации от 8 декабря 2022 года (далее – ФАИП), на строительство и реконструкцию объектов государственной собственности, находящихся на территории Камчатского края, предусмотрено финансирование на 2023 год в объеме 7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746,5 млн рублей в том числе по направлениям: «здравоохранение»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900,0 млн рублей; «коммунальное строительство» – 532,7 млн рублей; «центральные организации» – 0,089 млн рублей; «морской транспорт» – 2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179,6 млн рублей; «воздушный транспорт» – 1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134,2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краевых инвестиционных мероприятий (объектов) утвержден постановлением Правительства Камчатского края от 28.11.2022 № 612-П «Об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утверждении инвестиционной программы Камчатского края на 2023 год и на плановый период 2024-2025 годов и прогнозный период 2026-2027 годов» (далее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Инвестиционная программа).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2023 году на реализацию инвестиционных мероприятий предусмотрены ассигнования за счет всех источников финансирования в сумме 15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817,00 млн рублей, в том числе за счет средств федерального бюджета – 9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855,65 млн рублей (62,3%), краевого бюджета – 5 617,81 млн рублей (35,5%).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строительство Камчатской краевой больницы, техническая готовность объекта на отчетную дату составила 39,6%;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строительство подъезда к проектируемому аэровокзалу в г. Елизово от 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«Устой-М», срок выполнения работ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30.11.2023. По информации Минтранса Камчатского края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объекте, работы по контракту выполняются в срок, техническая готовность – 54%;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строительство автомобильной дороги общего пользования регионального значения Камчатского края «п. Термальный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туристский кластер «Три вулкана» протяженностью 32 км (этапы 1-3)». По информации Минтранса Камчатского края 17.10.2022 заключен государственный контракт № 48 Подрядчик ООО «Устой-М»;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26.11.2021 с ООО «ХОРС» заключен государственный контракт № 94/21-ГК, срок выполнения работ по контракту 04.12.2023, мощность объекта – 270 квартир, по информации Минстроя Камчатского края техническая готовность 3-го этапа – 29,1%;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строительство детского сада по ул. Вилюйская, 60 в г. Петропавловске-Камчатском на 160 мест, стоимость работ по контракту 611 949,91 тыс. рублей, срок выполнения работ 30.11.2023. Техническая готовность объекта – 21,2%;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28,9%;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строительство Средней общеобразовательной школы в с. Кавалерское Усть-Большерецкого района на 90 мест, срок строительства 04.12.2023. По информации Минстроя Камчатского края получено положительное заключение государственной экспертизы, техническая готовность объекта – 56,8%;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8) строительство Камчатского театра кукол г. Петропавловск-Камчатский на 350 мест, заключен контракт с единственным поставщиком ООО «Трест» от 29.04.2022 № 28/22-ГК на завершение строительства, срок выполнения работ 01.12.2024;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9)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м3/сутки, срок выполнения работ по контракту 15.06.2023. По информации МинЖКХ Камчатского края строительные работы ведутся в соответствии с графиком запланированных работ;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10) строительство инженерной инфраструктуры на территории жилого района в Вулканном городском поселении Елизовского района Камчатского края, срок выполнения работ 31.10.2023, техническая готовность объекта 42%;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11) завершены строительно-монтажные работы спортивного зала единоборств в г. Елизово. По информации Министерства спорта Камчатского края получено разрешение на ввод объекта в эксплуатацию № RU 41-501102-267-2023 от 20.02.2023;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12)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ведется реконструкция автомобильной дороги Петропавловск-Камчатский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Мильково 40 км – Пиначево с подъездом к п. Раздольный и к базе с/х Заречный на участке км 1 – км 16,4. Работы выполняются в два этапа, заключены государственные контракты с ООО «Устой-М», срок окончания работ – 31.10.2023;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13) заключен государственный контракт на строительство Автомобильной дороги для резидента ООО «Соколиный центр «Камчатка», срок выполнения работ 30.04.2024.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Фактический объем финансирования за отчетный период составил 2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354,03 млн рублей (14,9% от предусмотренного объема), в том числе за счет средств федерального бюджета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854,89 млн рублей (18,8%), за счет средств краевого бюджета – 473,66 млн рублей (8,4%).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состоянию на 01.04.2023 освоение составило 1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274,53 млн рублей (8,1% от предусмотренного объема), в том числе за счет средств федерального бюджета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816,47 млн рублей (8,3%), за счет средств краевого бюджета – 432,92 млн рублей (7,7%).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секторе потребительского рынка в январе-марте 2023 года сложилась следующая ситуация: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розничной торговли составил 21 643,9 млн рублей (94,4% к январю-марту 2022 года) и на 93,9% сформирован торгующими организациями и индивидуальными предпринимателями, осуществляющими деятельность вне рынка;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общественного питания составил 2 065,7 млн рублей (97,9% к январю-марту 2022 года);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платных услуг населению края было оказано на сумму 8 227,0 млн рублей (98,0% к январю-марту 2022 года).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75,3% общего объема потребляемых услуг. Удельный вес бытовых услуг в общем объеме платных услуг населению составил 5,7%. В январе-марте 2023 года населению края было оказано бытовых услуг на 471,0 млн рублей, что в сопоставимых ценах на 1,2% меньше, чем в январе-марте 2022 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Пассажирооборот автомобильного транспорта за январь-март 2023 года составил 67,4 млн пасс.-км (101,7% к январю-марту 2022 года). Число перевезенных пассажиров автомобильным транспортом составило 8,2 млн человек (100,1% к январю-марту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Грузооборот автомобильного транспорта за январь-март 2023 года составил 4,4 млн т-км (86,3% к январю-марту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Объем перевезенного груза на морском транспорте составил 120,9 тыс. тонн (107,7% к январю-марту 2022 года). Грузооборот морского транспорта увеличился на 30,1%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и составил 220,9 млн т</w:t>
        <w:noBreakHyphen/>
        <w:t xml:space="preserve">км.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В каботажном плавании грузооборот вырос на 21,9%,</w:t>
      </w:r>
      <w:r>
        <w:rPr>
          <w:rFonts w:cs="Times New Roman CYR" w:ascii="Times New Roman CYR" w:hAnsi="Times New Roman CYR"/>
          <w:sz w:val="28"/>
          <w:szCs w:val="28"/>
        </w:rPr>
        <w:t xml:space="preserve"> в заграничном плавании вырос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на</w:t>
      </w:r>
      <w:r>
        <w:rPr>
          <w:rFonts w:cs="Times New Roman CYR" w:ascii="Times New Roman CYR" w:hAnsi="Times New Roman CYR"/>
          <w:sz w:val="28"/>
          <w:szCs w:val="28"/>
        </w:rPr>
        <w:t xml:space="preserve"> 76,7% к январю-марту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Среднегодовой показатель индекса потребительских цен в январе-марте 2023 года составил 110,5%, в том числе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: </w:t>
      </w:r>
      <w:r>
        <w:rPr>
          <w:rFonts w:cs="Times New Roman CYR" w:ascii="Times New Roman CYR" w:hAnsi="Times New Roman CYR"/>
          <w:sz w:val="28"/>
          <w:szCs w:val="28"/>
        </w:rPr>
        <w:t>113,4% на продовольственные товары, 113,3% на непродовольственные товары и 111,6% на услуги.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Среднемесячная номинальная начисленная заработная плата одного работника за январь-февраль 2023 года составила 97 862,9 рублей (112,4% к январю-февралю 2022 года).</w:t>
      </w:r>
      <w:r>
        <w:rPr>
          <w:rFonts w:cs="Times New Roman CYR" w:ascii="Times New Roman CYR" w:hAnsi="Times New Roman CYR"/>
          <w:color w:val="FF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Отмечен рост реальной заработной платы на 0,4% к январю-февралю 2022 года.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Реальные денежные доходы в 2022 году сложились на уровне 96,7% к 2021 году. Реальные располагаемые денежные доходы составили 98,0%.</w:t>
      </w:r>
    </w:p>
    <w:p>
      <w:pPr>
        <w:pStyle w:val="Normal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Размер среднедушевого дохода в 2022 году составил 70 653,0 руб. Соотношение среднедушевого денежного дохода с величиной прожиточного минимума – 291,1%.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Потребительские расходы сложились в размере 43 990,8 рублей в среднем на душу населения и увеличились на 19,0% относительно 2021 года. На цели потребления населением направлено 68,8% среднедушевого дохода.</w:t>
      </w:r>
    </w:p>
    <w:p>
      <w:pPr>
        <w:pStyle w:val="Normal"/>
        <w:shd w:val="clear" w:color="auto" w:fill="FFFFFF" w:themeFill="background1"/>
        <w:spacing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На 01.04.2023 просроченная задолженность по заработной плате составила 3,6 млн рублей и за месяц увеличилась на 13,2%, в том числе: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1) МУП «Автодор» – 2,5 млн рублей;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2) МУП Карагинского района «Портпункт «Оссора» – 0,7 млн рублей;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3) МУП «Запорожское» – 0,4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Численность официально зарегистрированных безработных по состоянию на 01.04.2023 составила 2,0 тыс. человек. Уровень регистрируемой безработицы – 1,2% (на 01.04.2022 – 1,3%). Напряженность на рынке труда составила 0,4 человека на одну заявленную работодателями вакансию (01.04.2022 г. – 0,8).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 состоянию на 01.03.2023 года численность населения составила 288,6 тыс. человек, уменьшилась по сравнению с 1 января 2023 года на 145 человек за счет естественной (-138 человек) и миграционный убыли населения (-7 человек).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Сальдированный финансовый результат деятельности учтенного круга крупных и средних предприятий за январь-февраль 2023 года составил 404,9 млн рублей, что больше к аналогичному периоду прошлого года на 15,2%.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 – 3 091,3 млн рублей; «обрабатывающие производства» – 730,2 млн рублей; «транспортировка и хранение» – 336,2 млн рублей; «обеспечение электрической энергией, газом и паром» – 2 520,5 млн рублей; «строительство» – 126,5 млн рублей; «деятельность по операциям с недвижимым имуществом» – 37,6 млн рублей;  «деятельность гостиниц и предприятий общественного питания» – 99,3 млн рублей; «водоснабжение, водоотведение, сбор и утилизация отходов, деятельность по ликвидации загрязнений» – 18,3 млн рублей, «торговля оптовая и розничная; ремонт автотранспортных средств и мотоциклов» – 178,2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Удельный вес убыточных организаций в общем числе организаций составил 37,7% от их общего числа.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Дебиторская задолженность по состоянию на 01.03.2023 года составила 109,3 млн рублей, что на 6,8% выше, чем на 01.03.2022 год. Удельный вес просроченной дебиторской задолженности в общем объеме задолженности на 01.03.2023 год составил 4,5%. Суммарный объем просроченной дебиторской задолженности по сравнению с аналогичным периодом прошлого года снизился на 28,6% и составил 4 972,8 млн рублей.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Кредиторская задолженность по состоянию на 01.03.2023 год составила 103,5 млн рублей, по сравнению с аналогичным периодом прошлого года увеличилась на 7,5%. Удельный вес просроченной кредиторской задолженности в общем объеме задолженности на 01.03.2023 год составил 1,1%, суммарный объем – 1 196,8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Производство важнейших видов промышленной продукции по Камчатскому краю</w:t>
      </w:r>
    </w:p>
    <w:p>
      <w:pPr>
        <w:pStyle w:val="Normal"/>
        <w:shd w:val="clear" w:color="auto" w:fill="FFFFFF" w:themeFill="background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964"/>
        <w:gridCol w:w="1418"/>
        <w:gridCol w:w="1276"/>
        <w:gridCol w:w="1557"/>
        <w:gridCol w:w="1986"/>
      </w:tblGrid>
      <w:tr>
        <w:trPr>
          <w:trHeight w:val="12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Единица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Январь-март 2023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Январь-март 2023 г. в % к январю-марту 2022 г. 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млн.кВт/ч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2 017,2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595,3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106,2</w:t>
            </w:r>
          </w:p>
        </w:tc>
      </w:tr>
      <w:tr>
        <w:trPr>
          <w:trHeight w:val="5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 и горячая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3 523,1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1312,4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102,9</w:t>
            </w:r>
          </w:p>
        </w:tc>
      </w:tr>
      <w:tr>
        <w:trPr>
          <w:trHeight w:val="41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Газ природный и попутный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млн.куб.м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82,4</w:t>
            </w:r>
          </w:p>
        </w:tc>
      </w:tr>
      <w:tr>
        <w:trPr>
          <w:trHeight w:val="40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Уголь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</w:tr>
      <w:tr>
        <w:trPr>
          <w:trHeight w:val="3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Лесоматериалы необработанные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тыс. плотных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87,8</w:t>
            </w:r>
          </w:p>
        </w:tc>
      </w:tr>
      <w:tr>
        <w:trPr>
          <w:trHeight w:val="44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cs="Times New Roman" w:ascii="Times New Roman" w:hAnsi="Times New Roman"/>
              </w:rPr>
              <w:t>0,6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cs="Times New Roman" w:ascii="Times New Roman" w:hAnsi="Times New Roman"/>
              </w:rPr>
              <w:t>рост в 4,7 раза</w:t>
            </w:r>
          </w:p>
        </w:tc>
      </w:tr>
      <w:tr>
        <w:trPr>
          <w:trHeight w:val="41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129,1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124,8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102,5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84,7</w:t>
            </w:r>
          </w:p>
        </w:tc>
      </w:tr>
      <w:tr>
        <w:trPr>
          <w:trHeight w:val="427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103,3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Сыры, продукты сырные и творог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103,7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Изделия хлебобулочные недлительного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91,3</w:t>
            </w: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92,7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Воды минеральные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млн. полулитров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124,8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968,6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212,1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99,0</w:t>
            </w:r>
          </w:p>
        </w:tc>
      </w:tr>
      <w:tr>
        <w:trPr>
          <w:trHeight w:val="41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311,3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118,1</w:t>
            </w:r>
          </w:p>
        </w:tc>
      </w:tr>
      <w:tr>
        <w:trPr>
          <w:trHeight w:val="3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81,2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40" w:after="0"/>
        <w:ind w:firstLine="42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4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Макроэкономические показатели по Камчатскому краю</w:t>
      </w:r>
    </w:p>
    <w:p>
      <w:pPr>
        <w:pStyle w:val="Normal"/>
        <w:shd w:val="clear" w:color="auto" w:fill="FFFFFF" w:themeFill="background1"/>
        <w:spacing w:lineRule="auto" w:line="240" w:before="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1018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799"/>
        <w:gridCol w:w="1395"/>
        <w:gridCol w:w="1681"/>
        <w:gridCol w:w="2308"/>
      </w:tblGrid>
      <w:tr>
        <w:trPr>
          <w:tblHeader w:val="true"/>
          <w:trHeight w:val="5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022 год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Январь-март 2023 года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Январь-март 2023 г. в % к январю-марту 2022 г. (в сопоставимых условиях)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30 311,0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7 091,3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141,8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82,4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25 673,5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6 464,4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149,8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прочих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1 525,0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213,3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70,5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127 981,3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33 534,2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115,1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120 184,7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31 037,0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111,9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1 132,7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115,8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в 3,5 раза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98,7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55,8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101,4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 производство прочей неметаллической минеральной продукции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556,4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143,1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4 399,1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в 1,6 раза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25 842,6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8 160,5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105,0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3 740,3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969,1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100,7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90 934,7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743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Ввод жилья, тыс. 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в 1,6 раза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12 413,5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884" w:leader="none"/>
              </w:tabs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производства продукции животноводства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мясо, тыс. тонн (живой вес)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97,2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молоко, тыс. тонн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98,5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яйца, млн штук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106,9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31 535,8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8 227,0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98,0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него: бытовые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1 933,7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471,0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86 462,2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21 643,9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94,4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8 219,0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2 065,7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97,9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103 529,5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97 862,9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19,9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 по видам деятельности: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64,8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местных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бюджета субъекта РФ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557" w:leader="none"/>
              </w:tabs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557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19,9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86,3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101,7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41 229,7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26 203,1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3 091,3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154,0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3 954,2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-6 699,5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4 576,2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730,2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1 273,1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2 520,5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181,1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596,5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в 2 раза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2 987,1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69,7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1 767,8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336,2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в 3,8 раза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дебиторская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108 948,3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109 328,4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6 896,5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4 972,8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кредиторская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101 551,9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103 549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1 927,9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1 196,8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288,6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-853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-138,0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63,0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-2 993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-7,0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93,8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44,6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т. ч. официально зарегистрированных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82,3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Примечание: 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…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1 – январь-февраль 2023 года;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2 – январь-февраль 2023 года к январю-февралю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-426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Open Sans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85509068"/>
    </w:sdtPr>
    <w:sdtContent>
      <w:p>
        <w:pPr>
          <w:pStyle w:val="Style3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5e4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d5ab3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1d5ab3"/>
    <w:rPr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1d5ab3"/>
    <w:rPr>
      <w:b/>
      <w:bCs/>
      <w:sz w:val="20"/>
      <w:szCs w:val="20"/>
    </w:rPr>
  </w:style>
  <w:style w:type="character" w:styleId="Bxmessengerajax" w:customStyle="1">
    <w:name w:val="bx-messenger-ajax"/>
    <w:basedOn w:val="DefaultParagraphFont"/>
    <w:qFormat/>
    <w:rsid w:val="007949cb"/>
    <w:rPr/>
  </w:style>
  <w:style w:type="character" w:styleId="Docdata" w:customStyle="1">
    <w:name w:val="docdata"/>
    <w:basedOn w:val="DefaultParagraphFont"/>
    <w:qFormat/>
    <w:rsid w:val="00d1028f"/>
    <w:rPr/>
  </w:style>
  <w:style w:type="character" w:styleId="Style21" w:customStyle="1">
    <w:name w:val="Символ нумерации"/>
    <w:qFormat/>
    <w:rPr>
      <w:shd w:fill="FFFF00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>
    <w:name w:val="Title"/>
    <w:basedOn w:val="Normal"/>
    <w:next w:val="Style2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1d5a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1d5ab3"/>
    <w:pPr/>
    <w:rPr>
      <w:b/>
      <w:bCs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0407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4205-0F69-4E8F-89C5-4850318C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Application>LibreOffice/7.4.4.2$Linux_X86_64 LibreOffice_project/40$Build-2</Application>
  <AppVersion>15.0000</AppVersion>
  <Pages>10</Pages>
  <Words>2970</Words>
  <Characters>19063</Characters>
  <CharactersWithSpaces>21797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2023-03-06T05:02:00Z</dcterms:created>
  <dc:creator>Киселев Виктор Вадимович</dc:creator>
  <dc:description/>
  <dc:language>ru-RU</dc:language>
  <cp:lastModifiedBy/>
  <cp:lastPrinted>2023-03-29T03:47:00Z</cp:lastPrinted>
  <dcterms:modified xsi:type="dcterms:W3CDTF">2023-05-15T14:40:23Z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