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апреле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758,54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518,50</w:t>
            </w:r>
          </w:p>
        </w:tc>
      </w:tr>
      <w:tr>
        <w:trPr>
          <w:trHeight w:hRule="atLeast" w:val="269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1065,16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302,79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280,09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1077,42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174,83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104,70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143,41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144,72</w:t>
            </w:r>
          </w:p>
        </w:tc>
      </w:tr>
      <w:tr>
        <w:trPr>
          <w:trHeight w:hRule="atLeast" w:val="29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96,38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1464,74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42,32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74,73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120,29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113,47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112,52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107,10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128,44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195,25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64,10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58,21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87,20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94,01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252,22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2023-05-18T02:39:02Z</dcterms:modified>
</cp:coreProperties>
</file>