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Информация</w:t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 итогах социально-экономического развития Камчатского края</w:t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 январь-апрель 2023 года</w:t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В январе-апреле 2023 года </w:t>
      </w:r>
      <w:r>
        <w:rPr>
          <w:rFonts w:cs="Times New Roman" w:ascii="Times New Roman" w:hAnsi="Times New Roman"/>
          <w:sz w:val="28"/>
          <w:szCs w:val="28"/>
        </w:rPr>
        <w:t>динамику роста показали: промышленное производство, ввод в действие жилых домов, оборот оптовой торговли, пассажирооборот автомобильного трансп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орта.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Вместе с тем, наблюдается снижение объема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строительных работ</w:t>
      </w:r>
      <w:r>
        <w:rPr>
          <w:rFonts w:cs="Times New Roman" w:ascii="Times New Roman" w:hAnsi="Times New Roman"/>
          <w:sz w:val="28"/>
          <w:szCs w:val="28"/>
        </w:rPr>
        <w:t>, общественного питания, грузооборота автомобильного транспорта, платных услуг населению, розничной торговли.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Оборот организаций по всем видам экономической деятельности за январь- апрель 2023 года составил 169 122,8 млн рублей, вырос на 3,8 % к январю-апрелю 2022 года.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Индекс промышленного производства составил 113,8%. 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 xml:space="preserve">Рост в добывающей промышленности составил 48,2 % к январю-апрелю 2022 года, в обрабатывающих производствах </w:t>
      </w:r>
      <w:r>
        <w:rPr>
          <w:rFonts w:eastAsia="Open Sans" w:cs="Times New Roman" w:ascii="Times New Roman" w:hAnsi="Times New Roman"/>
          <w:sz w:val="28"/>
          <w:szCs w:val="28"/>
          <w:shd w:fill="FFFFFF" w:val="clear"/>
        </w:rPr>
        <w:t>–</w:t>
      </w:r>
      <w:r>
        <w:rPr>
          <w:rFonts w:eastAsia="Calibri" w:cs="Times New Roman CYR" w:ascii="Times New Roman CYR" w:hAnsi="Times New Roman CYR"/>
          <w:sz w:val="28"/>
          <w:szCs w:val="28"/>
          <w:shd w:fill="FFFFFF" w:val="clear"/>
        </w:rPr>
        <w:t xml:space="preserve"> 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>11,5 %, в деятельности организаций по обеспечению</w:t>
      </w:r>
      <w:r>
        <w:rPr>
          <w:rFonts w:cs="Times New Roman CYR" w:ascii="Times New Roman CYR" w:hAnsi="Times New Roman CYR"/>
          <w:sz w:val="28"/>
          <w:szCs w:val="28"/>
        </w:rPr>
        <w:t xml:space="preserve"> электрической энергией, газом и 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>паром; кондиционированию воздуха</w:t>
      </w:r>
      <w:r>
        <w:rPr/>
        <w:t> </w:t>
      </w:r>
      <w:r>
        <w:rPr>
          <w:rFonts w:eastAsia="Open Sans" w:cs="Times New Roman" w:ascii="Times New Roman" w:hAnsi="Times New Roman"/>
          <w:sz w:val="28"/>
          <w:szCs w:val="28"/>
          <w:shd w:fill="FFFFFF" w:val="clear"/>
        </w:rPr>
        <w:t>–</w:t>
      </w:r>
      <w:r>
        <w:rPr>
          <w:rFonts w:eastAsia="Calibri" w:cs="Times New Roman CYR" w:ascii="Times New Roman CYR" w:hAnsi="Times New Roman CYR"/>
          <w:sz w:val="28"/>
          <w:szCs w:val="28"/>
          <w:shd w:fill="FFFFFF" w:val="clear"/>
          <w:lang w:val="en-US"/>
        </w:rPr>
        <w:t> 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>4,2 %. Отрицательная динамика наблюдается в водоснабжении, водоотведении, организации сбора и утилизации отходов, ликвидации загрязнений</w:t>
      </w:r>
      <w:r>
        <w:rPr>
          <w:rFonts w:cs="Times New Roman CYR" w:ascii="Times New Roman CYR" w:hAnsi="Times New Roman CYR"/>
          <w:sz w:val="28"/>
          <w:szCs w:val="28"/>
        </w:rPr>
        <w:t xml:space="preserve"> (– 10,3 %).</w:t>
      </w:r>
    </w:p>
    <w:p>
      <w:pPr>
        <w:pStyle w:val="Normal"/>
        <w:widowControl w:val="false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Предприятиями, осуществляющими добычу полезных ископаемых, отгружено продукции на 10 197,6 млн рублей (90,1 % к январю-апрелю 2022 года в действующих ценах). Индекс производства составил 148,2 %, что 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>обусловлено ростом</w:t>
      </w:r>
      <w:r>
        <w:rPr>
          <w:rFonts w:cs="Times New Roman CYR" w:ascii="Times New Roman CYR" w:hAnsi="Times New Roman CYR"/>
          <w:sz w:val="28"/>
          <w:szCs w:val="28"/>
        </w:rPr>
        <w:t xml:space="preserve"> добычи металлических 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>руд в 1,6 раза. Увеличена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 добыча золота и серебра такими предприятиями как: </w:t>
      </w:r>
      <w:r>
        <w:rPr>
          <w:rStyle w:val="Docdata"/>
          <w:rFonts w:cs="Times New Roman" w:ascii="Times New Roman" w:hAnsi="Times New Roman"/>
          <w:color w:val="000000"/>
          <w:sz w:val="28"/>
          <w:szCs w:val="28"/>
          <w:shd w:fill="FFFFFF" w:val="clear"/>
        </w:rPr>
        <w:t>АО «Аметистовое»,</w:t>
      </w:r>
      <w:r>
        <w:rPr>
          <w:rStyle w:val="Docdata"/>
          <w:rFonts w:cs="Times New Roman" w:ascii="Times New Roman" w:hAnsi="Times New Roman"/>
          <w:color w:val="000000"/>
          <w:sz w:val="28"/>
          <w:szCs w:val="28"/>
        </w:rPr>
        <w:t xml:space="preserve"> АО «ТСГ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Асача», </w:t>
      </w:r>
      <w:r>
        <w:rPr>
          <w:rStyle w:val="Docdata"/>
          <w:rFonts w:cs="Times New Roman" w:ascii="Times New Roman" w:hAnsi="Times New Roman"/>
          <w:color w:val="000000"/>
          <w:sz w:val="28"/>
          <w:szCs w:val="28"/>
        </w:rPr>
        <w:t>АО «</w:t>
      </w:r>
      <w:r>
        <w:rPr>
          <w:rFonts w:cs="Times New Roman" w:ascii="Times New Roman" w:hAnsi="Times New Roman"/>
          <w:color w:val="000000"/>
          <w:sz w:val="28"/>
          <w:szCs w:val="28"/>
        </w:rPr>
        <w:t>СиГМА».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В обрабатывающих производствах отгружено товаров собственного производства на сумму 49 550,2 млн рублей или 120,2 % по отношению к январю-апрелю 2022 года, индекс производства составил 111,5 %.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Индекс производства пищевых продуктов составил 108,3 % к январю-апрелю 2022 года, объем отгруженной продукции составил 46 415,9 млн рублей (117,2 % к январю-апрелю 2022 года).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Рыбы переработанной и консервированной, ракообразных и моллюсков произведено 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>391,4</w:t>
      </w:r>
      <w:r>
        <w:rPr>
          <w:rFonts w:cs="Times New Roman CYR" w:ascii="Times New Roman CYR" w:hAnsi="Times New Roman CYR"/>
          <w:sz w:val="28"/>
          <w:szCs w:val="28"/>
        </w:rPr>
        <w:t xml:space="preserve"> тыс. тонн или 112,6% к январю-апрелю 2022 года.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Рыбодобывающими предприятиями Камчатского края выловлено 536,6 тыс. тонн рыбы и 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>морепродуктов (107,4 %</w:t>
      </w:r>
      <w:r>
        <w:rPr>
          <w:rFonts w:cs="Times New Roman CYR" w:ascii="Times New Roman CYR" w:hAnsi="Times New Roman CYR"/>
          <w:sz w:val="28"/>
          <w:szCs w:val="28"/>
        </w:rPr>
        <w:t xml:space="preserve"> к январю-апрелю 2022 года). 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Увеличение объемов вылова отмечается по: минтаю +4,8 %, крабу +33,7 %, камбале +20,9 %, палтусу +10,1 % и сельди +35,1.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секторе производства пищевых продуктов, ориентированных на региональный рынок (кроме рыбоперерабатывающей промышленности), отмечено увеличение производства молока на 1,7 %, мяса крупного рогатого скота на 2,4 %, мяса и субпродуктов пищевых домашней птицы в 1,4 раза, мяса и субпродуктов на 8,4 %, полуфабрикатов мясных и мясосодержащих в 1,6 раза, сыров и творога на 1,9 %.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Снижение отмечалось в производстве колбасных изделий на 15,7 %, хлебобулочных изделий на 10,1 % и кондитерских изделий на 12,9 % к январю- апрелю 2022 года.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Наблюдается 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>рост производства по ремонту и монтажу машин и оборудования (судоремонт) в 2,5 раза к январю-апрелю 2022 года.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color w:val="151515"/>
          <w:sz w:val="23"/>
          <w:szCs w:val="23"/>
          <w:shd w:fill="FBFBFB" w:val="clear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На предприятиях по обеспечению электрической энергией, газом и паром отгружено продукции собственного производства на сумму 10 624,5 млн рублей, что составляет 117,7 % к январю-апрелю 2022 года, индекс производства составил 104,2 %. Производство электроэнергии увеличилось на 5,1 % к январю-апрелю 2022 года и составило 765,6 млн кВт-ч. </w:t>
      </w:r>
      <w:r>
        <w:rPr>
          <w:rFonts w:cs="Times New Roman" w:ascii="Times New Roman" w:hAnsi="Times New Roman"/>
          <w:sz w:val="28"/>
          <w:szCs w:val="28"/>
        </w:rPr>
        <w:t xml:space="preserve">Производство тепловой энергии, пара и горячей воды увеличилось на 2,2 % (произведено </w:t>
      </w:r>
      <w:r>
        <w:rPr>
          <w:rFonts w:cs="Times New Roman CYR" w:ascii="Times New Roman CYR" w:hAnsi="Times New Roman CYR"/>
          <w:sz w:val="28"/>
          <w:szCs w:val="28"/>
        </w:rPr>
        <w:t>1 667,0</w:t>
      </w:r>
      <w:r>
        <w:rPr>
          <w:rFonts w:cs="Times New Roman" w:ascii="Times New Roman" w:hAnsi="Times New Roman"/>
          <w:sz w:val="28"/>
          <w:szCs w:val="28"/>
        </w:rPr>
        <w:t xml:space="preserve"> тыс. Гкал.).</w:t>
      </w:r>
      <w:r>
        <w:rPr>
          <w:color w:val="151515"/>
          <w:sz w:val="23"/>
          <w:szCs w:val="23"/>
          <w:shd w:fill="FBFBFB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Рост потребления электрической и тепловой энергии обусловлен установившимися в январе-апреле 2023 года низкими среднесуточными температурами воздуха.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shd w:fill="FFFFFF" w:val="clear"/>
          <w:lang w:eastAsia="ru-RU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Объем отгруженных товаров предприятиями водоснабжения; водоотведения, сбора и утилизации отходов составил 1 173,1 млн рублей (128,2 % к январю-апрелю 2022 года), индекс производства составил 89,7 %, 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>в том числе индекс производства по забору, очистке и распределению воды составил 70,9 %, по сбору и обработке сточных вод</w:t>
      </w:r>
      <w:r>
        <w:rPr>
          <w:rFonts w:cs="Times New Roman CYR" w:ascii="Times New Roman CYR" w:hAnsi="Times New Roman CYR"/>
          <w:sz w:val="28"/>
          <w:szCs w:val="28"/>
          <w:shd w:fill="FFFFFF" w:val="clear"/>
          <w:lang w:val="en-US"/>
        </w:rPr>
        <w:t> </w:t>
      </w:r>
      <w:r>
        <w:rPr>
          <w:rFonts w:eastAsia="Open Sans" w:cs="Times New Roman" w:ascii="Times New Roman" w:hAnsi="Times New Roman"/>
          <w:sz w:val="28"/>
          <w:szCs w:val="28"/>
          <w:shd w:fill="FFFFFF" w:val="clear"/>
        </w:rPr>
        <w:t>–</w:t>
      </w:r>
      <w:r>
        <w:rPr>
          <w:rFonts w:eastAsia="Open Sans" w:cs="Open Sans" w:ascii="Open Sans" w:hAnsi="Open Sans"/>
          <w:sz w:val="28"/>
          <w:szCs w:val="28"/>
          <w:shd w:fill="FFFFFF" w:val="clear"/>
          <w:lang w:val="en-US"/>
        </w:rPr>
        <w:t> </w:t>
      </w:r>
      <w:r>
        <w:rPr>
          <w:rFonts w:eastAsia="Open Sans" w:cs="Open Sans" w:ascii="Times New Roman" w:hAnsi="Times New Roman"/>
          <w:sz w:val="28"/>
          <w:szCs w:val="28"/>
          <w:shd w:fill="FFFFFF" w:val="clear"/>
        </w:rPr>
        <w:t xml:space="preserve">80,0 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 xml:space="preserve">%.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Отмечается рост по сбору, обработке и утилизации отходов; обработки вторичного сырья на 26,3 %.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Индекс производства продукции сельского хозяйства за 1 квартал 2023 года составил 100,2 % к 1 кварталу 2022 года.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В январе-апреле 2023 года в сельскохозяйственных организациях Камчатского края ситуация в сфере животноводства и растениеводства сложилась следующим образом: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– </w:t>
      </w:r>
      <w:r>
        <w:rPr>
          <w:rFonts w:cs="Times New Roman CYR" w:ascii="Times New Roman CYR" w:hAnsi="Times New Roman CYR"/>
          <w:sz w:val="28"/>
          <w:szCs w:val="28"/>
        </w:rPr>
        <w:t>производство мяса составило 2,8 тыс. тонн (98,3 % к январю-апрелю 2022 года);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– </w:t>
      </w:r>
      <w:r>
        <w:rPr>
          <w:rFonts w:cs="Times New Roman CYR" w:ascii="Times New Roman CYR" w:hAnsi="Times New Roman CYR"/>
          <w:sz w:val="28"/>
          <w:szCs w:val="28"/>
        </w:rPr>
        <w:t>производство яйца увеличилось на 7,9 % к январю-апрелю 2022 года, яйценоскость кур- несушек снизилась на 4,5 %;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– </w:t>
      </w:r>
      <w:r>
        <w:rPr>
          <w:rFonts w:cs="Times New Roman CYR" w:ascii="Times New Roman CYR" w:hAnsi="Times New Roman CYR"/>
          <w:sz w:val="28"/>
          <w:szCs w:val="28"/>
        </w:rPr>
        <w:t>производство молока составило 7,2 тыс. тонн (98,2 % к январю-апрелю 2022 года). Средний надой молока на одну корову увеличился на 1,5 %.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Объём инвестиций в основной капитал за январь-декабрь 2022 года составил 90 934,7 млн рублей или 98,5 % к январю-декабрю 2021 года (в сопоставимой оценке).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Объём работ, выполненных по виду экономической деятельности «Строительство», в январе-апреле 2023 года составил 7 169,4 млн рублей, что в сопоставимой оценке составляет 49,7 % относительно показателя за аналогичный период предыдущего года.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 январь-апрель 2023 года на территории Камчатского края введено в действие жилых домов (с учетом жилых домов, построенных на земельных участках, предназначенных для ведения гражданами садоводства) общей площадью 31,3 тыс. кв. метров (154,2 % к аналогичному периоду 2022 года), в том числе, построенных населением за счет собственных и привлеченных средств </w:t>
        <w:br/>
        <w:t>24,3 тыс. кв. метров (126,5 % к аналогичному периоду 2022 года).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Федеральной адресной инвестиционной программой на 2023 год и на плановый период 2024 и 2025 годов, утвержденной Президиумом Правительственной комиссии по региональному развитию в Российской Федерации от 8 декабря 2022 года (далее – ФАИП), на строительство и реконструкцию объектов государственной собственности, находящихся на территории Камчатского края, предусмотрено финансирование на 2023 год в объеме 6 886,3 млн рублей в том числе по направлениям: «здравоохранение» – 3 900,0 млн рублей; «морской транспорт» – 1 319,3 млн рублей; «коммунальное строительство» – 532,7 млн рублей; «центральные организации» – 0,089 млн рублей; «воздушный транспорт» – 1 134,2 млн рублей.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краевых инвестиционных мероприятий (объектов) утвержден постановлением Правительства Камчатского края от 28.11.2022 № 612-П «Об утверждении инвестиционной программы Камчатского края на 2023 год и на плановый период 2024-2025 годов и прогнозный период 2026-2027 годов» (далее – Инвестиционная программа).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2023 году на реализацию инвестиционных мероприятий предусмотрены ассигнования за счет всех источников финансирования в сумме 16 523,03 млн рублей, в том числе за счет средств федерального бюджета – 10 536,69 млн рублей (63,8 %), краевого бюджета – 5 617,81 млн рублей (34,0 %).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рамках Инвестиционной программы ведется строительство значимых для Камчатского края объектов, в том числе: 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строительство камчатской краевой больницы, техническая готовность объекта на отчетную дату составила 39,7 %;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строительство подъезда к проектируемому аэровокзалу в г. Елизово от автомобильной дороги А-401 «Подъездная дорога от морского порта Петропавловск-Камчатский к аэропорту Петропавловск-Камчатский на участке 34». Государственный контракт заключен с ООО «Устой-М», срок выполнения работ – 30.11.2023. По информации Минтранса Камчатского края заключено соглашение об установлении сервитута в отношении части земельного участка, выполнены работы по созданию геодезической разбивочной основы на объекте, работы по контракту выполняются в срок, техническая готовность – 54,0 %;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строительство автомобильной дороги общего пользования регионального значения Камчатского края «п. Термальный – туристский кластер «Три вулкана» протяженностью 32 км (этапы 1–3)». По информации Минтранса Камчатского края 17.10.2022 заключен государственный контракт № 48 Подрядчик ООО «Устой-М»;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строительство комплекса многоквартирных жилых домов в жилом районе Приморский города Вилючинска, строительство поэтапное, в текущем году ведутся работы третьего этапа, 26.11.2021 с ООО «ХОРС» заключен государственный контракт № 94/21-ГК, срок выполнения работ по контракту 04.12.2023, мощность объекта – 270 квартир, по информации Минстроя Камчатского края техническая готовность 3-го этапа – 34,6 %;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строительство детского сада по ул. Вилюйская, 60 в г. Петропавловске-Камчатском на 160 мест, стоимость работ по контракту 611 949,91 тыс. рублей, срок выполнения работ 30.11.2023. Техническая готовность объекта – 35,13 %;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строительство средней школы № 40 по ул. Вольского микрорайона «Северо-Восток» в г. Петропавловске-Камчатском на 500 мест со сроком исполнения до 04.12.2024, техническая готовность объекта 35,4 %;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строительство средней общеобразовательной школы в с. Кавалерское Усть- Большерецкого района на 90 мест, срок строительства 04.12.2023.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информации Минстроя Камчатского края получено положительное заключение государственной экспертизы, техническая готовность объекта – 63,6 %;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строительство камчатского театра кукол г. Петропавловск-Камчатский на 350 мест, заключен контракт с единственным поставщиком ООО «Трест» от 29.04.2022 № 28/22-ГК на завершение строительства, срок выполнения работ 01.12.2024;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9) реализуется мероприятие «Реконструкция системы водоотведения Елизовского городского поселения. 1 Этап. Реконструкция КОС-29 км, строительство сливной станции», мощность объекта 1000 м3/сутки, срок выполнения работ по контракту 15.06.2023;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10) ведется строительство инженерной инфраструктуры на территории жилого района в Вулканном городском поселении Елизовского района Камчатского края, срок выполнения работ 31.10.2023, техническая готовность объекта 48 %;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11) завершены строительно-монтажные работы спортивного зала единоборств в г. Елизово. По информации Министерства спорта Камчатского края получено разрешение на ввод объекта в эксплуатацию № RU 41-501102-267-2023 от 20.02.2023;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12) реализуется мероприятие регионального проекта «Чистая вода» по реконструкции водовода от водозабора до пгт. Палана и внутриплощадочных сетей водовода территории совхоза пгт. Палана Тигильского муниципального района;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13) ведется реконструкция автомобильной дороги Петропавловск-Камчатский – Мильково 40 км – Пиначево с подъездом к п. Раздольный и к базе с/х Заречный на участке км 1 – км 16,4. Работы выполняются в два этапа, заключены государственные контракты с ООО «Устой-М», срок окончания работ – 31.10.2023;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14) заключен государственный контракт на строительство автомобильной дороги для резидента ООО «Соколиный центр «Камчатка», срок выполнения работ 30.04.2024.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Фактический объем финансирования за отчетный период составил 3 303,82 млн рублей (20,0 % от предусмотренного объема), в том числе за счет средств федерального бюджета – 2 537,22 млн рублей (24,1 %), за счет средств краевого бюджета – 734,00 млн рублей (13,1 %).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состоянию на 01.05.2023 освоение составило 1 507,19 млн рублей (9,1 % от предусмотренного объема), в том числе за счет средств федерального бюджета – 850,50 млн рублей (8,1 %), за счет средств краевого бюджета – 629,48 млн рублей (11,2 %).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В секторе потребительского рынка в январе-апреле 2023 года сложилась следующая ситуация: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– </w:t>
      </w:r>
      <w:r>
        <w:rPr>
          <w:rFonts w:cs="Times New Roman CYR" w:ascii="Times New Roman CYR" w:hAnsi="Times New Roman CYR"/>
          <w:sz w:val="28"/>
          <w:szCs w:val="28"/>
        </w:rPr>
        <w:t>оборот розничной торговли составил 28 831,4 млн рублей (95,1 % к январю-апрелю 2022 года) и на 93,9 % сформирован торгующими организациями и индивидуальными предпринимателями, осуществляющими деятельность вне рынка;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– </w:t>
      </w:r>
      <w:r>
        <w:rPr>
          <w:rFonts w:cs="Times New Roman CYR" w:ascii="Times New Roman CYR" w:hAnsi="Times New Roman CYR"/>
          <w:sz w:val="28"/>
          <w:szCs w:val="28"/>
        </w:rPr>
        <w:t>оборот общественного питания составил 2 750,1 млн рублей (95,5 % к январю-апрелю 2022 года);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– </w:t>
      </w:r>
      <w:r>
        <w:rPr>
          <w:rFonts w:cs="Times New Roman CYR" w:ascii="Times New Roman CYR" w:hAnsi="Times New Roman CYR"/>
          <w:sz w:val="28"/>
          <w:szCs w:val="28"/>
        </w:rPr>
        <w:t>платных услуг населению края было оказано на сумму 11 051,3 млн рублей (99,5 % к январю-апрелю 2022 года). В структуре объема платных услуг населению, по-прежнему, преобладали: коммунальные, транспортные, телекоммуникационные и жилищные услуги. На их долю приходится 75,4 % общего объема потребляемых услуг. Удельный вес бытовых услуг в общем объеме платных услуг населению составил 5,7 %. В январе-апреле 2023 года населению края было оказано бытовых услуг на 625,7 млн рублей, что в сопоставимых ценах на 1,7 % меньше, чем в январе-апреле 2022 года.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Пассажирооборот автомобильного транспорта за январь-апрель 2023 года составил 91,7 млн пасс.-км (101,2 % к январю-апрелю 2022 года). Число перевезенных пассажиров автомобильным транспортом составило 11,2 млн человек (98,8 % к январю-апрелю 2022 года).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Грузооборот автомобильного транспорта за январь-апрель 2023 года составил 5,5 млн т-км (75,1 % к январю-апрелю 2022 года).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Объем перевезенного груза на морском транспорте составил 151,6 тыс. тонн (90,4 % к январю-апрелю 2022 года). Грузооборот морского транспорта увеличился на 1,0 %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 xml:space="preserve"> </w:t>
      </w:r>
      <w:r>
        <w:rPr>
          <w:rFonts w:cs="Times New Roman CYR" w:ascii="Times New Roman CYR" w:hAnsi="Times New Roman CYR"/>
          <w:sz w:val="28"/>
          <w:szCs w:val="28"/>
        </w:rPr>
        <w:t>и составил 289,3 млн т</w:t>
        <w:noBreakHyphen/>
        <w:t xml:space="preserve">км. 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>В каботажном плавании грузооборот снизился на 9,2 %,</w:t>
      </w:r>
      <w:r>
        <w:rPr>
          <w:rFonts w:cs="Times New Roman CYR" w:ascii="Times New Roman CYR" w:hAnsi="Times New Roman CYR"/>
          <w:sz w:val="28"/>
          <w:szCs w:val="28"/>
        </w:rPr>
        <w:t xml:space="preserve"> в заграничном плавании вырос 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>в</w:t>
      </w:r>
      <w:r>
        <w:rPr>
          <w:rFonts w:cs="Times New Roman CYR" w:ascii="Times New Roman CYR" w:hAnsi="Times New Roman CYR"/>
          <w:sz w:val="28"/>
          <w:szCs w:val="28"/>
        </w:rPr>
        <w:t xml:space="preserve"> 1,9 раза к январю-апрелю 2022 года.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Среднегодовой показатель индекса потребительских цен в январе-апреле 2023 года составил 109,4 %, в том числе</w:t>
      </w:r>
      <w:r>
        <w:rPr>
          <w:rFonts w:cs="Times New Roman CYR" w:ascii="Times New Roman CYR" w:hAnsi="Times New Roman CYR"/>
          <w:sz w:val="28"/>
          <w:szCs w:val="28"/>
          <w:shd w:fill="FFFFFF" w:val="clear"/>
        </w:rPr>
        <w:t xml:space="preserve">: </w:t>
      </w:r>
      <w:r>
        <w:rPr>
          <w:rFonts w:cs="Times New Roman CYR" w:ascii="Times New Roman CYR" w:hAnsi="Times New Roman CYR"/>
          <w:sz w:val="28"/>
          <w:szCs w:val="28"/>
        </w:rPr>
        <w:t>111,7 % на продовольственные товары, 110,3 % на непродовольственные товары и 104,4 % на услуги.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Среднемесячная номинальная начисленная заработная плата одного работника за январь-март 2023 года составила 99 789,8 рублей (112,8 % к январю-марту 2022 года).</w:t>
      </w:r>
      <w:r>
        <w:rPr>
          <w:rFonts w:cs="Times New Roman CYR" w:ascii="Times New Roman CYR" w:hAnsi="Times New Roman CYR"/>
          <w:color w:val="FF0000"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sz w:val="28"/>
          <w:szCs w:val="28"/>
        </w:rPr>
        <w:t>Отмечен рост реальной заработной платы на 2,1 % к январю-марту 2022 года.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Реальные денежные доходы за январь-март 2023 года сложились на уровне 99,1 % к январю-марту 2022 года. Реальные располагаемые денежные доходы составили 99,8 %.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Размер среднедушевого дохода за январь-март 2023 года составил 61 032,3 руб. Соотношение среднедушевого денежного дохода с величиной прожиточного минимума – 231,3 %.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Потребительские расходы сложились в размере 50 223,9 рублей в среднем на душу населения. На цели потребления населением направлено 82,3 % среднедушевого дохода.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На 01.05.2023 просроченная задолженность по заработной плате составила 2,5 млн рублей и за месяц уменьшилась на 31,5 %, в том числе: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1) МУП «Автодор» – 2,5 млн рублей.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Задолженность на 100 % образована из-за отсутствия у организаций собственных средств. Ситуация с погашением задолженности по заработной плате находится на постоянном контроле Правительства Камчатского края.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Численность официально зарегистрированных безработных по состоянию на 01.05.2023 составила 1,8 тыс. человек. Уровень регистрируемой безработицы – 1,1 % (на 01.05.2022 – 1,3 %). Напряженность на рынке труда составила 0,4 человека на одну заявленную работодателями вакансию (01.05.2022 – 0,6).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По состоянию на 01.04.2023 численность населения составила 288,8 тыс. человек, увеличилась по сравнению с 1 января 2023 года на 31 человек за счет миграционного роста населения (193 человека). Естественная убыль составила (-162 человека).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Сальдированный финансовый результат деятельности учтенного круга крупных и средних предприятий за январь-март 2023 года составил 6 112,3 млн рублей, что меньше аналогичного периода прошлого года на 39 %.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Положительный сальдированный результат получен по основным видам деятельности: «сельское, лесное хозяйство, охота, рыболовство и рыбоводство» – 4 627,2 млн рублей; «обрабатывающие производства» – 524,6 млн рублей; «транспортировка и хранение» – 200,5 млн рублей; «обеспечение электрической энергией, газом и паром» – 3 305,6 млн рублей; «деятельность по операциям с недвижимым имуществом» – 28,7 млн рублей;  «деятельность гостиниц и предприятий общественного питания» – 125,7 млн рублей; «водоснабжение, водоотведение, сбор и утилизация отходов, деятельность по ликвидации загрязнений» – 106 млн рублей, «торговля оптовая и розничная; ремонт автотранспортных средств и мотоциклов» – 469,6 млн рублей.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Удельный вес убыточных организаций в общем числе организаций составил 40,6 % от их общего числа.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Дебиторская задолженность по состоянию на 01.04.2023 составила 110 131,3 млн рублей, что на 4,9 % выше, чем на 01.04.2022. Удельный вес просроченной дебиторской задолженности в общем объеме задолженности на 01.04.2023 год составил 3,5 %. Суммарный объем просроченной дебиторской задолженности по сравнению с аналогичным периодом прошлого года снизился на 44,4 % и составил 3 903,5 млн рублей.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Кредиторская задолженность по состоянию на 01.04.2023 год составила 101 109,6 млн рублей, по сравнению с аналогичным периодом прошлого года увеличилась на 14,2 %. Удельный вес просроченной кредиторской задолженности в общем объеме задолженности на 01.04.2023 год составил 1,2 %, суммарный объем – 1 260,4 млн рублей.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  <w:r>
        <w:br w:type="page"/>
      </w:r>
    </w:p>
    <w:p>
      <w:pPr>
        <w:pStyle w:val="Normal"/>
        <w:shd w:val="clear" w:color="auto" w:fill="FFFFFF" w:themeFill="background1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Производство важнейших видов промышленной продукции по Камчатскому краю</w:t>
      </w:r>
    </w:p>
    <w:p>
      <w:pPr>
        <w:pStyle w:val="Normal"/>
        <w:shd w:val="clear" w:color="auto" w:fill="FFFFFF" w:themeFill="background1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02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3964"/>
        <w:gridCol w:w="1418"/>
        <w:gridCol w:w="1276"/>
        <w:gridCol w:w="1557"/>
        <w:gridCol w:w="1986"/>
      </w:tblGrid>
      <w:tr>
        <w:trPr>
          <w:trHeight w:val="1240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Единица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2022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Январь-апрель 2023 года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Январь-апрель 2023 г. в % к январю-апрелю 2022 г. (в сопоставимых условиях)</w:t>
            </w:r>
          </w:p>
        </w:tc>
      </w:tr>
      <w:tr>
        <w:trPr>
          <w:trHeight w:val="540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Электроэнергия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млн.кВт/ч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2 017,2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765,6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105,1</w:t>
            </w:r>
          </w:p>
        </w:tc>
      </w:tr>
      <w:tr>
        <w:trPr>
          <w:trHeight w:val="56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Пар и горячая вода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тыс.Гкал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3 523,1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1667,0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102,2</w:t>
            </w:r>
          </w:p>
        </w:tc>
      </w:tr>
      <w:tr>
        <w:trPr>
          <w:trHeight w:val="41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Газ природный и попутный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cs="Times New Roman" w:ascii="Times New Roman" w:hAnsi="Times New Roman"/>
              </w:rPr>
              <w:t>млн.куб.м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</w:t>
            </w:r>
            <w:r>
              <w:rPr>
                <w:rFonts w:cs="Times New Roman" w:ascii="Times New Roman" w:hAnsi="Times New Roman"/>
              </w:rPr>
              <w:t>*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</w:t>
            </w:r>
            <w:r>
              <w:rPr>
                <w:rFonts w:cs="Times New Roman" w:ascii="Times New Roman" w:hAnsi="Times New Roman"/>
              </w:rPr>
              <w:t>*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83,2</w:t>
            </w:r>
          </w:p>
        </w:tc>
      </w:tr>
      <w:tr>
        <w:trPr>
          <w:trHeight w:val="405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Уголь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</w:t>
            </w:r>
            <w:r>
              <w:rPr>
                <w:rFonts w:cs="Times New Roman" w:ascii="Times New Roman" w:hAnsi="Times New Roman"/>
              </w:rPr>
              <w:t>*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</w:t>
            </w:r>
            <w:r>
              <w:rPr>
                <w:rFonts w:cs="Times New Roman" w:ascii="Times New Roman" w:hAnsi="Times New Roman"/>
              </w:rPr>
              <w:t>*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</w:tr>
      <w:tr>
        <w:trPr>
          <w:trHeight w:val="36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Лесоматериалы необработанные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cs="Times New Roman" w:ascii="Times New Roman" w:hAnsi="Times New Roman"/>
              </w:rPr>
              <w:t>тыс. плотных куб.м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46,9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75,2</w:t>
            </w:r>
          </w:p>
        </w:tc>
      </w:tr>
      <w:tr>
        <w:trPr>
          <w:trHeight w:val="44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Лесоматериалы, продольно распиленные или расколотые, разделенные на слои или лущеные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cs="Times New Roman" w:ascii="Times New Roman" w:hAnsi="Times New Roman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Open Sans" w:hAnsi="Open Sans" w:eastAsia="Open Sans" w:cs="Open Sans"/>
              </w:rPr>
            </w:pPr>
            <w:r>
              <w:rPr>
                <w:rFonts w:cs="Times New Roman" w:ascii="Times New Roman" w:hAnsi="Times New Roman"/>
              </w:rPr>
              <w:t>…</w:t>
            </w:r>
            <w:r>
              <w:rPr>
                <w:rFonts w:cs="Times New Roman" w:ascii="Times New Roman" w:hAnsi="Times New Roman"/>
              </w:rPr>
              <w:t>*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Open Sans" w:hAnsi="Open Sans" w:eastAsia="Open Sans" w:cs="Open Sans"/>
              </w:rPr>
            </w:pPr>
            <w:r>
              <w:rPr>
                <w:rFonts w:cs="Times New Roman" w:ascii="Times New Roman" w:hAnsi="Times New Roman"/>
              </w:rPr>
              <w:t>рост в 3,5 раза</w:t>
            </w:r>
          </w:p>
        </w:tc>
      </w:tr>
      <w:tr>
        <w:trPr>
          <w:trHeight w:val="413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Бетон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тыс. м</w:t>
            </w:r>
            <w:r>
              <w:rPr>
                <w:rFonts w:cs="Times New Roman" w:ascii="Times New Roman" w:hAnsi="Times New Roman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129,1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26,6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131,8</w:t>
            </w:r>
          </w:p>
        </w:tc>
      </w:tr>
      <w:tr>
        <w:trPr>
          <w:trHeight w:val="42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</w:t>
            </w:r>
            <w:r>
              <w:rPr>
                <w:rFonts w:cs="Times New Roman" w:ascii="Times New Roman" w:hAnsi="Times New Roman"/>
              </w:rPr>
              <w:t>*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</w:t>
            </w:r>
            <w:r>
              <w:rPr>
                <w:rFonts w:cs="Times New Roman" w:ascii="Times New Roman" w:hAnsi="Times New Roman"/>
              </w:rPr>
              <w:t>*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102,4</w:t>
            </w:r>
          </w:p>
        </w:tc>
      </w:tr>
      <w:tr>
        <w:trPr>
          <w:trHeight w:val="42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Изделия колбасные, включая изделия колбасные для детского питания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84,3</w:t>
            </w:r>
          </w:p>
        </w:tc>
      </w:tr>
      <w:tr>
        <w:trPr>
          <w:trHeight w:val="427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Молоко жидкое обработанное, включая молоко для детского питания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5,3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101,7</w:t>
            </w:r>
          </w:p>
        </w:tc>
      </w:tr>
      <w:tr>
        <w:trPr>
          <w:trHeight w:val="419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Сыры, продукты сырные и творог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101,9</w:t>
            </w:r>
          </w:p>
        </w:tc>
      </w:tr>
      <w:tr>
        <w:trPr>
          <w:trHeight w:val="419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Изделия хлебобулочные недлительного хранения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18,0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5,3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89,9</w:t>
            </w:r>
          </w:p>
        </w:tc>
      </w:tr>
      <w:tr>
        <w:trPr>
          <w:trHeight w:val="553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Кондитерские изделия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87,1</w:t>
            </w:r>
          </w:p>
        </w:tc>
      </w:tr>
      <w:tr>
        <w:trPr>
          <w:trHeight w:val="425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Воды минеральные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млн. полулитров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</w:t>
            </w:r>
            <w:r>
              <w:rPr>
                <w:rFonts w:cs="Times New Roman" w:ascii="Times New Roman" w:hAnsi="Times New Roman"/>
              </w:rPr>
              <w:t>*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</w:t>
            </w:r>
            <w:r>
              <w:rPr>
                <w:rFonts w:cs="Times New Roman" w:ascii="Times New Roman" w:hAnsi="Times New Roman"/>
              </w:rPr>
              <w:t>*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111,5</w:t>
            </w:r>
          </w:p>
        </w:tc>
      </w:tr>
      <w:tr>
        <w:trPr>
          <w:trHeight w:val="425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Пиво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тыс. дкл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968,6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281,7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96,5</w:t>
            </w:r>
          </w:p>
        </w:tc>
      </w:tr>
      <w:tr>
        <w:trPr>
          <w:trHeight w:val="415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Рыба переработанная и консервированная, ракообразные и моллюски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997,2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391,4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112,6</w:t>
            </w:r>
          </w:p>
        </w:tc>
      </w:tr>
      <w:tr>
        <w:trPr>
          <w:trHeight w:val="32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Консервы рыбные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тыс. туб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79,8</w:t>
            </w:r>
          </w:p>
        </w:tc>
      </w:tr>
    </w:tbl>
    <w:p>
      <w:pPr>
        <w:pStyle w:val="Normal"/>
        <w:shd w:val="clear" w:color="auto" w:fill="FFFFFF" w:themeFill="background1"/>
        <w:spacing w:lineRule="auto" w:line="240" w:before="40" w:after="0"/>
        <w:ind w:firstLine="425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Примечание: * -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 282-ФЗ «Об официальном статистическом учете и системе государственной статистики в Российской Федерации».</w:t>
      </w:r>
      <w:r>
        <w:br w:type="page"/>
      </w:r>
    </w:p>
    <w:p>
      <w:pPr>
        <w:pStyle w:val="Normal"/>
        <w:shd w:val="clear" w:color="auto" w:fill="FFFFFF" w:themeFill="background1"/>
        <w:spacing w:lineRule="auto" w:line="240" w:before="4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Макроэкономические показатели по Камчатскому краю</w:t>
      </w:r>
    </w:p>
    <w:p>
      <w:pPr>
        <w:pStyle w:val="Normal"/>
        <w:shd w:val="clear" w:color="auto" w:fill="FFFFFF" w:themeFill="background1"/>
        <w:spacing w:lineRule="auto" w:line="240" w:before="4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W w:w="10196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4811"/>
        <w:gridCol w:w="1396"/>
        <w:gridCol w:w="1679"/>
        <w:gridCol w:w="2309"/>
      </w:tblGrid>
      <w:tr>
        <w:trPr>
          <w:tblHeader w:val="true"/>
          <w:trHeight w:val="544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022 год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Январь-апрель 2023 года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Январь-апрель 2023 г. в % к январю-апрелю 2022 г. (в сопоставимых условиях)</w:t>
            </w:r>
          </w:p>
        </w:tc>
      </w:tr>
      <w:tr>
        <w:trPr>
          <w:trHeight w:val="159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Индекс промышленного производства, %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84,5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113,8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244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Объем отгруженных товаров собственного производства выполненных работ и услуг по чистым видам деятельности, млн руб.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8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Добыча полезных ископаемых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30 311,0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10 197,6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148,2</w:t>
            </w:r>
          </w:p>
        </w:tc>
      </w:tr>
      <w:tr>
        <w:trPr>
          <w:trHeight w:val="130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- угля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</w:t>
            </w:r>
            <w:r>
              <w:rPr>
                <w:rFonts w:cs="Times New Roman" w:ascii="Times New Roman" w:hAnsi="Times New Roman"/>
              </w:rPr>
              <w:t>*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</w:t>
            </w:r>
            <w:r>
              <w:rPr>
                <w:rFonts w:cs="Times New Roman" w:ascii="Times New Roman" w:hAnsi="Times New Roman"/>
              </w:rPr>
              <w:t>*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100,0</w:t>
            </w:r>
          </w:p>
        </w:tc>
      </w:tr>
      <w:tr>
        <w:trPr>
          <w:trHeight w:val="130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- природного газа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</w:t>
            </w:r>
            <w:r>
              <w:rPr>
                <w:rFonts w:cs="Times New Roman" w:ascii="Times New Roman" w:hAnsi="Times New Roman"/>
              </w:rPr>
              <w:t>*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</w:t>
            </w:r>
            <w:r>
              <w:rPr>
                <w:rFonts w:cs="Times New Roman" w:ascii="Times New Roman" w:hAnsi="Times New Roman"/>
              </w:rPr>
              <w:t>*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30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 xml:space="preserve">- металлических руд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25 673,5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9 296,2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155,7</w:t>
            </w:r>
          </w:p>
        </w:tc>
      </w:tr>
      <w:tr>
        <w:trPr>
          <w:trHeight w:val="130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- прочих полезных ископаемых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1 525,0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318,7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73,9</w:t>
            </w:r>
          </w:p>
        </w:tc>
      </w:tr>
      <w:tr>
        <w:trPr>
          <w:trHeight w:val="158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Обрабатывающие производства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127 981,3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49 550,2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111,5</w:t>
            </w:r>
          </w:p>
        </w:tc>
      </w:tr>
      <w:tr>
        <w:trPr>
          <w:trHeight w:val="130" w:hRule="atLeast"/>
          <w:cantSplit w:val="true"/>
        </w:trPr>
        <w:tc>
          <w:tcPr>
            <w:tcW w:w="48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- производство пищевых продуктов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120 184,7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46 415,9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108,3</w:t>
            </w:r>
          </w:p>
        </w:tc>
      </w:tr>
      <w:tr>
        <w:trPr>
          <w:trHeight w:val="130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- производство напитков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1 132,7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344,1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110,3</w:t>
            </w:r>
          </w:p>
        </w:tc>
      </w:tr>
      <w:tr>
        <w:trPr>
          <w:trHeight w:val="130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- обработка древесины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16,8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</w:t>
            </w:r>
            <w:r>
              <w:rPr>
                <w:rFonts w:cs="Times New Roman" w:ascii="Times New Roman" w:hAnsi="Times New Roman"/>
              </w:rPr>
              <w:t>**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рост в 3,0 раза</w:t>
            </w:r>
          </w:p>
        </w:tc>
      </w:tr>
      <w:tr>
        <w:trPr>
          <w:trHeight w:val="130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- деятельность полиграфическая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196,1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64,3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101,3</w:t>
            </w:r>
          </w:p>
        </w:tc>
      </w:tr>
      <w:tr>
        <w:trPr>
          <w:trHeight w:val="130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- производство химических веществ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</w:t>
            </w:r>
            <w:r>
              <w:rPr>
                <w:rFonts w:cs="Times New Roman" w:ascii="Times New Roman" w:hAnsi="Times New Roman"/>
              </w:rPr>
              <w:t>*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</w:t>
            </w:r>
            <w:r>
              <w:rPr>
                <w:rFonts w:cs="Times New Roman" w:ascii="Times New Roman" w:hAnsi="Times New Roman"/>
              </w:rPr>
              <w:t>**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55,2</w:t>
            </w:r>
          </w:p>
        </w:tc>
      </w:tr>
      <w:tr>
        <w:trPr>
          <w:trHeight w:val="130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- производство резиновых и пластмассовых изделий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187,9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</w:t>
            </w:r>
            <w:r>
              <w:rPr>
                <w:rFonts w:cs="Times New Roman" w:ascii="Times New Roman" w:hAnsi="Times New Roman"/>
              </w:rPr>
              <w:t>**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101,0</w:t>
            </w:r>
          </w:p>
        </w:tc>
      </w:tr>
      <w:tr>
        <w:trPr>
          <w:trHeight w:val="244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- производство прочей неметаллической минеральной продукции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556,4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176,2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рост в 1,6 раза</w:t>
            </w:r>
          </w:p>
        </w:tc>
      </w:tr>
      <w:tr>
        <w:trPr>
          <w:trHeight w:val="130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426" w:hanging="0"/>
              <w:jc w:val="both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- ремонт и монтаж машин и оборудования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4 399,1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2124,0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рост в 2,5 раза</w:t>
            </w:r>
          </w:p>
        </w:tc>
      </w:tr>
      <w:tr>
        <w:trPr>
          <w:trHeight w:val="245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142" w:hanging="142"/>
              <w:jc w:val="both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 xml:space="preserve">Обеспечение электрической энергией, газом и паром, 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left="142" w:hanging="142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кондиционирование воздуха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25 842,6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10 624,5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104,2</w:t>
            </w:r>
          </w:p>
        </w:tc>
      </w:tr>
      <w:tr>
        <w:trPr>
          <w:trHeight w:val="245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Водоснабжение; водоотведение; организация сбора и утилизации отходов, деятельность по ликвидации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3 740,3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1173,1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89,7</w:t>
            </w:r>
          </w:p>
        </w:tc>
      </w:tr>
      <w:tr>
        <w:trPr>
          <w:trHeight w:val="244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Объем инвестиций в основной капитал – всего, 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млн руб.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90 934,7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left" w:pos="743" w:leader="none"/>
              </w:tabs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58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Ввод жилья, тыс. м</w:t>
            </w:r>
            <w:r>
              <w:rPr>
                <w:rFonts w:eastAsia="Times New Roman" w:cs="Times New Roman" w:ascii="Times New Roman" w:hAnsi="Times New Roman"/>
                <w:vertAlign w:val="superscript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67,4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31,3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рост в 1,5 раза</w:t>
            </w:r>
          </w:p>
        </w:tc>
      </w:tr>
      <w:tr>
        <w:trPr>
          <w:trHeight w:val="159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Валовая продукция сельского хозяйства, млн руб.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12 413,5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left" w:pos="884" w:leader="none"/>
              </w:tabs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</w:rPr>
              <w:t>100,2</w:t>
            </w:r>
            <w:r>
              <w:rPr>
                <w:rFonts w:cs="Times New Roman" w:ascii="Times New Roman" w:hAnsi="Times New Roman"/>
                <w:vertAlign w:val="superscript"/>
              </w:rPr>
              <w:t>2</w:t>
            </w:r>
          </w:p>
        </w:tc>
      </w:tr>
      <w:tr>
        <w:trPr>
          <w:trHeight w:val="244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Объем производства продукции животноводства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30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мясо, тыс. тонн (живой вес)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9,4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2,8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98,3</w:t>
            </w:r>
          </w:p>
        </w:tc>
      </w:tr>
      <w:tr>
        <w:trPr>
          <w:trHeight w:val="130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молоко, тыс. тонн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22,7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7,2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98,2</w:t>
            </w:r>
          </w:p>
        </w:tc>
      </w:tr>
      <w:tr>
        <w:trPr>
          <w:trHeight w:val="130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яйца, млн штук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</w:t>
            </w:r>
            <w:r>
              <w:rPr>
                <w:rFonts w:cs="Times New Roman" w:ascii="Times New Roman" w:hAnsi="Times New Roman"/>
              </w:rPr>
              <w:t>*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</w:t>
            </w:r>
            <w:r>
              <w:rPr>
                <w:rFonts w:cs="Times New Roman" w:ascii="Times New Roman" w:hAnsi="Times New Roman"/>
              </w:rPr>
              <w:t>*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107,9</w:t>
            </w:r>
          </w:p>
        </w:tc>
      </w:tr>
      <w:tr>
        <w:trPr>
          <w:trHeight w:val="244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Объем реализации платных услуг населению во всех каналах реализации – всего, млн руб.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31 548,1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11 051,3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99,5</w:t>
            </w:r>
          </w:p>
        </w:tc>
      </w:tr>
      <w:tr>
        <w:trPr>
          <w:trHeight w:val="158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из него: бытовые услуги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1 933,7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625,7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98,3</w:t>
            </w:r>
          </w:p>
        </w:tc>
      </w:tr>
      <w:tr>
        <w:trPr>
          <w:trHeight w:val="159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Оборот розничной торговли – всего, млн руб.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86 784,1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 CYR" w:ascii="Times New Roman CYR" w:hAnsi="Times New Roman CYR"/>
              </w:rPr>
              <w:t>28 831,4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95,1</w:t>
            </w:r>
          </w:p>
        </w:tc>
      </w:tr>
      <w:tr>
        <w:trPr>
          <w:trHeight w:val="159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Оборот общественного питания, млн руб.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8 427,6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2 750,1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95,5</w:t>
            </w:r>
          </w:p>
        </w:tc>
      </w:tr>
      <w:tr>
        <w:trPr>
          <w:trHeight w:val="244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Среднемесячная номинальная заработная плата (с учетом малых предприятий), руб.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103 529,5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113" w:hanging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cs="Times New Roman" w:ascii="Times New Roman" w:hAnsi="Times New Roman"/>
              </w:rPr>
              <w:t>99 789,8</w:t>
            </w:r>
            <w:r>
              <w:rPr>
                <w:rFonts w:cs="Times New Roman" w:ascii="Times New Roman" w:hAnsi="Times New Roman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</w:rPr>
              <w:t>102,1</w:t>
            </w:r>
            <w:r>
              <w:rPr>
                <w:rFonts w:cs="Times New Roman" w:ascii="Times New Roman" w:hAnsi="Times New Roman"/>
                <w:vertAlign w:val="superscript"/>
              </w:rPr>
              <w:t>2</w:t>
            </w:r>
          </w:p>
        </w:tc>
      </w:tr>
      <w:tr>
        <w:trPr>
          <w:trHeight w:val="244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Задолженность по заработной плате (по учтенному кругу предприятий) на конец периода, млн руб.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2,5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46,8</w:t>
            </w:r>
          </w:p>
        </w:tc>
      </w:tr>
      <w:tr>
        <w:trPr>
          <w:trHeight w:val="159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в том числе по видам деятельности: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Транспорт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49,1</w:t>
            </w:r>
          </w:p>
        </w:tc>
      </w:tr>
      <w:tr>
        <w:trPr>
          <w:trHeight w:val="159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Растениеводство и животноводство, охота и предоставление соответствующих услуг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59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244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Задолженность по заработной плате из-за недофинансирования бюджетов всех уровней, млн руб.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30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30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из федерального бюджета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30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из местных бюджетов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30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из бюджета субъекта РФ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244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Задолженность по заработной плате из-за отсутствия собственных средств, млн руб.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left" w:pos="3557" w:leader="none"/>
              </w:tabs>
              <w:spacing w:before="0" w:after="0"/>
              <w:ind w:right="86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2,5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left" w:pos="3557" w:leader="none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46,8</w:t>
            </w:r>
          </w:p>
        </w:tc>
      </w:tr>
      <w:tr>
        <w:trPr>
          <w:trHeight w:val="245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Грузооборот (данные по автомобильному транспорту), млн т/км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25,1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5,5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75,1</w:t>
            </w:r>
          </w:p>
        </w:tc>
      </w:tr>
      <w:tr>
        <w:trPr>
          <w:trHeight w:val="244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Пассажирооборот (данные по автомобильному транспорту), млн пасс. /км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281,8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91,7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>101,2</w:t>
            </w:r>
          </w:p>
        </w:tc>
      </w:tr>
      <w:tr>
        <w:trPr>
          <w:trHeight w:val="244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Сальдированный финансовый результат (прибыль, убыток) – всего, млн руб.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41 229,7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cs="Times New Roman" w:ascii="Times New Roman" w:hAnsi="Times New Roman"/>
              </w:rPr>
              <w:t>6 112,3</w:t>
            </w:r>
            <w:r>
              <w:rPr>
                <w:rFonts w:cs="Times New Roman" w:ascii="Times New Roman" w:hAnsi="Times New Roman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</w:rPr>
              <w:t>61,0</w:t>
            </w:r>
            <w:r>
              <w:rPr>
                <w:rFonts w:cs="Times New Roman" w:ascii="Times New Roman" w:hAnsi="Times New Roman"/>
                <w:vertAlign w:val="superscript"/>
              </w:rPr>
              <w:t>2</w:t>
            </w:r>
          </w:p>
        </w:tc>
      </w:tr>
      <w:tr>
        <w:trPr>
          <w:trHeight w:val="130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4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Сельское, лесное хозяйство, охота,                     рыболовство и рыбоводство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26 203,1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cs="Times New Roman" w:ascii="Times New Roman" w:hAnsi="Times New Roman"/>
              </w:rPr>
              <w:t>4 627,2</w:t>
            </w:r>
            <w:r>
              <w:rPr>
                <w:rFonts w:cs="Times New Roman" w:ascii="Times New Roman" w:hAnsi="Times New Roman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</w:rPr>
              <w:t>63,0</w:t>
            </w:r>
            <w:r>
              <w:rPr>
                <w:rFonts w:cs="Times New Roman" w:ascii="Times New Roman" w:hAnsi="Times New Roman"/>
                <w:vertAlign w:val="superscript"/>
              </w:rPr>
              <w:t>2</w:t>
            </w:r>
          </w:p>
        </w:tc>
      </w:tr>
      <w:tr>
        <w:trPr>
          <w:trHeight w:val="130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Добыча полезных ископаемых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3 954,2</w:t>
            </w:r>
          </w:p>
        </w:tc>
        <w:tc>
          <w:tcPr>
            <w:tcW w:w="1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cs="Times New Roman" w:ascii="Times New Roman" w:hAnsi="Times New Roman"/>
              </w:rPr>
              <w:t>-3 156,0</w:t>
            </w:r>
            <w:r>
              <w:rPr>
                <w:rFonts w:cs="Times New Roman" w:ascii="Times New Roman" w:hAnsi="Times New Roman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30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Обрабатывающие производства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4 576,2</w:t>
            </w:r>
          </w:p>
        </w:tc>
        <w:tc>
          <w:tcPr>
            <w:tcW w:w="1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cs="Times New Roman" w:ascii="Times New Roman" w:hAnsi="Times New Roman"/>
              </w:rPr>
              <w:t>524,6</w:t>
            </w:r>
            <w:r>
              <w:rPr>
                <w:rFonts w:cs="Times New Roman" w:ascii="Times New Roman" w:hAnsi="Times New Roman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</w:rPr>
              <w:t>43,8</w:t>
            </w:r>
            <w:r>
              <w:rPr>
                <w:rFonts w:cs="Times New Roman" w:ascii="Times New Roman" w:hAnsi="Times New Roman"/>
                <w:vertAlign w:val="superscript"/>
                <w:lang w:val="en-US"/>
              </w:rPr>
              <w:t>2</w:t>
            </w:r>
          </w:p>
        </w:tc>
      </w:tr>
      <w:tr>
        <w:trPr>
          <w:trHeight w:val="244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1 273,1</w:t>
            </w:r>
          </w:p>
        </w:tc>
        <w:tc>
          <w:tcPr>
            <w:tcW w:w="1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cs="Times New Roman" w:ascii="Times New Roman" w:hAnsi="Times New Roman"/>
              </w:rPr>
              <w:t>3 305,6</w:t>
            </w:r>
            <w:r>
              <w:rPr>
                <w:rFonts w:cs="Times New Roman" w:ascii="Times New Roman" w:hAnsi="Times New Roman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</w:rPr>
              <w:t>180,4</w:t>
            </w:r>
            <w:r>
              <w:rPr>
                <w:rFonts w:cs="Times New Roman" w:ascii="Times New Roman" w:hAnsi="Times New Roman"/>
                <w:vertAlign w:val="superscript"/>
                <w:lang w:val="en-US"/>
              </w:rPr>
              <w:t>2</w:t>
            </w:r>
          </w:p>
        </w:tc>
      </w:tr>
      <w:tr>
        <w:trPr>
          <w:trHeight w:val="244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Водоснабжение, водоотведение, сбор и утилизация отходов, деятельность по ликвидации загрязнений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8,4</w:t>
            </w:r>
          </w:p>
        </w:tc>
        <w:tc>
          <w:tcPr>
            <w:tcW w:w="1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cs="Times New Roman" w:ascii="Times New Roman" w:hAnsi="Times New Roman"/>
              </w:rPr>
              <w:t>106,0</w:t>
            </w:r>
            <w:r>
              <w:rPr>
                <w:rFonts w:cs="Times New Roman" w:ascii="Times New Roman" w:hAnsi="Times New Roman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59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Строительство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596,5</w:t>
            </w:r>
          </w:p>
        </w:tc>
        <w:tc>
          <w:tcPr>
            <w:tcW w:w="1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cs="Times New Roman" w:ascii="Times New Roman" w:hAnsi="Times New Roman"/>
              </w:rPr>
              <w:t>-67,0</w:t>
            </w:r>
            <w:r>
              <w:rPr>
                <w:rFonts w:cs="Times New Roman" w:ascii="Times New Roman" w:hAnsi="Times New Roman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59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2 987,1</w:t>
            </w:r>
          </w:p>
        </w:tc>
        <w:tc>
          <w:tcPr>
            <w:tcW w:w="1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cs="Times New Roman" w:ascii="Times New Roman" w:hAnsi="Times New Roman"/>
              </w:rPr>
              <w:t>469,6</w:t>
            </w:r>
            <w:r>
              <w:rPr>
                <w:rFonts w:cs="Times New Roman" w:ascii="Times New Roman" w:hAnsi="Times New Roman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52,7</w:t>
            </w:r>
          </w:p>
        </w:tc>
      </w:tr>
      <w:tr>
        <w:trPr>
          <w:trHeight w:val="159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Транспортировка и хранение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1 767,8</w:t>
            </w:r>
          </w:p>
        </w:tc>
        <w:tc>
          <w:tcPr>
            <w:tcW w:w="1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cs="Times New Roman" w:ascii="Times New Roman" w:hAnsi="Times New Roman"/>
              </w:rPr>
              <w:t>200,5</w:t>
            </w:r>
            <w:r>
              <w:rPr>
                <w:rFonts w:cs="Times New Roman" w:ascii="Times New Roman" w:hAnsi="Times New Roman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</w:rPr>
              <w:t>рост в 17,4 раза</w:t>
            </w:r>
          </w:p>
        </w:tc>
      </w:tr>
      <w:tr>
        <w:trPr>
          <w:trHeight w:val="159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45,1</w:t>
            </w:r>
          </w:p>
        </w:tc>
        <w:tc>
          <w:tcPr>
            <w:tcW w:w="1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cs="Times New Roman" w:ascii="Times New Roman" w:hAnsi="Times New Roman"/>
              </w:rPr>
              <w:t>125,7</w:t>
            </w:r>
            <w:r>
              <w:rPr>
                <w:rFonts w:cs="Times New Roman" w:ascii="Times New Roman" w:hAnsi="Times New Roman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59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160,2</w:t>
            </w:r>
          </w:p>
        </w:tc>
        <w:tc>
          <w:tcPr>
            <w:tcW w:w="1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cs="Times New Roman" w:ascii="Times New Roman" w:hAnsi="Times New Roman"/>
              </w:rPr>
              <w:t>28,7</w:t>
            </w:r>
            <w:r>
              <w:rPr>
                <w:rFonts w:cs="Times New Roman" w:ascii="Times New Roman" w:hAnsi="Times New Roman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cs="Times New Roman" w:ascii="Times New Roman" w:hAnsi="Times New Roman"/>
              </w:rPr>
              <w:t>154,2</w:t>
            </w:r>
            <w:r>
              <w:rPr>
                <w:rFonts w:cs="Times New Roman" w:ascii="Times New Roman" w:hAnsi="Times New Roman"/>
                <w:vertAlign w:val="superscript"/>
              </w:rPr>
              <w:t>2</w:t>
            </w:r>
          </w:p>
        </w:tc>
      </w:tr>
      <w:tr>
        <w:trPr>
          <w:trHeight w:val="244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Задолженность предприятий и организаций на конец периода, млн рублей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59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дебиторская – всего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108 948,3</w:t>
            </w:r>
          </w:p>
        </w:tc>
        <w:tc>
          <w:tcPr>
            <w:tcW w:w="1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cs="Times New Roman" w:ascii="Times New Roman" w:hAnsi="Times New Roman"/>
              </w:rPr>
              <w:t>110 131,3</w:t>
            </w:r>
            <w:r>
              <w:rPr>
                <w:rFonts w:cs="Times New Roman" w:ascii="Times New Roman" w:hAnsi="Times New Roman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</w:rPr>
              <w:t>104,9</w:t>
            </w:r>
            <w:r>
              <w:rPr>
                <w:rFonts w:cs="Times New Roman" w:ascii="Times New Roman" w:hAnsi="Times New Roman"/>
                <w:vertAlign w:val="superscript"/>
                <w:lang w:val="en-US"/>
              </w:rPr>
              <w:t>2</w:t>
            </w:r>
          </w:p>
        </w:tc>
      </w:tr>
      <w:tr>
        <w:trPr>
          <w:trHeight w:val="159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в том числе: просроченная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6 896,5</w:t>
            </w:r>
          </w:p>
        </w:tc>
        <w:tc>
          <w:tcPr>
            <w:tcW w:w="1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cs="Times New Roman" w:ascii="Times New Roman" w:hAnsi="Times New Roman"/>
              </w:rPr>
              <w:t>3 903,5</w:t>
            </w:r>
            <w:r>
              <w:rPr>
                <w:rFonts w:cs="Times New Roman" w:ascii="Times New Roman" w:hAnsi="Times New Roman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</w:rPr>
              <w:t>55,6</w:t>
            </w:r>
            <w:r>
              <w:rPr>
                <w:rFonts w:cs="Times New Roman" w:ascii="Times New Roman" w:hAnsi="Times New Roman"/>
                <w:vertAlign w:val="superscript"/>
                <w:lang w:val="en-US"/>
              </w:rPr>
              <w:t>2</w:t>
            </w:r>
          </w:p>
        </w:tc>
      </w:tr>
      <w:tr>
        <w:trPr>
          <w:trHeight w:val="65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кредиторская – всего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101 551,9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cs="Times New Roman" w:ascii="Times New Roman" w:hAnsi="Times New Roman"/>
              </w:rPr>
              <w:t>101 109,6</w:t>
            </w:r>
            <w:r>
              <w:rPr>
                <w:rFonts w:cs="Times New Roman" w:ascii="Times New Roman" w:hAnsi="Times New Roman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</w:rPr>
              <w:t>114,2</w:t>
            </w:r>
            <w:r>
              <w:rPr>
                <w:rFonts w:cs="Times New Roman" w:ascii="Times New Roman" w:hAnsi="Times New Roman"/>
                <w:vertAlign w:val="superscript"/>
                <w:lang w:val="en-US"/>
              </w:rPr>
              <w:t>2</w:t>
            </w:r>
          </w:p>
        </w:tc>
      </w:tr>
      <w:tr>
        <w:trPr>
          <w:trHeight w:val="159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в том числе: просроченная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1 927,9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cs="Times New Roman" w:ascii="Times New Roman" w:hAnsi="Times New Roman"/>
              </w:rPr>
              <w:t>1 260,4</w:t>
            </w:r>
            <w:r>
              <w:rPr>
                <w:rFonts w:cs="Times New Roman" w:ascii="Times New Roman" w:hAnsi="Times New Roman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</w:rPr>
              <w:t>95,7</w:t>
            </w:r>
            <w:r>
              <w:rPr>
                <w:rFonts w:cs="Times New Roman" w:ascii="Times New Roman" w:hAnsi="Times New Roman"/>
                <w:vertAlign w:val="superscript"/>
                <w:lang w:val="en-US"/>
              </w:rPr>
              <w:t>2</w:t>
            </w:r>
          </w:p>
        </w:tc>
      </w:tr>
      <w:tr>
        <w:trPr>
          <w:trHeight w:val="159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Численность населения, тыс. чел.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288,7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cs="Times New Roman" w:ascii="Times New Roman" w:hAnsi="Times New Roman"/>
              </w:rPr>
              <w:t>288,8</w:t>
            </w:r>
            <w:r>
              <w:rPr>
                <w:rFonts w:cs="Times New Roman" w:ascii="Times New Roman" w:hAnsi="Times New Roman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cs="Times New Roman" w:ascii="Times New Roman" w:hAnsi="Times New Roman"/>
              </w:rPr>
              <w:t>99,1</w:t>
            </w:r>
            <w:r>
              <w:rPr>
                <w:rFonts w:cs="Times New Roman" w:ascii="Times New Roman" w:hAnsi="Times New Roman"/>
                <w:vertAlign w:val="superscript"/>
              </w:rPr>
              <w:t>2</w:t>
            </w:r>
          </w:p>
        </w:tc>
      </w:tr>
      <w:tr>
        <w:trPr>
          <w:trHeight w:val="159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Естественный прирост (убыль), чел.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-881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cs="Times New Roman" w:ascii="Times New Roman" w:hAnsi="Times New Roman"/>
              </w:rPr>
              <w:t>-162,0</w:t>
            </w:r>
            <w:r>
              <w:rPr>
                <w:rFonts w:cs="Times New Roman" w:ascii="Times New Roman" w:hAnsi="Times New Roman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cs="Times New Roman" w:ascii="Times New Roman" w:hAnsi="Times New Roman"/>
              </w:rPr>
              <w:t>50,3</w:t>
            </w:r>
            <w:r>
              <w:rPr>
                <w:rFonts w:cs="Times New Roman" w:ascii="Times New Roman" w:hAnsi="Times New Roman"/>
                <w:vertAlign w:val="superscript"/>
                <w:lang w:val="en-US"/>
              </w:rPr>
              <w:t>2</w:t>
            </w:r>
          </w:p>
        </w:tc>
      </w:tr>
      <w:tr>
        <w:trPr>
          <w:trHeight w:val="159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Миграционный прирост (убыль), чел.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-2 963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cs="Times New Roman" w:ascii="Times New Roman" w:hAnsi="Times New Roman"/>
              </w:rPr>
              <w:t>193,0</w:t>
            </w:r>
            <w:r>
              <w:rPr>
                <w:rFonts w:cs="Times New Roman" w:ascii="Times New Roman" w:hAnsi="Times New Roman"/>
                <w:vertAlign w:val="superscript"/>
              </w:rPr>
              <w:t>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ind w:left="-57" w:right="-57" w:hanging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cs="Times New Roman" w:ascii="Times New Roman" w:hAnsi="Times New Roman"/>
                <w:vertAlign w:val="superscript"/>
              </w:rPr>
              <w:t>-</w:t>
            </w:r>
          </w:p>
        </w:tc>
      </w:tr>
      <w:tr>
        <w:trPr>
          <w:trHeight w:val="159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Численность занятых в экономике, тыс. чел.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172,3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cs="Times New Roman" w:ascii="Times New Roman" w:hAnsi="Times New Roman"/>
              </w:rPr>
              <w:t>161,1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cs="Times New Roman" w:ascii="Times New Roman" w:hAnsi="Times New Roman"/>
              </w:rPr>
              <w:t>93,6</w:t>
            </w:r>
          </w:p>
        </w:tc>
      </w:tr>
      <w:tr>
        <w:trPr>
          <w:trHeight w:val="159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Общая численность безработных, тыс. чел.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5,2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cs="Times New Roman" w:ascii="Times New Roman" w:hAnsi="Times New Roman"/>
              </w:rPr>
              <w:t>3,4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cs="Times New Roman" w:ascii="Times New Roman" w:hAnsi="Times New Roman"/>
              </w:rPr>
              <w:t>47,9</w:t>
            </w:r>
          </w:p>
        </w:tc>
      </w:tr>
      <w:tr>
        <w:trPr>
          <w:trHeight w:val="159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в т. ч. официально зарегистрированных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cs="Times New Roman" w:ascii="Times New Roman" w:hAnsi="Times New Roman"/>
              </w:rPr>
              <w:t>1,9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cs="Times New Roman" w:ascii="Times New Roman" w:hAnsi="Times New Roman"/>
              </w:rPr>
              <w:t>81,5</w:t>
            </w:r>
          </w:p>
        </w:tc>
      </w:tr>
      <w:tr>
        <w:trPr>
          <w:trHeight w:val="159" w:hRule="atLeast"/>
          <w:cantSplit w:val="true"/>
        </w:trPr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Уровень зарегистрированной безработицы (среднее за период), %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cs="Times New Roman" w:ascii="Times New Roman" w:hAnsi="Times New Roman"/>
              </w:rPr>
              <w:t>1,2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</w:tbl>
    <w:p>
      <w:pPr>
        <w:pStyle w:val="Normal"/>
        <w:shd w:val="clear" w:color="auto" w:fill="FFFFFF" w:themeFill="background1"/>
        <w:spacing w:lineRule="auto" w:line="240" w:before="0" w:after="0"/>
        <w:ind w:left="57" w:hanging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Примечание: </w:t>
      </w:r>
    </w:p>
    <w:p>
      <w:pPr>
        <w:pStyle w:val="Normal"/>
        <w:shd w:val="clear" w:color="auto" w:fill="FFFFFF" w:themeFill="background1"/>
        <w:spacing w:lineRule="auto" w:line="240" w:before="0" w:after="0"/>
        <w:ind w:left="57" w:hanging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…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* -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Федерации»;</w:t>
      </w:r>
    </w:p>
    <w:p>
      <w:pPr>
        <w:pStyle w:val="Normal"/>
        <w:shd w:val="clear" w:color="auto" w:fill="FFFFFF" w:themeFill="background1"/>
        <w:spacing w:lineRule="auto" w:line="240" w:before="0" w:after="0"/>
        <w:ind w:left="57" w:hanging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1 – январь-март 2023 года;</w:t>
      </w:r>
    </w:p>
    <w:p>
      <w:pPr>
        <w:pStyle w:val="Normal"/>
        <w:shd w:val="clear" w:color="auto" w:fill="FFFFFF" w:themeFill="background1"/>
        <w:spacing w:lineRule="auto" w:line="240" w:before="0" w:after="0"/>
        <w:ind w:left="57" w:hanging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2 – январь-март 2023 года к январю-марту 2022 года.</w:t>
      </w:r>
    </w:p>
    <w:p>
      <w:pPr>
        <w:pStyle w:val="Normal"/>
        <w:shd w:val="clear" w:color="auto" w:fill="FFFFFF" w:themeFill="background1"/>
        <w:spacing w:lineRule="auto" w:line="240" w:before="0" w:after="0"/>
        <w:ind w:left="57" w:hanging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left="-426" w:hanging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/>
      </w:r>
    </w:p>
    <w:sectPr>
      <w:headerReference w:type="default" r:id="rId2"/>
      <w:type w:val="nextPage"/>
      <w:pgSz w:w="11906" w:h="16838"/>
      <w:pgMar w:left="1134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swiss"/>
    <w:pitch w:val="variable"/>
  </w:font>
  <w:font w:name="Open Sans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412190853"/>
    </w:sdtPr>
    <w:sdtContent>
      <w:p>
        <w:pPr>
          <w:pStyle w:val="Style30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10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75e4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link w:val="PlainText"/>
    <w:uiPriority w:val="99"/>
    <w:semiHidden/>
    <w:qFormat/>
    <w:rsid w:val="00e72da7"/>
    <w:rPr>
      <w:rFonts w:ascii="Calibri" w:hAnsi="Calibri" w:eastAsia="Calibri" w:cs="Times New Roman"/>
      <w:szCs w:val="21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5344d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31799b"/>
    <w:rPr/>
  </w:style>
  <w:style w:type="character" w:styleId="Style18">
    <w:name w:val="Hyperlink"/>
    <w:basedOn w:val="DefaultParagraphFont"/>
    <w:uiPriority w:val="99"/>
    <w:unhideWhenUsed/>
    <w:rsid w:val="00681bfe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d5ab3"/>
    <w:rPr>
      <w:sz w:val="16"/>
      <w:szCs w:val="16"/>
    </w:rPr>
  </w:style>
  <w:style w:type="character" w:styleId="Style19" w:customStyle="1">
    <w:name w:val="Текст примечания Знак"/>
    <w:basedOn w:val="DefaultParagraphFont"/>
    <w:link w:val="Annotationtext"/>
    <w:uiPriority w:val="99"/>
    <w:semiHidden/>
    <w:qFormat/>
    <w:rsid w:val="001d5ab3"/>
    <w:rPr>
      <w:sz w:val="20"/>
      <w:szCs w:val="20"/>
    </w:rPr>
  </w:style>
  <w:style w:type="character" w:styleId="Style20" w:customStyle="1">
    <w:name w:val="Тема примечания Знак"/>
    <w:basedOn w:val="Style19"/>
    <w:link w:val="Annotationsubject"/>
    <w:uiPriority w:val="99"/>
    <w:semiHidden/>
    <w:qFormat/>
    <w:rsid w:val="001d5ab3"/>
    <w:rPr>
      <w:b/>
      <w:bCs/>
      <w:sz w:val="20"/>
      <w:szCs w:val="20"/>
    </w:rPr>
  </w:style>
  <w:style w:type="character" w:styleId="Bxmessengerajax" w:customStyle="1">
    <w:name w:val="bx-messenger-ajax"/>
    <w:basedOn w:val="DefaultParagraphFont"/>
    <w:qFormat/>
    <w:rsid w:val="007949cb"/>
    <w:rPr/>
  </w:style>
  <w:style w:type="character" w:styleId="Docdata" w:customStyle="1">
    <w:name w:val="docdata"/>
    <w:basedOn w:val="DefaultParagraphFont"/>
    <w:qFormat/>
    <w:rsid w:val="00d1028f"/>
    <w:rPr/>
  </w:style>
  <w:style w:type="character" w:styleId="Style21" w:customStyle="1">
    <w:name w:val="Символ нумерации"/>
    <w:qFormat/>
    <w:rPr>
      <w:shd w:fill="FFFF00" w:val="clear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Style27">
    <w:name w:val="Title"/>
    <w:basedOn w:val="Normal"/>
    <w:next w:val="Style23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PlainText">
    <w:name w:val="Plain Text"/>
    <w:basedOn w:val="Normal"/>
    <w:link w:val="Style14"/>
    <w:uiPriority w:val="99"/>
    <w:semiHidden/>
    <w:unhideWhenUsed/>
    <w:qFormat/>
    <w:rsid w:val="00e72da7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Style28" w:customStyle="1">
    <w:name w:val="Колонтитул"/>
    <w:basedOn w:val="Normal"/>
    <w:qFormat/>
    <w:pPr/>
    <w:rPr/>
  </w:style>
  <w:style w:type="paragraph" w:styleId="Style29">
    <w:name w:val="Footer"/>
    <w:basedOn w:val="Normal"/>
    <w:link w:val="Style15"/>
    <w:uiPriority w:val="99"/>
    <w:rsid w:val="0095344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277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0">
    <w:name w:val="Header"/>
    <w:basedOn w:val="Normal"/>
    <w:link w:val="Style17"/>
    <w:uiPriority w:val="99"/>
    <w:unhideWhenUsed/>
    <w:rsid w:val="003179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Style19"/>
    <w:uiPriority w:val="99"/>
    <w:semiHidden/>
    <w:unhideWhenUsed/>
    <w:qFormat/>
    <w:rsid w:val="001d5ab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0"/>
    <w:uiPriority w:val="99"/>
    <w:semiHidden/>
    <w:unhideWhenUsed/>
    <w:qFormat/>
    <w:rsid w:val="001d5ab3"/>
    <w:pPr/>
    <w:rPr>
      <w:b/>
      <w:bCs/>
    </w:rPr>
  </w:style>
  <w:style w:type="paragraph" w:styleId="Style3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 w:customStyle="1">
    <w:name w:val="Заголовок таблицы"/>
    <w:basedOn w:val="Style31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80407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39"/>
    <w:rsid w:val="00ab3ec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C5EAF-6F82-4BF4-BA78-4AED7440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5545</TotalTime>
  <Application>LibreOffice/7.4.4.2$Linux_X86_64 LibreOffice_project/40$Build-2</Application>
  <AppVersion>15.0000</AppVersion>
  <Pages>10</Pages>
  <Words>3066</Words>
  <Characters>19187</Characters>
  <CharactersWithSpaces>22030</CharactersWithSpaces>
  <Paragraphs>424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2023-03-06T05:02:00Z</dcterms:created>
  <dc:creator>Киселев Виктор Вадимович</dc:creator>
  <dc:description/>
  <dc:language>ru-RU</dc:language>
  <cp:lastModifiedBy>Головникова Вера Михайловна</cp:lastModifiedBy>
  <cp:lastPrinted>2023-03-29T03:47:00Z</cp:lastPrinted>
  <dcterms:modified xsi:type="dcterms:W3CDTF">2023-05-31T23:59:00Z</dcterms:modified>
  <cp:revision>241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