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7B" w:rsidRDefault="00236F3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87B" w:rsidRDefault="00D9187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9187B" w:rsidRDefault="00D9187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9187B" w:rsidRDefault="00D918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187B" w:rsidRDefault="00236F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9187B" w:rsidRDefault="00D918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9187B" w:rsidRDefault="00236F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9187B" w:rsidRDefault="00236F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9187B" w:rsidRDefault="00D9187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9187B" w:rsidRDefault="00D9187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9187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9187B" w:rsidRDefault="00236F3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9187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187B" w:rsidRDefault="00236F3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9187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9187B" w:rsidRDefault="00D918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9187B" w:rsidRDefault="00D918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236F37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определения объема и предоставления из краевого бюджета в 2023–2024 годах субсидии Гарантийному</w:t>
      </w:r>
      <w:r>
        <w:rPr>
          <w:rFonts w:ascii="Times New Roman" w:hAnsi="Times New Roman"/>
          <w:b/>
          <w:sz w:val="28"/>
        </w:rPr>
        <w:t xml:space="preserve">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</w:t>
      </w:r>
      <w:r>
        <w:rPr>
          <w:rFonts w:ascii="Times New Roman" w:hAnsi="Times New Roman"/>
          <w:b/>
          <w:sz w:val="28"/>
        </w:rPr>
        <w:t>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</w:t>
      </w: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236F3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</w:t>
      </w:r>
      <w:r>
        <w:rPr>
          <w:rFonts w:ascii="Times New Roman" w:hAnsi="Times New Roman"/>
          <w:sz w:val="28"/>
        </w:rPr>
        <w:t>й Федерации</w:t>
      </w: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236F3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236F3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определения объема и предоставления из краевого бюджета в 2023–2024 годах субсидии Гарантийному фонду развития предпринимательства Камчатского края</w:t>
      </w:r>
      <w:r>
        <w:rPr>
          <w:rFonts w:ascii="Times New Roman" w:hAnsi="Times New Roman"/>
          <w:sz w:val="28"/>
        </w:rPr>
        <w:t xml:space="preserve"> на финансовое обеспечение</w:t>
      </w:r>
      <w:r>
        <w:rPr>
          <w:rFonts w:ascii="Times New Roman" w:hAnsi="Times New Roman"/>
          <w:sz w:val="28"/>
        </w:rPr>
        <w:t xml:space="preserve">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</w:t>
      </w:r>
      <w:r>
        <w:rPr>
          <w:rFonts w:ascii="Times New Roman" w:hAnsi="Times New Roman"/>
          <w:sz w:val="28"/>
        </w:rPr>
        <w:t>есурсам, основанным на кредитных договорах, договорах займа и лизинга, банковской гарантии и других договорах, согл</w:t>
      </w:r>
      <w:r>
        <w:rPr>
          <w:rFonts w:ascii="Times New Roman" w:hAnsi="Times New Roman"/>
          <w:sz w:val="28"/>
        </w:rPr>
        <w:t>асно приложению к настоящему постановлению.</w:t>
      </w:r>
    </w:p>
    <w:p w:rsidR="00D9187B" w:rsidRDefault="00236F3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D9187B" w:rsidTr="00B709AE">
        <w:trPr>
          <w:trHeight w:val="1918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9187B" w:rsidRDefault="00236F3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</w:t>
            </w:r>
            <w:r>
              <w:rPr>
                <w:rFonts w:ascii="Times New Roman" w:hAnsi="Times New Roman"/>
                <w:sz w:val="28"/>
              </w:rPr>
              <w:t>ель Правительства Камчатского края</w:t>
            </w:r>
          </w:p>
          <w:p w:rsidR="00D9187B" w:rsidRDefault="00D9187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9187B" w:rsidRDefault="00236F3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9187B" w:rsidRDefault="00D9187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D9187B" w:rsidRDefault="00D9187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9187B" w:rsidRDefault="00236F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9187B" w:rsidRDefault="00D918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9187B" w:rsidRDefault="00236F37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918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87B" w:rsidRDefault="00236F3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D918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87B" w:rsidRDefault="00236F3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918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D9187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236F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236F3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236F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187B" w:rsidRDefault="00236F3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9187B" w:rsidRDefault="00D9187B" w:rsidP="00021062">
      <w:pPr>
        <w:spacing w:line="240" w:lineRule="auto"/>
      </w:pPr>
    </w:p>
    <w:p w:rsidR="00D9187B" w:rsidRDefault="00D9187B" w:rsidP="00021062">
      <w:pPr>
        <w:spacing w:line="240" w:lineRule="auto"/>
      </w:pPr>
    </w:p>
    <w:p w:rsidR="00D9187B" w:rsidRDefault="00236F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D9187B" w:rsidRDefault="00236F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определения объема и предоставления из краевого </w:t>
      </w:r>
      <w:r>
        <w:rPr>
          <w:rFonts w:ascii="Times New Roman" w:hAnsi="Times New Roman"/>
          <w:sz w:val="28"/>
        </w:rPr>
        <w:t xml:space="preserve">бюджета в 2023–2024 годах субсидии Гарантийному фонду развития предпринимательства Камчатского края </w:t>
      </w:r>
      <w:r>
        <w:rPr>
          <w:rFonts w:ascii="Times New Roman" w:hAnsi="Times New Roman"/>
          <w:sz w:val="28"/>
        </w:rPr>
        <w:t xml:space="preserve">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</w:t>
      </w:r>
      <w:r>
        <w:rPr>
          <w:rFonts w:ascii="Times New Roman" w:hAnsi="Times New Roman"/>
          <w:sz w:val="28"/>
        </w:rPr>
        <w:t xml:space="preserve">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 </w:t>
      </w:r>
      <w:r>
        <w:rPr>
          <w:rFonts w:ascii="Times New Roman" w:hAnsi="Times New Roman"/>
          <w:sz w:val="28"/>
        </w:rPr>
        <w:t>(далее – Порядок)</w:t>
      </w:r>
    </w:p>
    <w:p w:rsidR="00D9187B" w:rsidRDefault="00D918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Настоящий Порядок регламентирует вопросы определения объема и предоставления из краевого бюджета в 2023–2024 годах субсидии Гарантийному фонду развития предпринимательства Камчатского края (далее – получатель субсидии) в целях достижения результата основн</w:t>
      </w:r>
      <w:r>
        <w:rPr>
          <w:rFonts w:ascii="Times New Roman" w:hAnsi="Times New Roman"/>
          <w:sz w:val="28"/>
        </w:rPr>
        <w:t xml:space="preserve">ого мероприятия 2.4. </w:t>
      </w:r>
      <w:r w:rsidR="001F681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«I5 Региональный проект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Камчатского края «Развитие экономики и внешнеэкономической </w:t>
      </w:r>
      <w:r>
        <w:rPr>
          <w:rFonts w:ascii="Times New Roman" w:hAnsi="Times New Roman"/>
          <w:sz w:val="28"/>
        </w:rPr>
        <w:t>деятельности Камчатского края», утвержденной постановлением Правительства Камчатского края от 01.07.2021 № 277-П, на финансовое обеспечение затрат по обязательствам субъектов малого и среднего предпринимательства, физических лиц, применяющих специальный на</w:t>
      </w:r>
      <w:r>
        <w:rPr>
          <w:rFonts w:ascii="Times New Roman" w:hAnsi="Times New Roman"/>
          <w:sz w:val="28"/>
        </w:rPr>
        <w:t xml:space="preserve">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 (далее </w:t>
      </w:r>
      <w:r>
        <w:rPr>
          <w:rFonts w:ascii="Times New Roman" w:hAnsi="Times New Roman"/>
          <w:sz w:val="28"/>
        </w:rPr>
        <w:t>– субсидия).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Министерство экономического развития Камчатского края (далее – Министерство) осуществляет функции главного распорядителя бюджет</w:t>
      </w:r>
      <w:r>
        <w:rPr>
          <w:rFonts w:ascii="Times New Roman" w:hAnsi="Times New Roman"/>
          <w:sz w:val="28"/>
        </w:rPr>
        <w:t xml:space="preserve">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</w:t>
      </w:r>
      <w:r>
        <w:rPr>
          <w:rFonts w:ascii="Times New Roman" w:hAnsi="Times New Roman"/>
          <w:sz w:val="28"/>
        </w:rPr>
        <w:t xml:space="preserve">доставляется Министерством в пределах лимитов бюджетных обязательств, доведенных до Министерства в установленном порядке. 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«Интернет» в разделе «Бюджет» не позднее 15 рабочего дня, следующего за днем принятия закона о бюджете (закона о внесении изменений в закон о бюджете).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Направлением расходов, источником финансового обеспечения которых является субсидия, является обеспе</w:t>
      </w:r>
      <w:r>
        <w:rPr>
          <w:rFonts w:ascii="Times New Roman" w:hAnsi="Times New Roman"/>
          <w:sz w:val="28"/>
        </w:rPr>
        <w:t>чение исполнения обязательств по поручительствам, предоставленным получателем субсидии в целях обеспечения обязательств субъектов малого и среднего предпринимательства, физических лиц, применяющих специальный налоговый режим «Налог на профессиональный дохо</w:t>
      </w:r>
      <w:r>
        <w:rPr>
          <w:rFonts w:ascii="Times New Roman" w:hAnsi="Times New Roman"/>
          <w:sz w:val="28"/>
        </w:rPr>
        <w:t>д», основанных на кредитных договорах, договорах займа и лизинга, банковской гарантии и других договорах.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Условием предоставления субсидии является соответствие получателя субсидии, на первое число месяца, в котором планируется заключение соглашения о п</w:t>
      </w:r>
      <w:r>
        <w:rPr>
          <w:rFonts w:ascii="Times New Roman" w:hAnsi="Times New Roman"/>
          <w:sz w:val="28"/>
        </w:rPr>
        <w:t>редоставлении субсидии (далее – Соглашение),</w:t>
      </w:r>
      <w:r w:rsidR="00374E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 требованиям: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</w:t>
      </w:r>
      <w:r>
        <w:rPr>
          <w:rFonts w:ascii="Times New Roman" w:hAnsi="Times New Roman"/>
          <w:sz w:val="28"/>
        </w:rPr>
        <w:t>овыми актами, и иная просроченная (неурегулированная) задолженность перед Камчатским краем;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должен находиться в процессе реорганизации (за исключением реорганизации в форме присоединения к юридическому лицу другого юридического ли</w:t>
      </w:r>
      <w:r>
        <w:rPr>
          <w:rFonts w:ascii="Times New Roman" w:hAnsi="Times New Roman"/>
          <w:sz w:val="28"/>
        </w:rPr>
        <w:t>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реестре дисквалифицированных лиц отсутствуют сведения о дисквалифицированных </w:t>
      </w:r>
      <w:r>
        <w:rPr>
          <w:rFonts w:ascii="Times New Roman" w:hAnsi="Times New Roman"/>
          <w:sz w:val="28"/>
        </w:rPr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не должен являться иностранным юридическим лицом, в том числе мест</w:t>
      </w:r>
      <w:r>
        <w:rPr>
          <w:rFonts w:ascii="Times New Roman" w:hAnsi="Times New Roman"/>
          <w:sz w:val="28"/>
        </w:rPr>
        <w:t>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>
        <w:rPr>
          <w:rFonts w:ascii="Times New Roman" w:hAnsi="Times New Roman"/>
          <w:sz w:val="28"/>
        </w:rPr>
        <w:t xml:space="preserve">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3C079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25 процентов (если иное не предусмотрено законодательс</w:t>
      </w:r>
      <w:r>
        <w:rPr>
          <w:rFonts w:ascii="Times New Roman" w:hAnsi="Times New Roman"/>
          <w:sz w:val="28"/>
        </w:rPr>
        <w:t>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</w:t>
      </w:r>
      <w:r>
        <w:rPr>
          <w:rFonts w:ascii="Times New Roman" w:hAnsi="Times New Roman"/>
          <w:sz w:val="28"/>
        </w:rPr>
        <w:t>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</w:t>
      </w:r>
      <w:r>
        <w:rPr>
          <w:rFonts w:ascii="Times New Roman" w:hAnsi="Times New Roman"/>
          <w:sz w:val="28"/>
        </w:rPr>
        <w:t>тв;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Субсидия предоставл</w:t>
      </w:r>
      <w:r w:rsidR="00475F5D">
        <w:rPr>
          <w:rFonts w:ascii="Times New Roman" w:hAnsi="Times New Roman"/>
          <w:sz w:val="28"/>
        </w:rPr>
        <w:t xml:space="preserve">яется на основании Соглашения, </w:t>
      </w:r>
      <w:r>
        <w:rPr>
          <w:rFonts w:ascii="Times New Roman" w:hAnsi="Times New Roman"/>
          <w:sz w:val="28"/>
        </w:rPr>
        <w:t>которое заключается на два фи</w:t>
      </w:r>
      <w:r>
        <w:rPr>
          <w:rFonts w:ascii="Times New Roman" w:hAnsi="Times New Roman"/>
          <w:sz w:val="28"/>
        </w:rPr>
        <w:t>нансовых года.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 о внесении в него изменений, в том числе дополнительное соглашение о расторжении Соглашения (при необходимости), заключенных между Министерством и получателем субсидии в соответствии с типов</w:t>
      </w:r>
      <w:r>
        <w:rPr>
          <w:rFonts w:ascii="Times New Roman" w:hAnsi="Times New Roman"/>
          <w:sz w:val="28"/>
        </w:rPr>
        <w:t>ой формой, утвержденной Министерством финансов Российской Федерации, с использованием государственной интеграционной информационной системы управления общественными финансами «Электронный бюджет» (далее – ГИИС «Электронный бюджет»), в порядке и сроки, уста</w:t>
      </w:r>
      <w:r>
        <w:rPr>
          <w:rFonts w:ascii="Times New Roman" w:hAnsi="Times New Roman"/>
          <w:sz w:val="28"/>
        </w:rPr>
        <w:t>новленные частью 14 настоящего Порядка.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предоставления субсидии на финансовое обеспечение затрат получатель субсидии представляет в Министерство следующие документы: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предоставление субсидии по форме, утвержденной приказом Министерства;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субсидии, о соответствии получателя субсидии условиям предоставления субсидии, установленным частью 6 настоящего Порядка; 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заверенную копию устава;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расчет потребности средств субсидии по форме, утвержд</w:t>
      </w:r>
      <w:r>
        <w:rPr>
          <w:rFonts w:ascii="Times New Roman" w:hAnsi="Times New Roman"/>
          <w:sz w:val="28"/>
        </w:rPr>
        <w:t>енной приказом Министерства.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Документы, указанные в части 8 настоящего Порядка, подлежат обязательной регистрации в день их поступления в Министерство.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Министерство в течение 2 рабочих дней после дня получения документов, указанных в части 8 настоящ</w:t>
      </w:r>
      <w:r>
        <w:rPr>
          <w:rFonts w:ascii="Times New Roman" w:hAnsi="Times New Roman"/>
          <w:sz w:val="28"/>
        </w:rPr>
        <w:t>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осуществля</w:t>
      </w:r>
      <w:r>
        <w:rPr>
          <w:rFonts w:ascii="Times New Roman" w:hAnsi="Times New Roman"/>
          <w:sz w:val="28"/>
        </w:rPr>
        <w:t>ет проверку информации в соответствии с пунктом 3 части 6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течение 10 рабочих дней после дня получения д</w:t>
      </w:r>
      <w:r>
        <w:rPr>
          <w:rFonts w:ascii="Times New Roman" w:hAnsi="Times New Roman"/>
          <w:sz w:val="28"/>
        </w:rPr>
        <w:t>окументов, указанных в части 8 настоящего Порядка, рассматривает их, проверяет на полноту и достоверность содержащихся в них сведений, проводит проверку получателя субсидии на соответствие условию, установленному частью 6 настоящего Порядка, и принимает ре</w:t>
      </w:r>
      <w:r>
        <w:rPr>
          <w:rFonts w:ascii="Times New Roman" w:hAnsi="Times New Roman"/>
          <w:sz w:val="28"/>
        </w:rPr>
        <w:t>шение о предоставлении субсидии либо об отказе в предоставлении субсидии.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получателя субсидии условиям предоставления субсидии, установленным частью 6 настоящего Порядка;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</w:t>
      </w:r>
      <w:r>
        <w:rPr>
          <w:rFonts w:ascii="Times New Roman" w:hAnsi="Times New Roman"/>
          <w:sz w:val="28"/>
        </w:rPr>
        <w:t>есоответствие представленных получателем субсидии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</w:t>
      </w:r>
      <w:r>
        <w:rPr>
          <w:rFonts w:ascii="Times New Roman" w:hAnsi="Times New Roman"/>
          <w:sz w:val="28"/>
        </w:rPr>
        <w:t>м субсидии информации.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случае принятия решения об отказе в предоставлении субсидии Министерство в течение 5 рабочих дней после дня принятия такого решения направляет получателю субсидии уведомление о принятии решения об отказе в предоставлении субсид</w:t>
      </w:r>
      <w:r>
        <w:rPr>
          <w:rFonts w:ascii="Times New Roman" w:hAnsi="Times New Roman"/>
          <w:sz w:val="28"/>
        </w:rPr>
        <w:t>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Заключение Соглашения осуществляется в следующем по</w:t>
      </w:r>
      <w:r>
        <w:rPr>
          <w:rFonts w:ascii="Times New Roman" w:hAnsi="Times New Roman"/>
          <w:sz w:val="28"/>
        </w:rPr>
        <w:t>рядке и сроки: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о формировании Соглашения в </w:t>
      </w:r>
      <w:r>
        <w:rPr>
          <w:rFonts w:ascii="Times New Roman" w:hAnsi="Times New Roman"/>
          <w:sz w:val="28"/>
        </w:rPr>
        <w:br/>
        <w:t>ГИИС «Электронный бюджет»;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</w:t>
      </w:r>
      <w:r>
        <w:rPr>
          <w:rFonts w:ascii="Times New Roman" w:hAnsi="Times New Roman"/>
          <w:sz w:val="28"/>
        </w:rPr>
        <w:t>субсидии в течение 10 рабочих дней со дня получения уведомления, предусмотренного пунктом 1 настоящей части, организует подписание усиленной квалифицированной электронной подписью Соглашения в ГИИС «Электронный бюджет».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получатель субсидии в течение 1</w:t>
      </w:r>
      <w:r>
        <w:rPr>
          <w:rFonts w:ascii="Times New Roman" w:hAnsi="Times New Roman"/>
          <w:sz w:val="28"/>
        </w:rPr>
        <w:t>0 рабочих дней со дня получения им уведомления, предусмотренного пунктом 1 настоящей части, не организует подписание усиленной квалифицированной электронной подписью Соглашения в ГИИС «Электронный бюджет», это расценивается как односторонний отказ получате</w:t>
      </w:r>
      <w:r>
        <w:rPr>
          <w:rFonts w:ascii="Times New Roman" w:hAnsi="Times New Roman"/>
          <w:sz w:val="28"/>
        </w:rPr>
        <w:t>ля субсидии от получения субсидии;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10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</w:t>
      </w:r>
      <w:r>
        <w:rPr>
          <w:rFonts w:ascii="Times New Roman" w:hAnsi="Times New Roman"/>
          <w:sz w:val="28"/>
        </w:rPr>
        <w:t>подписью в ГИИС «Электронный бюджет»;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субсидии, и регистрации в Министерстве, при этом день заключения Соглашения считается днем принятия решения о предоставлении субсидии</w:t>
      </w:r>
      <w:r>
        <w:rPr>
          <w:rFonts w:ascii="Times New Roman" w:hAnsi="Times New Roman"/>
          <w:sz w:val="28"/>
        </w:rPr>
        <w:t>;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течение 3 рабочих дней после заключения Соглашения, Министерство готовит реестр на предоставление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Обязательными</w:t>
      </w:r>
      <w:r>
        <w:rPr>
          <w:rFonts w:ascii="Times New Roman" w:hAnsi="Times New Roman"/>
          <w:sz w:val="28"/>
        </w:rPr>
        <w:t xml:space="preserve"> условиями предоставления субсидии, включаемыми в Соглашение, являются: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</w:t>
      </w:r>
      <w:r>
        <w:rPr>
          <w:rFonts w:ascii="Times New Roman" w:hAnsi="Times New Roman"/>
          <w:sz w:val="28"/>
        </w:rPr>
        <w:t xml:space="preserve">Российской Федерации при </w:t>
      </w:r>
      <w:r>
        <w:rPr>
          <w:rFonts w:ascii="Times New Roman" w:hAnsi="Times New Roman"/>
          <w:sz w:val="28"/>
        </w:rP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пол</w:t>
      </w:r>
      <w:r>
        <w:rPr>
          <w:rFonts w:ascii="Times New Roman" w:hAnsi="Times New Roman"/>
          <w:sz w:val="28"/>
        </w:rPr>
        <w:t>учателя субсидии на осуществление в отношении него проверок Министерством соблюдения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</w:t>
      </w:r>
      <w:r>
        <w:rPr>
          <w:rFonts w:ascii="Times New Roman" w:hAnsi="Times New Roman"/>
          <w:sz w:val="28"/>
        </w:rPr>
        <w:t>оля соблюдения получателем субсидии условий и порядка предоставления субсидии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Обязательным условием предоставления субсидии, включаемым в Соглашение, является условие о сог</w:t>
      </w:r>
      <w:r>
        <w:rPr>
          <w:rFonts w:ascii="Times New Roman" w:hAnsi="Times New Roman"/>
          <w:sz w:val="28"/>
        </w:rPr>
        <w:t xml:space="preserve">ласовании новых условий Соглашения или заключение дополнительного соглашения о расторжении соглашения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</w:t>
      </w:r>
      <w:r>
        <w:rPr>
          <w:rFonts w:ascii="Times New Roman" w:hAnsi="Times New Roman"/>
          <w:sz w:val="28"/>
        </w:rPr>
        <w:t>предоставления субсидии в размере, определенном в Соглашении;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Министерство перечисляет субсидию с целью финансового обеспечения затрат на расчетный счет получателя субсидии, открытый в кредитной организации, реквизиты которого указаны в заявлении на пр</w:t>
      </w:r>
      <w:r>
        <w:rPr>
          <w:rFonts w:ascii="Times New Roman" w:hAnsi="Times New Roman"/>
          <w:sz w:val="28"/>
        </w:rPr>
        <w:t>едоставление субсидии, в течение 10 рабочих дней после дня заключения Соглашения.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Размер субсидии составляет в 2023 году – 15 372 222,23 рублей, в </w:t>
      </w:r>
      <w:r>
        <w:rPr>
          <w:rFonts w:ascii="Times New Roman" w:hAnsi="Times New Roman"/>
          <w:sz w:val="28"/>
        </w:rPr>
        <w:br/>
        <w:t>2024 году – 15 372 222,23 рублей.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Результатом предоставления субсидии является количество предоставл</w:t>
      </w:r>
      <w:r>
        <w:rPr>
          <w:rFonts w:ascii="Times New Roman" w:hAnsi="Times New Roman"/>
          <w:sz w:val="28"/>
        </w:rPr>
        <w:t>енных поручительств субъектам малого и среднего предпринимательства, при гарантийной поддержке Гарантийного фонда Камчатского края.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Значения результата предоставления субсидии устанавливаются Соглашением.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Получатель субсидии представляет в Министер</w:t>
      </w:r>
      <w:r>
        <w:rPr>
          <w:rFonts w:ascii="Times New Roman" w:hAnsi="Times New Roman"/>
          <w:sz w:val="28"/>
        </w:rPr>
        <w:t>ство на бумажном носителе и в электронном виде следующую отчетность по формам, определенным типовыми формами соглашений, установленных Министерством финансов Камчатского края для соответствующего вида субсидии: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достижении значений результатов пр</w:t>
      </w:r>
      <w:r>
        <w:rPr>
          <w:rFonts w:ascii="Times New Roman" w:hAnsi="Times New Roman"/>
          <w:sz w:val="28"/>
        </w:rPr>
        <w:t>едоставления субсидии, установленных настоящим Порядком, в срок не позднее 3 рабочего дня, следующего за отчетным кварталом, ежеквартально;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отчет об осуществлении расходов, источником финансового обеспечения которых является субсидия, в срок не позднее </w:t>
      </w:r>
      <w:r>
        <w:rPr>
          <w:rFonts w:ascii="Times New Roman" w:hAnsi="Times New Roman"/>
          <w:sz w:val="28"/>
        </w:rPr>
        <w:t>3 рабочего дня, следующего за отчетным кварталом, ежеквартально.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23. Министерство осуществляет обязательные проверки соблюдения </w:t>
      </w:r>
      <w:r>
        <w:rPr>
          <w:rFonts w:ascii="Times New Roman" w:hAnsi="Times New Roman"/>
          <w:sz w:val="28"/>
        </w:rPr>
        <w:t>получателем субсидии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</w:t>
      </w:r>
      <w:r>
        <w:rPr>
          <w:rFonts w:ascii="Times New Roman" w:hAnsi="Times New Roman"/>
          <w:sz w:val="28"/>
        </w:rPr>
        <w:t xml:space="preserve"> Российской Федерации. </w:t>
      </w:r>
    </w:p>
    <w:p w:rsidR="00D9187B" w:rsidRDefault="00236F3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</w:t>
      </w:r>
      <w:r>
        <w:rPr>
          <w:rFonts w:ascii="Times New Roman" w:hAnsi="Times New Roman"/>
          <w:sz w:val="28"/>
        </w:rPr>
        <w:t xml:space="preserve">нию результата предоставления субсидии (контрольная точка), в порядке и </w:t>
      </w:r>
      <w:r w:rsidR="009F7BC0">
        <w:rPr>
          <w:rFonts w:ascii="Times New Roman" w:hAnsi="Times New Roman"/>
          <w:sz w:val="28"/>
        </w:rPr>
        <w:t xml:space="preserve">по формам, которые установлены </w:t>
      </w:r>
      <w:bookmarkStart w:id="2" w:name="_GoBack"/>
      <w:bookmarkEnd w:id="2"/>
      <w:r>
        <w:rPr>
          <w:rFonts w:ascii="Times New Roman" w:hAnsi="Times New Roman"/>
          <w:sz w:val="28"/>
        </w:rPr>
        <w:t>Министерством финансов Российской Федерации, осуществляется Министерством и Министерством финансов Камчатского края.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Получатель субсидии несет ответ</w:t>
      </w:r>
      <w:r>
        <w:rPr>
          <w:rFonts w:ascii="Times New Roman" w:hAnsi="Times New Roman"/>
          <w:sz w:val="28"/>
        </w:rPr>
        <w:t>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:rsidR="00D9187B" w:rsidRDefault="00236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Остаток субсидии, неиспользованной в отчетном финансовом году, может использоваться получателем субсидии </w:t>
      </w:r>
      <w:r>
        <w:rPr>
          <w:rFonts w:ascii="Times New Roman" w:hAnsi="Times New Roman"/>
          <w:sz w:val="28"/>
        </w:rPr>
        <w:t xml:space="preserve">в очередном финансовом году на цели, указанные в </w:t>
      </w:r>
      <w:hyperlink r:id="rId8" w:history="1">
        <w:r>
          <w:rPr>
            <w:rFonts w:ascii="Times New Roman" w:hAnsi="Times New Roman"/>
            <w:sz w:val="28"/>
          </w:rPr>
          <w:t>части 1</w:t>
        </w:r>
      </w:hyperlink>
      <w:r>
        <w:rPr>
          <w:rFonts w:ascii="Times New Roman" w:hAnsi="Times New Roman"/>
          <w:sz w:val="28"/>
        </w:rPr>
        <w:t xml:space="preserve"> настоящего Порядка, при принят</w:t>
      </w:r>
      <w:r>
        <w:rPr>
          <w:rFonts w:ascii="Times New Roman" w:hAnsi="Times New Roman"/>
          <w:sz w:val="28"/>
        </w:rPr>
        <w:t>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D9187B" w:rsidRDefault="00236F37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</w:t>
      </w:r>
      <w:r>
        <w:rPr>
          <w:rFonts w:ascii="Times New Roman" w:hAnsi="Times New Roman"/>
          <w:sz w:val="28"/>
        </w:rPr>
        <w:t xml:space="preserve">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</w:t>
      </w:r>
      <w:r>
        <w:rPr>
          <w:rFonts w:ascii="Times New Roman" w:hAnsi="Times New Roman"/>
          <w:sz w:val="28"/>
        </w:rPr>
        <w:t>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выявления, в том числе по фактам проверок, проведенных Министерством и органом государственного финансо</w:t>
      </w:r>
      <w:r>
        <w:rPr>
          <w:rFonts w:ascii="Times New Roman" w:hAnsi="Times New Roman"/>
          <w:sz w:val="28"/>
        </w:rPr>
        <w:t xml:space="preserve">вого контроля, фактов нарушения условий и порядка предоставления субсидии, и в случае выявления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результатов, установленных при предоставлении субсидии, получатель субсидии обязан возвратить денежные средства в краевой бюджет на лицево</w:t>
      </w:r>
      <w:r>
        <w:rPr>
          <w:rFonts w:ascii="Times New Roman" w:hAnsi="Times New Roman"/>
          <w:sz w:val="28"/>
        </w:rPr>
        <w:t xml:space="preserve">й счет Министерства в следующем порядке и сроки: 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</w:t>
      </w:r>
      <w:r>
        <w:rPr>
          <w:rFonts w:ascii="Times New Roman" w:hAnsi="Times New Roman"/>
          <w:sz w:val="28"/>
        </w:rPr>
        <w:t>шения Министерством – в течение 20 рабочих дней со дня получения требования Министерства.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случае нарушения условий и порядка предоставления субсидии получатель субсидии обязан возвратить средства субсидии в следующих размерах: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 случае нарушения ц</w:t>
      </w:r>
      <w:r>
        <w:rPr>
          <w:rFonts w:ascii="Times New Roman" w:hAnsi="Times New Roman"/>
          <w:sz w:val="28"/>
        </w:rPr>
        <w:t>елей предоставления субсидии – в размере нецелевого использования средств субсидии;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– в полном объеме;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случае, если по состоянию на 31 декабря года предоставления субсидии допущен факт </w:t>
      </w:r>
      <w:proofErr w:type="spellStart"/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результата предоставления субсидии, установленных в Соглашении, субсидия подлежит возврату в размере, рассчитываемом по формуле: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0"/>
        <w:gridCol w:w="2112"/>
      </w:tblGrid>
      <w:tr w:rsidR="00D9187B"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7B" w:rsidRDefault="00236F37">
            <w:pPr>
              <w:widowControl w:val="0"/>
              <w:tabs>
                <w:tab w:val="left" w:pos="1276"/>
              </w:tabs>
              <w:ind w:left="1559"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048000" cy="9810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0480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7B" w:rsidRDefault="00D9187B">
            <w:pPr>
              <w:widowControl w:val="0"/>
              <w:ind w:left="1559" w:hanging="1559"/>
              <w:rPr>
                <w:rFonts w:ascii="Times New Roman" w:hAnsi="Times New Roman"/>
                <w:sz w:val="28"/>
                <w:highlight w:val="yellow"/>
              </w:rPr>
            </w:pPr>
          </w:p>
          <w:p w:rsidR="00D9187B" w:rsidRDefault="00236F37">
            <w:pPr>
              <w:widowControl w:val="0"/>
              <w:ind w:left="1559" w:hanging="1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  <w:p w:rsidR="00D9187B" w:rsidRDefault="00D9187B">
            <w:pPr>
              <w:widowControl w:val="0"/>
              <w:tabs>
                <w:tab w:val="left" w:pos="1276"/>
              </w:tabs>
              <w:ind w:left="1559" w:hanging="1559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D9187B" w:rsidRDefault="00236F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</w:rPr>
        <w:t xml:space="preserve"> – размер субсидии, предоставленной </w:t>
      </w:r>
      <w:r>
        <w:rPr>
          <w:rFonts w:ascii="Times New Roman" w:hAnsi="Times New Roman"/>
          <w:sz w:val="28"/>
        </w:rPr>
        <w:t>получателю субсидии;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</w:rPr>
        <w:t xml:space="preserve"> – фактически достигнутое значение i-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результата предоставления субсидии на отчетную дату;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плановое значение i-</w:t>
      </w:r>
      <w:proofErr w:type="spellStart"/>
      <w:r>
        <w:rPr>
          <w:rFonts w:ascii="Times New Roman" w:hAnsi="Times New Roman"/>
          <w:sz w:val="28"/>
        </w:rPr>
        <w:t>гo</w:t>
      </w:r>
      <w:proofErr w:type="spellEnd"/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Соглашением;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</w:t>
      </w:r>
      <w:r>
        <w:rPr>
          <w:rFonts w:ascii="Times New Roman" w:hAnsi="Times New Roman"/>
          <w:sz w:val="28"/>
        </w:rPr>
        <w:t>убсидии, установленных Соглашением.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Министерством, посредством заказно</w:t>
      </w:r>
      <w:r>
        <w:rPr>
          <w:rFonts w:ascii="Times New Roman" w:hAnsi="Times New Roman"/>
          <w:sz w:val="28"/>
        </w:rPr>
        <w:t>го почтового отправления или на адрес электронной почты, или иным способом, обеспечивающим подтверждение получения указанного требования получателем субсидии.</w:t>
      </w:r>
    </w:p>
    <w:p w:rsidR="00D9187B" w:rsidRDefault="00236F3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При невозврате средств субсидии в сроки, установленные частями 26 и 27 настоящего Порядка, Ми</w:t>
      </w:r>
      <w:r>
        <w:rPr>
          <w:rFonts w:ascii="Times New Roman" w:hAnsi="Times New Roman"/>
          <w:sz w:val="28"/>
        </w:rPr>
        <w:t>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денеж</w:t>
      </w:r>
      <w:r>
        <w:rPr>
          <w:rFonts w:ascii="Times New Roman" w:hAnsi="Times New Roman"/>
          <w:sz w:val="28"/>
        </w:rPr>
        <w:t>ные средства субсидии в краевой бюджет.</w:t>
      </w:r>
    </w:p>
    <w:p w:rsidR="00D9187B" w:rsidRDefault="00D918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9187B" w:rsidRDefault="00D9187B">
      <w:pPr>
        <w:spacing w:after="0" w:line="240" w:lineRule="auto"/>
        <w:rPr>
          <w:rFonts w:ascii="Times New Roman" w:hAnsi="Times New Roman"/>
          <w:sz w:val="28"/>
        </w:rPr>
      </w:pPr>
    </w:p>
    <w:p w:rsidR="00D9187B" w:rsidRDefault="00D9187B"/>
    <w:sectPr w:rsidR="00D9187B" w:rsidSect="003C0A0E">
      <w:headerReference w:type="default" r:id="rId10"/>
      <w:pgSz w:w="11906" w:h="16838" w:code="9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0E" w:rsidRDefault="003C0A0E" w:rsidP="003C0A0E">
      <w:pPr>
        <w:spacing w:after="0" w:line="240" w:lineRule="auto"/>
      </w:pPr>
      <w:r>
        <w:separator/>
      </w:r>
    </w:p>
  </w:endnote>
  <w:endnote w:type="continuationSeparator" w:id="0">
    <w:p w:rsidR="003C0A0E" w:rsidRDefault="003C0A0E" w:rsidP="003C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0E" w:rsidRDefault="003C0A0E" w:rsidP="003C0A0E">
      <w:pPr>
        <w:spacing w:after="0" w:line="240" w:lineRule="auto"/>
      </w:pPr>
      <w:r>
        <w:separator/>
      </w:r>
    </w:p>
  </w:footnote>
  <w:footnote w:type="continuationSeparator" w:id="0">
    <w:p w:rsidR="003C0A0E" w:rsidRDefault="003C0A0E" w:rsidP="003C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679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C0A0E" w:rsidRPr="003C0A0E" w:rsidRDefault="003C0A0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C0A0E">
          <w:rPr>
            <w:rFonts w:ascii="Times New Roman" w:hAnsi="Times New Roman"/>
            <w:sz w:val="28"/>
            <w:szCs w:val="28"/>
          </w:rPr>
          <w:fldChar w:fldCharType="begin"/>
        </w:r>
        <w:r w:rsidRPr="003C0A0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C0A0E">
          <w:rPr>
            <w:rFonts w:ascii="Times New Roman" w:hAnsi="Times New Roman"/>
            <w:sz w:val="28"/>
            <w:szCs w:val="28"/>
          </w:rPr>
          <w:fldChar w:fldCharType="separate"/>
        </w:r>
        <w:r w:rsidR="00236F37">
          <w:rPr>
            <w:rFonts w:ascii="Times New Roman" w:hAnsi="Times New Roman"/>
            <w:noProof/>
            <w:sz w:val="28"/>
            <w:szCs w:val="28"/>
          </w:rPr>
          <w:t>9</w:t>
        </w:r>
        <w:r w:rsidRPr="003C0A0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C0A0E" w:rsidRDefault="003C0A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7B"/>
    <w:rsid w:val="00021062"/>
    <w:rsid w:val="001F681A"/>
    <w:rsid w:val="00236F37"/>
    <w:rsid w:val="00374E23"/>
    <w:rsid w:val="003C079F"/>
    <w:rsid w:val="003C0A0E"/>
    <w:rsid w:val="00475F5D"/>
    <w:rsid w:val="006F57B5"/>
    <w:rsid w:val="0091732D"/>
    <w:rsid w:val="009F7BC0"/>
    <w:rsid w:val="00B709AE"/>
    <w:rsid w:val="00D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DBB5B"/>
  <w15:docId w15:val="{45F24B7C-78E1-4AD5-B71A-0724A41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5"/>
    <w:link w:val="19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aa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0D5427BF4E9039F91EA4F170BEE777BE7CC96A182C075F18AD10AA5C3E3FF071C55A089D3AA70E133FE429F3BB4B6430F490D83C9CE308990E323yFB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D828-8A73-4828-AD5F-AC77ECC3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2023-06-27T02:09:00Z</dcterms:created>
  <dcterms:modified xsi:type="dcterms:W3CDTF">2023-06-27T02:14:00Z</dcterms:modified>
</cp:coreProperties>
</file>