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за январь-май 2023 года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январе-мае 2023 года динамику роста показали: промышленное производство, ввод в действие жилых домов, объем платных услуг населению, оборот оптовой торговли, пассажирооборот автомобильного трансп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орта.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Вместе с тем, наблюдается снижение объема строительных работ, грузооборота автомобильного транспорта, оборота общественного питания и розничной торговли.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Оборот организаций по всем видам экономической деятельности за январь-май 2023 года составил 209 889,5 млн рублей, вырос на 6,7% к январю-маю 2022 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промышленного производства составил 117,1%. Рост в добывающей промышленности составил 55,7% к январю-маю 2022 года, в обрабатывающих производствах – 14,4%, в деятельности организаций по обеспечению электрической энергией, газом и паром; кондиционированию воздуха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– 4,2%. Отрицательная динамика наблюдается в водоснабжении, водоотведении, организации сбора и утилизации отходов, ликвидации загрязнений (– 9,9%).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Предприятиями, осуществляющими добычу полезных ископаемых, отгружено продукции на 13 201,7 млн рублей (104,6% к январю-маю 2022 года в действующих ценах). Индекс производства составил 155,7%, что обусловлено ростом добычи металлических руд на 63,5% (золото и серебро).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обрабатывающих производствах отгружено товаров собственного производства на сумму 60 928,5 млн рублей или 126,0% по отношению к январю-маю 2022 года, индекс производства составил 114,4%.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производства пищевых продуктов составил 111,7% к январю-маю 2022 года, объем отгруженной продукции составил 57 206,1 млн рублей (123,6% к январю-маю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Рыбы переработанной и консервированной, ракообразных и моллюсков произведено 450,3 тыс. тонн или 115,7% к январю-маю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Рыбодобывающими предприятиями Камчатского края выловлено 626,8 тыс. тонн рыбы и морепродуктов (109,1% к январю-маю 2022 года).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объемов вылова отмечается по: палтусам +4,9%, камбале +7,6%, минтаю +8,8%, сельди +35,1%, сардине иваси +37,2, крабам +42,8% и макрурусам в 2 раза.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молока на 1,7%, мяса крупного рогатого скота на 3,7%, мяса и субпродуктов пищевых домашней птицы на 45,2%, мяса и субпродуктов на 11,0%, полуфабрикатов мясных и мясосодержащих в 1,6 раза, сыров и творога на 1,6%.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отмечалось в производстве колбасных изделий на 10,8%, хлебобулочных изделий на 10,4% и кондитерских изделий на 17,6% к январю-маю 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Наблюдается рост производства по ремонту и монтажу машин и оборудования (судоремонт) в 2,2 раза к январю-маю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12 766,2 млн рублей, что составляет 116,8% к январю-маю 2022 года, индекс производства составил 104,2%. Производство электроэнергии увеличилось на 4,5% к январю-маю 2022 года и составило 929,0 млн кВт-ч. Производство тепловой энергии, пара и горячей воды увеличилось на 2,9% (произведено 1 987,1 тыс. Гкал.).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8"/>
        </w:rPr>
        <w:t>Объем отгруженных товаров предприятиями водоснабжения; водоотведения, сбора и утилизации отходов составил 1 485,1 млн рублей (127,9% к январю-маю 2022 года), индекс производства составил 90,1%, в том числе индекс производства по забору, очистке и распределению воды составил 73,7%, по сбору и обработке сточных вод – 80,9%. Отмечается рост по сбору, обработке и утилизации отходов; обработки вторичного сырья на 22,1%.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январе-мае 2023 года в сельскохозяйственных организациях Камчатского края ситуация в сфере животноводства и растениеводства сложилась следующим образом: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мяса составило 3,7 тыс. тонн (100,6% к январю-маю 2022 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яйца увеличилось на 12,4%, яйценоскость кур-несушек составила 100% к январю-маю 2022 года;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молока составило 9,1 тыс. тонн (97,9% к январю-маю 2022 года). Средний надой молока на одну корову увеличился на 1,5%.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Объём инвестиций в основной капитал за январь-март 2023 года составил 13 513,5 млн рублей или 159,9% к январю-марту 2022 года (в сопоставимой оценке).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Объём работ, выполненных по виду экономической деятельности «Строительство», в январе-мае 2023 года составил 9 458,1 млн рублей, что в сопоставимой оценке составляет 54,0% относительно показателя за аналогичный период предыдущего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январь-май 2023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34,9 тыс. кв. метров (142,2% к аналогичному периоду 2022 года), в том числе, построенных населением за счет собственных и привлеченных средств 27,8 тыс. кв. метров (119,0% к аналогичному периоду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Федеральной адресной инвестиционной программой на 2023 год и на плановый период 2024 и 2025 годов, утвержденной Президиумом Правительственной комиссии по региональному развитию в Российской Федерации от 8 декабря 2022 года (далее – ФАИП), на строительство и реконструкцию объектов государственной собственности, находящихся на территории Камчатского края, предусмотрено финансирование на 2023 год в объеме 7 489,3 млн рублей в том числе по направлениям: «здравоохранение» – 3 900,0 млн рублей; «морской транспорт» – 1 319,3 млн рублей; «коммунальное строительство» – 532,7 млн рублей; «центральные организации» – 0,089 млн рублей; «воздушный транспорт» – 1 737,2 млн 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краевых инвестиционных мероприятий (объектов) утвержден постановлением Правительства Камчатского края от 28.11.2022 № 612-П «Об утверждении инвестиционной программы Камчатского края на 2023 год и на плановый период 2024-2025 годов и прогнозный период 2026-2027 годов» (далее – Инвестиционная программа).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2023 году на реализацию инвестиционных мероприятий предусмотрены ассигнования за счет всех источников финансирования в сумме 16 773,33 млн рублей, в том числе за счет средств федерального бюджета – 10 607,97 млн рублей (63,2%), краевого бюджета – 5 796,44 млн рублей (34,0%).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строительство камчатской краевой больницы, техническая готовность объекта на отчетную дату составила 43,7%;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строительство подъезда к проектируемому аэровокзалу в г. Елизово от автомобильной дороги А-401 «Подъездная дорога от морского порта Петропавловск-Камчатский к аэропорту Петропавловск-Камчатский на участке 34». Государственный контракт заключен с ООО «Устой-М», срок выполнения работ – 30.11.2023. По информации Минтранса Камчатского края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объекте, работы по контракту выполняются в срок, техническая готовность – 54,0%;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строительство автомобильной дороги общего пользования регионального значения Камчатского края «п. Термальный – туристский кластер «Три вулкана» протяженностью 32 км (этапы 1–3)». По информации Минтранса Камчатского края 17.10.2022 заключен государственный контракт № 48 Подрядчик ООО «Устой-М»;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26.11.2021 с ООО «ХОРС» заключен государственный контракт № 94/21-ГК, срок выполнения работ по контракту 04.12.2023, мощность объекта – 270 квартир, по информации Минстроя Камчатского края техническая готовность 3-го этапа – 39,2%;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строительство детского сада по ул. Вилюйская, 60 в г. Петропавловске-Камчатском на 160 мест, стоимость работ по контракту 611 949,91 тыс. рублей, срок выполнения работ 30.11.2023. Техническая готовность объекта – 35,13%;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строительство средней школы № 40 по ул. Вольского микрорайона «Северо-Восток» в г. Петропавловске-Камчатском на 500 мест со сроком исполнения до 04.12.2024, техническая готовность объекта 40,2%;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строительство средней общеобразовательной школы в с. Кавалерское Усть- Большерецкого района на 90 мест, срок строительства 04.12.2023, техническая готовность объекта 66,9%;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строительство камчатского театра кукол в г. Петропавловск-Камчатский на 350 мест, заключен контракт с единственным поставщиком ООО «Трест» от 29.04.2022 № 28/22-ГК на завершение строительства, срок выполнения работ 01.12.2024;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 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</w:t>
      </w:r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>/сутки, срок выполнения работ по контракту 01.09.2023;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ведется строительство инженерной инфраструктуры на территории жилого района в Вулканном городском поселении Елизовского района Камчатского края, срок выполнения работ 31.10.2023, техническая готовность объекта 60,0%;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11) завершены строительно-монтажные работы спортивного зала единоборств в г. Елизово. По информации Министерства спорта Камчатского края получено разрешение на ввод объекта в эксплуатацию № RU 41-501102-267-2023 от 20.02.2023;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12) реализуется мероприятие регионального проекта «Чистая вода» по реконструкции водовода от водозабора до пгт. Палана и внутриплощадочных сетей водовода территории совхоза пгт. Палана Тигильского муниципального района;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13) ведется реконструкция автомобильной дороги Петропавловск-Камчатский – Мильково 40 км – Пиначево с подъездом к п. Раздольный и к базе с/х Заречный на участке км 1 – км 16,4. Работы выполняются в два этапа, заключены государственные контракты с ООО «Устой-М», срок окончания работ – 31.10.2023;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14) заключен государственный контракт на строительство автомобильной дороги для резидента ООО «Соколиный центр «Камчатка», срок выполнения работ 30.04.2024.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Фактический объем финансирования за отчетный период составил 3 908,74 млн рублей (22,7% от предусмотренного объема), в том числе за счет средств федерального бюджета – 2 741,92 млн рублей (25,9%), за счет средств краевого бюджета – 1 010,04 млн рублей (17,4%).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состоянию на 01.06.2023 освоение составило 2 425,86 млн рублей (14,5% от предусмотренного объема), в том числе за счет средств федерального бюджета – 1 453,49 млн рублей (13,7%), за счет средств краевого бюджета – 920,49 млн рублей (15,9%).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секторе потребительского рынка в январе-мае 2023 года сложилась следующая ситуация: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розничной торговли составил 36 050,5 млн рублей (95,6% к январю-маю 2022 года) и на 93,8% сформирован торгующими организациями и 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общественного питания составил 3 539,2 млн рублей (98,2% к январю-маю 2022 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платных услуг населению края было оказано на сумму 14 088,9 млн рублей (101,8% к январю-маю 2022 года).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74,1% общего объема потребляемых услуг. Удельный вес бытовых услуг в общем объеме платных услуг населению составил 5,7%. В январе-мае 2023 года населению края было оказано бытовых услуг на 806,8 млн рублей, что в сопоставимых ценах на 0,6% меньше, чем в январе-мае 2022 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Пассажирооборот автомобильного транспорта за январь-май 2023 года составил 116,4 млн пасс.-км (101,5% к январю-маю 2022 года). Число перевезенных пассажиров автомобильным транспортом составило 14,1 млн человек (98,6% к январю-маю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Грузооборот автомобильного транспорта за январь-май 2023 года составил 6,8 млн т-км (73,8% к январю-маю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составил 191,7 тыс. тонн (96,0% к январю-маю 2022 года). Грузооборот морского транспорта увеличился на 10,7% и составил 373,5 млн т-км. В каботажном плавании грузооборот снизился на 14,1%, в заграничном плавании вырос в 2,2 раза к январю-маю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Среднегодовой показатель индекса потребительских цен в январе-мае 2023 года составил 108,7%, в том числе: 110,3% на продовольственные товары,</w:t>
        <w:br/>
        <w:t>109,7% на непродовольственные товары и 104,5% на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Среднемесячная номинальная начисленная заработная плата одного работника за январь-апрель 2023 года составила 103 971,9 рублей (112,2% к январю-апрелю 2022 года). Отмечен рост реальной заработной платы на 2,5% к январю-апрелю 2022 года.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01.05.2023 просроченная задолженность по заработной плате составила 2 478,0 тыс. рублей и за месяц увеличилась на 1,1%, в том числе: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МУП «Автодор» – 2 451,0 тыс. рублей;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МУП «Запорожское» Усть-Большерецкий район – 27,0 тыс. рублей.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Численность официально зарегистрированных безработных по состоянию на 01.06.2023 составила 1,5 тыс. человек. Уровень регистрируемой безработицы – 0,9% (на 01.06.2022 – 1,1%). Напряженность на рынке труда составила 0,2 человека на одну заявленную работодателями вакансию (01.06.2022 – 0,3).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состоянию на 01.05.2023 численность населения составила 288,7 тыс. человек, уменьшилась по сравнению с 1 января 2023 года на 15 человек за счет естественной убыли населения (-192 человека). Миграционный прирост составил 177 человек.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Сальдированный финансовый результат деятельности учтенного круга крупных и средних предприятий за январь-апрель 2023 года составил 6 508,1 млн рублей, что меньше аналогичного периода прошлого года на 72,3%.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 – 6 131,3 млн рублей; «обрабатывающие производства» – 798,6 млн рублей; «транспортировка и хранение» – 391,8 млн рублей; «обеспечение электрической энергией, газом и паром» – 4 208,1 млн рублей; «деятельность по операциям с недвижимым имуществом» – 63,7 млн рублей; «водоснабжение, водоотведение, сбор и утилизация отходов, деятельность по ликвидации загрязнений» – 84,2 млн рублей, «торговля оптовая и розничная; ремонт автотранспортных средств и мотоциклов» – 945,1 млн рублей.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Удельный вес убыточных организаций в общем числе организаций составил 39,1% от их общего числа.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Дебиторская задолженность по состоянию на 01.05.2023 составила 107 927,3 млн рублей, что на 0,2% ниже, чем на 01.05.2022. Удельный вес просроченной дебиторской задолженности в общем объеме задолженности на 01.05.2023 составил 3,8%. Суммарный объем просроченной дебиторской задолженности по сравнению с аналогичным периодом прошлого года снизился</w:t>
        <w:br/>
        <w:t>на 39% и составил 4 134,55 млн рублей.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Кредиторская задолженность по состоянию на 01.05.2023 составила 105 931,2 млн рублей, по сравнению с аналогичным периодом прошлого года увеличилась на 13,4%. Удельный вес просроченной кредиторской задолженности в общем объеме задолженности на 01.05.2023 составил 0,8%, суммарный объем – 929,2 млн рублей.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Производство важнейших видов промышленной продукции по Камчатскому краю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tbl>
      <w:tblPr>
        <w:tblStyle w:val="Style_3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418"/>
        <w:gridCol w:w="1276"/>
        <w:gridCol w:w="1554"/>
        <w:gridCol w:w="1989"/>
      </w:tblGrid>
      <w:tr>
        <w:trPr>
          <w:trHeight w:val="12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2022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Январь-май 2023 года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Январь-май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январю-маю 2022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млн.кВт/ч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2 017,2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929,0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104,5</w:t>
            </w:r>
          </w:p>
        </w:tc>
      </w:tr>
      <w:tr>
        <w:trPr>
          <w:trHeight w:val="5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3 523,1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1 987,1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102,9</w:t>
            </w:r>
          </w:p>
        </w:tc>
      </w:tr>
      <w:tr>
        <w:trPr>
          <w:trHeight w:val="41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84,8</w:t>
            </w:r>
          </w:p>
        </w:tc>
      </w:tr>
      <w:tr>
        <w:trPr>
          <w:trHeight w:val="40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75,0</w:t>
            </w:r>
          </w:p>
        </w:tc>
      </w:tr>
      <w:tr>
        <w:trPr>
          <w:trHeight w:val="3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46,9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7,0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67,6</w:t>
            </w:r>
          </w:p>
        </w:tc>
      </w:tr>
      <w:tr>
        <w:trPr>
          <w:trHeight w:val="44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Open Sans" w:hAnsi="Open Sans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Open Sans" w:hAnsi="Open Sans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83,9</w:t>
            </w:r>
          </w:p>
        </w:tc>
      </w:tr>
      <w:tr>
        <w:trPr>
          <w:trHeight w:val="41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36,8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127,9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103,7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89,2</w:t>
            </w:r>
          </w:p>
        </w:tc>
      </w:tr>
      <w:tr>
        <w:trPr>
          <w:trHeight w:val="427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101,7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101,6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6,7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89,6</w:t>
            </w:r>
          </w:p>
        </w:tc>
      </w:tr>
      <w:tr>
        <w:trPr>
          <w:trHeight w:val="55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82,4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Воды минеральные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 полулитров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105,9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Пиво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968,6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364,5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97,9</w:t>
            </w:r>
          </w:p>
        </w:tc>
      </w:tr>
      <w:tr>
        <w:trPr>
          <w:trHeight w:val="41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997,2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450,3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115,7</w:t>
            </w:r>
          </w:p>
        </w:tc>
      </w:tr>
      <w:tr>
        <w:trPr>
          <w:trHeight w:val="3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6,9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82,3</w:t>
            </w:r>
          </w:p>
        </w:tc>
      </w:tr>
    </w:tbl>
    <w:p>
      <w:pPr>
        <w:pStyle w:val="Normal"/>
        <w:spacing w:lineRule="auto" w:line="240" w:before="40" w:after="0"/>
        <w:ind w:left="0" w:right="0" w:firstLine="425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Примечание: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0"/>
        </w:rPr>
        <w:t>*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16"/>
        </w:rPr>
        <w:t>–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pacing w:lineRule="auto" w:line="240" w:before="4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Макроэкономические показатели по Камчатскому 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tbl>
      <w:tblPr>
        <w:tblStyle w:val="Style_3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1"/>
        <w:gridCol w:w="1395"/>
        <w:gridCol w:w="1679"/>
        <w:gridCol w:w="2309"/>
      </w:tblGrid>
      <w:tr>
        <w:trPr>
          <w:tblHeader w:val="true"/>
          <w:trHeight w:val="5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Показатели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2022 год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Январь-май 2023 года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Январь-май 2023 г. в % к январю-маю 2022 г.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(в сопоставимых условиях)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117,1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158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30 311,0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13 201,7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155,7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75,0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 xml:space="preserve">- металлических руд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25 673,5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12 043,8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163,5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1 525,0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393,8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70,2</w:t>
            </w:r>
          </w:p>
        </w:tc>
      </w:tr>
      <w:tr>
        <w:trPr>
          <w:trHeight w:val="158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127 981,3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60 928,5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114,4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120 184,7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57 206,1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111,7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1 132,7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434,1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111,1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16,8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101,2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196,1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78,8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100,4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56,0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187,9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105,5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556,4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286,3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1,3 раза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4 399,1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2 375,5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2,2 раза</w:t>
            </w:r>
          </w:p>
        </w:tc>
      </w:tr>
      <w:tr>
        <w:trPr>
          <w:trHeight w:val="245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70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25 842,6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12 766,2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104,2</w:t>
            </w:r>
          </w:p>
        </w:tc>
      </w:tr>
      <w:tr>
        <w:trPr>
          <w:trHeight w:val="245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70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3 740,3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1 485,1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90,1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Объем инвестиций в основной капитал – всего,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90 934,7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13 513,5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3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159,9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158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34,9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142,2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12 413,5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3 266,1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84" w:leader="none"/>
              </w:tabs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100,6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молоко, тыс. тонн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97,9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яйца, млн штук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112,4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31 603,1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14 088,9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101,8</w:t>
            </w:r>
          </w:p>
        </w:tc>
      </w:tr>
      <w:tr>
        <w:trPr>
          <w:trHeight w:val="158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1 885,4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06,8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99,4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86 784,1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36 050,5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95,6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Оборот общественного питания, млн руб.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8 427,6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3 539,2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98,2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103 529,5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103 971,9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45,8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45,8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0,027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федерального бюджета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местных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бюджета субъекта РФ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57" w:leader="none"/>
              </w:tabs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57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46,8</w:t>
            </w:r>
          </w:p>
        </w:tc>
      </w:tr>
      <w:tr>
        <w:trPr>
          <w:trHeight w:val="245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6,8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73,8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281,8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116,4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101,5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41 229,7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6 508,1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27,7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26 203,1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6 131,3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36,3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3 954,2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-4 832,2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4 576,2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798,6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66,1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1 273,1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4 208,1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185,4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8,4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596,5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-1 190,6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2 987,1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945,1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176,7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1 767,8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391,8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5 раз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45,1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-2,8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160,2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63,7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164,3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108 948,3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107 927,3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6 896,5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4 134,55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65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101 551,9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105 931,2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113,4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1 927,9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929,2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49,8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288,7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288,7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Естественный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-881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-192,0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52,2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Миграционный прирост (убыль),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-2 963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177,0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Численность занятых в экономике,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172,3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161,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93,6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Общая численность безработных, тыс. чел.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3,4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49,3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 т. ч. официально зарегистрированных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75,1</w:t>
            </w:r>
          </w:p>
        </w:tc>
      </w:tr>
      <w:tr>
        <w:trPr>
          <w:trHeight w:val="159" w:hRule="atLeast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…</w:t>
      </w:r>
      <w:r>
        <w:rPr>
          <w:rFonts w:ascii="Times New Roman" w:hAnsi="Times New Roman"/>
          <w:color w:val="000000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1 – январь-март 2023 года;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2 – январь-март 2023 года к январю-марту 2022 года.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3 – январь-апрель 2023 года;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4 – январь-апрель 2023 года к январю-апрелю 2022 года.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</w:r>
    </w:p>
    <w:p>
      <w:pPr>
        <w:pStyle w:val="Normal"/>
        <w:spacing w:lineRule="auto" w:line="240" w:before="0" w:after="0"/>
        <w:ind w:left="-426" w:right="0" w:hanging="0"/>
        <w:jc w:val="both"/>
        <w:rPr>
          <w:rFonts w:ascii="Times New Roman" w:hAnsi="Times New Roman"/>
          <w:color w:val="000000"/>
          <w:sz w:val="16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sz w:val="24"/>
        <w:rFonts w:ascii="Times New Roman" w:hAnsi="Times New Roman"/>
      </w:rPr>
      <w:instrText xml:space="preserve"> PAGE </w:instrText>
    </w:r>
    <w:r>
      <w:rPr>
        <w:sz w:val="24"/>
        <w:rFonts w:ascii="Times New Roman" w:hAnsi="Times New Roman"/>
      </w:rPr>
      <w:fldChar w:fldCharType="separate"/>
    </w:r>
    <w:r>
      <w:rPr>
        <w:sz w:val="24"/>
        <w:rFonts w:ascii="Times New Roman" w:hAnsi="Times New Roman"/>
      </w:rPr>
      <w:t>0</w:t>
    </w:r>
    <w:r>
      <w:rPr>
        <w:sz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List">
    <w:name w:val="List"/>
    <w:basedOn w:val="Textbody"/>
    <w:qFormat/>
    <w:rPr/>
  </w:style>
  <w:style w:type="character" w:styleId="Style9">
    <w:name w:val="Содержимое врезки"/>
    <w:link w:val="Style24"/>
    <w:qFormat/>
    <w:rPr/>
  </w:style>
  <w:style w:type="character" w:styleId="Heading3">
    <w:name w:val="Heading 3"/>
    <w:qFormat/>
    <w:rPr>
      <w:rFonts w:ascii="XO Thames" w:hAnsi="XO Thames"/>
      <w:b/>
      <w:color w:val="000000"/>
      <w:spacing w:val="0"/>
      <w:sz w:val="26"/>
    </w:rPr>
  </w:style>
  <w:style w:type="character" w:styleId="Caption">
    <w:name w:val="Caption"/>
    <w:qFormat/>
    <w:rPr>
      <w:i/>
      <w:sz w:val="24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Indexheading">
    <w:name w:val="index heading"/>
    <w:link w:val="Indexheading1"/>
    <w:qFormat/>
    <w:rPr/>
  </w:style>
  <w:style w:type="character" w:styleId="Style10">
    <w:name w:val="Указатель"/>
    <w:link w:val="Style21"/>
    <w:qFormat/>
    <w:rPr/>
  </w:style>
  <w:style w:type="character" w:styleId="Header">
    <w:name w:val="Header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Annotationsubject">
    <w:name w:val="annotation subject"/>
    <w:basedOn w:val="Annotationtext"/>
    <w:link w:val="Annotationsubject1"/>
    <w:qFormat/>
    <w:rPr>
      <w:b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Style11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Title">
    <w:name w:val="Title"/>
    <w:qFormat/>
    <w:rPr>
      <w:rFonts w:ascii="Open Sans" w:hAnsi="Open Sans"/>
      <w:sz w:val="28"/>
    </w:rPr>
  </w:style>
  <w:style w:type="character" w:styleId="Textbody">
    <w:name w:val="Text body"/>
    <w:link w:val="Textbody1"/>
    <w:qFormat/>
    <w:rPr/>
  </w:style>
  <w:style w:type="character" w:styleId="Style12">
    <w:name w:val="Колонтитул"/>
    <w:link w:val="Style22"/>
    <w:qFormat/>
    <w:rPr>
      <w:rFonts w:ascii="XO Thames" w:hAnsi="XO Thames"/>
      <w:color w:val="000000"/>
      <w:spacing w:val="0"/>
      <w:sz w:val="20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Annotationreference">
    <w:name w:val="annotation reference"/>
    <w:basedOn w:val="DefaultParagraphFont"/>
    <w:link w:val="Annotationreference1"/>
    <w:qFormat/>
    <w:rPr>
      <w:sz w:val="16"/>
    </w:rPr>
  </w:style>
  <w:style w:type="character" w:styleId="ListParagraph">
    <w:name w:val="List Paragraph"/>
    <w:link w:val="ListParagraph1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Annotationtext">
    <w:name w:val="annotation text"/>
    <w:link w:val="Annotationtext1"/>
    <w:qFormat/>
    <w:rPr>
      <w:sz w:val="20"/>
    </w:rPr>
  </w:style>
  <w:style w:type="character" w:styleId="Caption1">
    <w:name w:val="caption"/>
    <w:link w:val="Caption2"/>
    <w:qFormat/>
    <w:rPr>
      <w:i/>
      <w:sz w:val="24"/>
    </w:rPr>
  </w:style>
  <w:style w:type="character" w:styleId="Docdata">
    <w:name w:val="docdata"/>
    <w:basedOn w:val="DefaultParagraphFont"/>
    <w:link w:val="Docdata1"/>
    <w:qFormat/>
    <w:rPr/>
  </w:style>
  <w:style w:type="character" w:styleId="Style13">
    <w:name w:val="Символ нумерации"/>
    <w:link w:val="Style28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Bxmessengerajax">
    <w:name w:val="bx-messenger-ajax"/>
    <w:basedOn w:val="DefaultParagraphFont"/>
    <w:link w:val="Bxmessengerajax1"/>
    <w:qFormat/>
    <w:rPr/>
  </w:style>
  <w:style w:type="character" w:styleId="Style14">
    <w:name w:val="Заголовок таблицы"/>
    <w:basedOn w:val="Style15"/>
    <w:link w:val="Style30"/>
    <w:qFormat/>
    <w:rPr>
      <w:b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tyle15">
    <w:name w:val="Содержимое таблицы"/>
    <w:link w:val="Style29"/>
    <w:qFormat/>
    <w:rPr/>
  </w:style>
  <w:style w:type="character" w:styleId="Style16">
    <w:name w:val="Заголовок"/>
    <w:link w:val="Style17"/>
    <w:qFormat/>
    <w:rPr>
      <w:rFonts w:ascii="Open Sans" w:hAnsi="Open Sans"/>
      <w:sz w:val="28"/>
    </w:rPr>
  </w:style>
  <w:style w:type="character" w:styleId="Internetlink">
    <w:name w:val="Internet link"/>
    <w:basedOn w:val="DefaultParagraphFont"/>
    <w:link w:val="Internetlink1"/>
    <w:qFormat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link w:val="Style16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1"/>
    <w:pPr/>
    <w:rPr/>
  </w:style>
  <w:style w:type="paragraph" w:styleId="Style20">
    <w:name w:val="Caption"/>
    <w:basedOn w:val="Normal"/>
    <w:qFormat/>
    <w:pPr>
      <w:spacing w:before="120" w:after="120"/>
    </w:pPr>
    <w:rPr>
      <w:i/>
      <w:sz w:val="24"/>
    </w:rPr>
  </w:style>
  <w:style w:type="paragraph" w:styleId="Style21">
    <w:name w:val="Указатель"/>
    <w:basedOn w:val="Normal"/>
    <w:link w:val="Style10"/>
    <w:qFormat/>
    <w:pPr/>
    <w:rPr/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Колонтитул"/>
    <w:link w:val="Style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Содержимое врезки"/>
    <w:basedOn w:val="Normal"/>
    <w:link w:val="Style9"/>
    <w:qFormat/>
    <w:pPr/>
    <w:rPr/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/>
  </w:style>
  <w:style w:type="paragraph" w:styleId="Style25">
    <w:name w:val="Header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subject1">
    <w:name w:val="annotation subject"/>
    <w:basedOn w:val="Annotationtext1"/>
    <w:next w:val="Annotationtext1"/>
    <w:link w:val="Annotationsubject"/>
    <w:qFormat/>
    <w:pPr/>
    <w:rPr>
      <w:b/>
    </w:rPr>
  </w:style>
  <w:style w:type="paragraph" w:styleId="Internetlink1">
    <w:name w:val="Internet link"/>
    <w:basedOn w:val="DefaultParagraphFont1"/>
    <w:link w:val="Internetlink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Title"/>
    <w:next w:val="Style18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reference1">
    <w:name w:val="annotation reference"/>
    <w:basedOn w:val="DefaultParagraphFont1"/>
    <w:link w:val="Annotationreference"/>
    <w:qFormat/>
    <w:pPr/>
    <w:rPr>
      <w:sz w:val="16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Annotationtext1">
    <w:name w:val="annotation text"/>
    <w:basedOn w:val="Normal"/>
    <w:link w:val="Annotationtext"/>
    <w:qFormat/>
    <w:pPr>
      <w:spacing w:lineRule="auto" w:line="240"/>
    </w:pPr>
    <w:rPr>
      <w:sz w:val="20"/>
    </w:rPr>
  </w:style>
  <w:style w:type="paragraph" w:styleId="Caption2">
    <w:name w:val="caption"/>
    <w:basedOn w:val="Normal"/>
    <w:link w:val="Caption1"/>
    <w:qFormat/>
    <w:pPr>
      <w:spacing w:before="120" w:after="120"/>
    </w:pPr>
    <w:rPr>
      <w:i/>
      <w:sz w:val="24"/>
    </w:rPr>
  </w:style>
  <w:style w:type="paragraph" w:styleId="Docdata1">
    <w:name w:val="docdata"/>
    <w:basedOn w:val="DefaultParagraphFont1"/>
    <w:link w:val="Docdata"/>
    <w:qFormat/>
    <w:pPr/>
    <w:rPr/>
  </w:style>
  <w:style w:type="paragraph" w:styleId="Style28">
    <w:name w:val="Символ нумерации"/>
    <w:link w:val="Style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messengerajax1">
    <w:name w:val="bx-messenger-ajax"/>
    <w:basedOn w:val="DefaultParagraphFont1"/>
    <w:link w:val="Bxmessengerajax"/>
    <w:qFormat/>
    <w:pPr/>
    <w:rPr/>
  </w:style>
  <w:style w:type="paragraph" w:styleId="Style29">
    <w:name w:val="Содержимое таблицы"/>
    <w:basedOn w:val="Normal"/>
    <w:link w:val="Style15"/>
    <w:qFormat/>
    <w:pPr>
      <w:widowControl w:val="false"/>
    </w:pPr>
    <w:rPr/>
  </w:style>
  <w:style w:type="paragraph" w:styleId="Style30">
    <w:name w:val="Заголовок таблицы"/>
    <w:basedOn w:val="Style29"/>
    <w:link w:val="Style14"/>
    <w:qFormat/>
    <w:pPr>
      <w:jc w:val="center"/>
    </w:pPr>
    <w:rPr>
      <w:b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table" w:styleId="Style_67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LibreOffice/7.4.4.2$Linux_X86_64 LibreOffice_project/40$Build-2</Application>
  <AppVersion>15.0000</AppVersion>
  <Pages>10</Pages>
  <Words>2857</Words>
  <Characters>18283</Characters>
  <CharactersWithSpaces>20800</CharactersWithSpaces>
  <Paragraphs>419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2023-06-29T16:05:16Z</dcterms:modified>
  <cp:revision>2</cp:revision>
  <dc:subject/>
  <dc:title/>
</cp:coreProperties>
</file>