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 январь-май 2023 года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январе-мае 2023 года динамику роста показали: промышленное производство, ввод в действие жилых домов, объем платных услуг населению, оборот оптовой торговли, пассажирооборот автомобильного трансп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орта.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Вместе с тем, наблюдается снижение объема строительных работ, грузооборота автомобильного транспорта, оборота общественного питания и розничной торговли.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Оборот организаций по всем видам экономической деятельности за январь-май 2023 года составил 209 889,5 млн рублей, вырос на 6,7% к январю-маю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Индекс промышленного производства составил 117,1%. Рост в добывающей промышленности составил 55,7% к январю-маю 2022 года, в обрабатывающих производствах – 14,4%, в деятельности организаций по обеспечению электрической энергией, газом и паром; кондиционированию воздуха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– 4,2%. Отрицательная динамика наблюдается в водоснабжении, водоотведении, организации сбора и утилизации отходов, ликвидации загрязнений (– 9,9%).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Предприятиями, осуществляющими добычу полезных ископаемых, отгружено продукции на 13 201,7 млн рублей (104,6% к январю-маю 2022 года в действующих ценах). Индекс производства составил 155,7%, что обусловлено ростом добычи металлических руд на 63,5% (золото и серебро).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обрабатывающих производствах отгружено товаров собственного производства на сумму 60 928,5 млн рублей или 126,0% по отношению к январю-маю 2022 года, индекс производства составил 114,4%.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Индекс производства пищевых продуктов составил 111,7% к январю-маю 2022 года, объем отгруженной продукции составил 57 206,1 млн рублей (123,6% к январю-маю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Рыбы переработанной и консервированной, ракообразных и моллюсков произведено 450,3 тыс. тонн или 115,7% к январю-маю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Рыбодобывающими предприятиями Камчатского края выловлено 626,8 тыс. тонн рыбы и морепродуктов (109,1% к январю-маю 2022 года).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Увеличение объемов вылова отмечается по: палтусам +4,9%, камбале +7,6%, минтаю +8,8%, сельди +35,1%, сардине иваси +37,2, крабам +42,8% и макрурусам в 2 раза.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1,7%, мяса крупного рогатого скота на 3,7%, мяса и субпродуктов пищевых домашней птицы на 45,2%, мяса и субпродуктов на 11,0%, полуфабрикатов мясных и мясосодержащих в 1,6 раза, сыров и творога на 1,6%.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Снижение отмечалось в производстве колбасных изделий на 10,8%, хлебобулочных изделий на 10,4% и кондитерских изделий на 17,6% к январю-маю 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Наблюдается рост производства по ремонту и монтажу машин и оборудования (судоремонт) в 2,2 раза к январю-маю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На предприятиях по обеспечению электрической энергией, газом и паром отгружено продукции собственного производства на сумму 12 766,2 млн рублей, что составляет 116,8% к январю-маю 2022 года, индекс производства составил 104,2%. Производство электроэнергии увеличилось на 4,5% к январю-маю 2022 года и составило 929,0 млн кВт-ч. Производство тепловой энергии, пара и горячей воды увеличилось на 2,9% (произведено 1 987,1 тыс. Гкал.).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Объем отгруженных товаров предприятиями водоснабжения; водоотведения, сбора и утилизации отходов составил 1 485,1 млн рублей (127,9% к январю-маю 2022 года), индекс производства составил 90,1%, в том числе индекс производства по забору, очистке и распределению воды составил 73,7%, по сбору и обработке сточных вод – 80,9%. Отмечается рост по сбору, обработке и утилизации отходов; обработки вторичного сырья на 22,1%.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январе-мае 2023 года в сельскохозяйственных организациях Камчатского края ситуация в сфере животноводства и растениеводства сложилась следующим образом: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 </w:t>
      </w:r>
      <w:r>
        <w:rPr>
          <w:rFonts w:ascii="Times New Roman" w:hAnsi="Times New Roman"/>
          <w:color w:val="000000"/>
          <w:sz w:val="28"/>
        </w:rPr>
        <w:t>производство мяса составило 3,7 тыс. тонн (100,6% к январю-маю 2022 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 </w:t>
      </w:r>
      <w:r>
        <w:rPr>
          <w:rFonts w:ascii="Times New Roman" w:hAnsi="Times New Roman"/>
          <w:color w:val="000000"/>
          <w:sz w:val="28"/>
        </w:rPr>
        <w:t>производство яйца увеличилось на 12,4%, яйценоскость кур-несушек составила 100% к январю-маю 2022 года;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 </w:t>
      </w:r>
      <w:r>
        <w:rPr>
          <w:rFonts w:ascii="Times New Roman" w:hAnsi="Times New Roman"/>
          <w:color w:val="000000"/>
          <w:sz w:val="28"/>
        </w:rPr>
        <w:t>производство молока составило 9,1 тыс. тонн (97,9% к январю-маю 2022 года). Средний надой молока на одну корову увеличился на 1,5%.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Объём инвестиций в основной капитал за январь-март 2023 года составил 13 513,5 млн рублей или 159,9% к январю-марту 2022 года (в сопоставимой оценке).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Объём работ, выполненных по виду экономической деятельности «Строительство», в январе-мае 2023 года составил 9 458,1 млн рублей, что в сопоставимой оценке составляет 54,0% относительно показателя за аналогичный период предыдущего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январь-май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34,9 тыс. кв. метров (142,2% к аналогичному периоду 2022 года), в том числе, построенных населением за счет собственных и привлеченных средств 27,8 тыс. кв. метров (119,0% к аналогичному периоду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Федеральной адресной инвестиционной программой на 2023 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 – 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7 489,3 млн рублей в том числе по направлениям: «здравоохранение» – 3 900,0 млн рублей; «морской транспорт» – 1 319,3 млн рублей; «коммунальное строительство» – 532,7 млн рублей; «центральные организации» – 0,089 млн рублей; «воздушный транспорт» – 1 737,2 млн 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Перечень краевых инвестиционных мероприятий (объектов) утвержден постановлением Правительства Камчатского края от 28.11.2022 № 612-П «Об утверждении инвестиционной программы Камчатского края на 2023 год и на плановый период 2024-2025 годов и прогнозный период 2026-2027 годов» (далее – Инвестиционная программа).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2023 году на реализацию инвестиционных мероприятий предусмотрены ассигнования за счет всех источников финансирования в сумме 16 773,33 млн рублей, в том числе за счет средств федерального бюджета – 10 607,97 млн рублей (63,2%), краевого бюджета – 5 796,44 млн рублей (34,0%).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строительство камчатской краевой больницы, техническая готовность объекта на отчетную дату составила 43,7%;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строительство подъезда к проектируемому аэровокзалу в г. Елизово от 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«Устой-М», срок выполнения работ – 30.11.2023. По информации Минтранса Камчатского края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54,0%;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строительство автомобильной дороги общего пользования регионального значения Камчатского края «п. Термальный – туристский кластер «Три вулкана» протяженностью 32 км (этапы 1–3)». По информации Минтранса Камчатского края 17.10.2022 заключен государственный контракт № 48 Подрядчик ООО «Устой-М»;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26.11.2021 с ООО «ХОРС» заключен государственный контракт № 94/21-ГК, срок выполнения работ по контракту 04.12.2023, мощность объекта – 270 квартир, по информации Минстроя Камчатского края техническая готовность 3-го этапа – 39,2%;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строительство детского сада по ул. Вилюйская, 60 в г. Петропавловске-Камчатском на 160 мест, стоимость работ по контракту 611 949,91 тыс. рублей, срок выполнения работ 30.11.2023. Техническая готовность объекта – 35,13%;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строительство средней школы № 40 по ул. Вольского микрорайона «Северо-Восток» в г. Петропавловске-Камчатском на 500 мест со сроком исполнения до 04.12.2024, техническая готовность объекта 40,2%;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строительство средней общеобразовательной школы в с. Кавалерское Усть- Большерецкого района на 90 мест, срок строительства 04.12.2023, техническая готовность объекта 66,9%;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строительство камчатского театра кукол в г. Петропавловск-Камчатский на 350 мест, заключен контракт с единственным поставщиком ООО «Трест» от 29.04.2022 № 28/22-ГК на завершение строительства, срок выполнения работ 01.12.2024;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 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>/сутки, срок выполнения работ по контракту 01.09.2023;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ведется строительство инженерной инфраструктуры на территории жилого района в Вулканном городском поселении Елизовского района Камчатского края, срок выполнения работ 31.10.2023, техническая готовность объекта 60,0%;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11) завершены строительно-монтажные работы спортивного зала единоборств в г. Елизово. По информации Министерства спорта Камчатского края получено разрешение на ввод объекта в эксплуатацию № RU 41-501102-267-2023 от 20.02.2023;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12) реализуется мероприятие регионального проекта «Чистая вода» по реконструкции водовода от водозабора до пгт. Палана и внутриплощадочных сетей водовода территории совхоза пгт. Палана Тигильского муниципального района;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13) ведется реконструкция автомобильной дороги Петропавловск-Камчатский – Мильково 40 км – Пиначево с подъездом к п. Раздольный и к базе с/х Заречный на участке км 1 – км 16,4. Работы выполняются в два этапа, заключены государственные контракты с ООО «Устой-М», срок окончания работ – 31.10.2023;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14) заключен государственный контракт на строительство автомобильной дороги для резидента ООО «Соколиный центр «Камчатка», срок выполнения работ 30.04.2024.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Фактический объем финансирования за отчетный период составил 3 908,74 млн рублей (22,7% от предусмотренного объема), в том числе за счет средств федерального бюджета – 2 741,92 млн рублей (25,9%), за счет средств краевого бюджета – 1 010,04 млн рублей (17,4%).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состоянию на 01.06.2023 освоение составило 2 425,86 млн рублей (14,5% от предусмотренного объема), в том числе за счет средств федерального бюджета – 1 453,49 млн рублей (13,7%), за счет средств краевого бюджета – 920,49 млн рублей (15,9%).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секторе потребительского рынка в январе-мае 2023 года сложилась следующая ситуация: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 </w:t>
      </w:r>
      <w:r>
        <w:rPr>
          <w:rFonts w:ascii="Times New Roman" w:hAnsi="Times New Roman"/>
          <w:color w:val="000000"/>
          <w:sz w:val="28"/>
        </w:rPr>
        <w:t>оборот розничной торговли составил 36 050,5 млн рублей (95,6% к январю-маю 2022 года) и на 93,8%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 </w:t>
      </w:r>
      <w:r>
        <w:rPr>
          <w:rFonts w:ascii="Times New Roman" w:hAnsi="Times New Roman"/>
          <w:color w:val="000000"/>
          <w:sz w:val="28"/>
        </w:rPr>
        <w:t>оборот общественного питания составил 3 539,2 млн рублей (98,2% к январю-маю 2022 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 </w:t>
      </w:r>
      <w:r>
        <w:rPr>
          <w:rFonts w:ascii="Times New Roman" w:hAnsi="Times New Roman"/>
          <w:color w:val="000000"/>
          <w:sz w:val="28"/>
        </w:rPr>
        <w:t>платных услуг населению края было оказано на сумму 14 088,9 млн рублей (101,8% к январю-маю 2022 года).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74,1% общего объема потребляемых услуг. Удельный вес бытовых услуг в общем объеме платных услуг населению составил 5,7%. В январе-мае 2023 года населению края было оказано бытовых услуг на 806,8 млн рублей, что в сопоставимых ценах на 0,6% меньше, чем в январе-мае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Пассажирооборот автомобильного транспорта за январь-май 2023 года составил 116,4 млн пасс.-км (101,5% к январю-маю 2022 года). Число перевезенных пассажиров автомобильным транспортом составило 14,1 млн человек (98,6% к январю-маю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Грузооборот автомобильного транспорта за январь-май 2023 года составил 6,8 млн т-км (73,8% к январю-маю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Объем перевезенного груза на морском транспорте составил 191,7 тыс. тонн (96,0% к январю-маю 2022 года). Грузооборот морского транспорта увеличился на 10,7% и составил 373,5 млн т-км. В каботажном плавании грузооборот снизился на 14,1%, в заграничном плавании вырос в 2,2 раза к январю-маю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Среднегодовой показатель индекса потребительских цен в январе-мае 2023 года составил 108,7%, в том числе: 110,3% на продовольственные товары,</w:t>
        <w:br/>
        <w:t>109,7% на непродовольственные товары и 104,5% на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Среднемесячная номинальная начисленная заработная плата одного работника за январь-апрель 2023 года составила 103 971,9 рублей (112,2% к январю-апрелю 2022 года). Отмечен рост реальной заработной платы на 2,5% к январю-апрелю 2022 года.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01.05.2023 просроченная задолженность по заработной плате составила 2 478,0 тыс. рублей и за месяц увеличилась на 1,1%, 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МУП «Автодор» – 2 451,0 тыс.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МУП «Запорожское» Усть-Большерецкий район – 27,0 тыс.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Численность официально зарегистрированных безработных по состоянию на 01.06.2023 составила 1,5 тыс. человек. Уровень регистрируемой безработицы – 0,9% (на 01.06.2022 – 1,1%). Напряженность на рынке труда составила 0,2 человека на одну заявленную работодателями вакансию (01.06.2022 – 0,3).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состоянию на 01.05.2023 численность населения составила 288,7 тыс. человек, уменьшилась по сравнению с 1 января 2023 года на 15 человек за счет естественной убыли населения (-192 человека). Миграционный прирост составил 177 человек.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Сальдированный финансовый результат деятельности учтенного круга крупных и средних предприятий за январь-апрель 2023 года составил 6 508,1 млн рублей, что меньше аналогичного периода прошлого года на 72,3%.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 – 6 131,3 млн рублей; «обрабатывающие производства» – 798,6 млн рублей; «транспортировка и хранение» – 391,8 млн рублей; «обеспечение электрической энергией, газом и паром» – 4 208,1 млн рублей; «деятельность по операциям с недвижимым имуществом» – 63,7 млн рублей; «водоснабжение, водоотведение, сбор и утилизация отходов, деятельность по ликвидации загрязнений» – 84,2 млн рублей, «торговля оптовая и розничная; ремонт автотранспортных средств и мотоциклов» – 945,1 млн рублей.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Удельный вес убыточных организаций в общем числе организаций составил 39,1% от их общего числа.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Дебиторская задолженность по состоянию на 01.05.2023 составила 107 927,3 млн рублей, что на 0,2% ниже, чем на 01.05.2022. Удельный вес просроченной дебиторской задолженности в общем объеме задолженности на 01.05.2023 составил 3,8%. Суммарный объем просроченной дебиторской задолженности по сравнению с аналогичным периодом прошлого года снизился</w:t>
        <w:br/>
        <w:t>на 39% и составил 4 134,55 млн рублей.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Кредиторская задолженность по состоянию на 01.05.2023 составила 105 931,2 млн рублей, по сравнению с аналогичным периодом прошлого года увеличилась на 13,4%. Удельный вес просроченной кредиторской задолженности в общем объеме задолженности на 01.05.2023 составил 0,8%, суммарный объем – 929,2 млн рублей.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tbl>
      <w:tblPr>
        <w:tblStyle w:val="Style_3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418"/>
        <w:gridCol w:w="1276"/>
        <w:gridCol w:w="1554"/>
        <w:gridCol w:w="1989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2022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Январь-май 2023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Январь-май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январю-маю 2022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млн.кВт/ч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2 017,2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929,0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104,5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Пар и горячая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3 523,1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1 987,1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102,9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Газ природный и попутный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84,8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75,0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 необработанные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плотных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46,9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67,6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83,9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36,8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127,9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103,7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89,2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101,7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Сыры, продукты сырные и творог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101,6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89,6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82,4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Воды минеральные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 полулитров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105,9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дкл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968,6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364,5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97,9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997,2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450,3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115,7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82,3</w:t>
            </w:r>
          </w:p>
        </w:tc>
      </w:tr>
    </w:tbl>
    <w:p>
      <w:pPr>
        <w:pStyle w:val="Normal"/>
        <w:spacing w:lineRule="auto" w:line="240" w:before="40" w:after="0"/>
        <w:ind w:left="0" w:right="0" w:firstLine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Примечание: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0"/>
        </w:rPr>
        <w:t>*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16"/>
        </w:rPr>
        <w:t>–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pacing w:lineRule="auto" w:line="240" w:before="4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Макроэкономические показатели по Камчатскому 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tbl>
      <w:tblPr>
        <w:tblStyle w:val="Style_3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1"/>
        <w:gridCol w:w="1395"/>
        <w:gridCol w:w="1679"/>
        <w:gridCol w:w="2309"/>
      </w:tblGrid>
      <w:tr>
        <w:trPr>
          <w:tblHeader w:val="true"/>
          <w:trHeight w:val="5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2022 год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Январь-май 2023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Январь-май 2023 г. в % к январю-маю 2022 г.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(в сопоставимых условиях)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Индекс промышленного производства, 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117,1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158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30 311,0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13 201,7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155,7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угля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75,0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природного газа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- металлических руд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25 673,5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12 043,8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163,5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прочих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1 525,0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393,8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70,2</w:t>
            </w:r>
          </w:p>
        </w:tc>
      </w:tr>
      <w:tr>
        <w:trPr>
          <w:trHeight w:val="158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127 981,3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60 928,5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114,4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пищевых продуктов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120 184,7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57 206,1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111,7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напитков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1 132,7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434,1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111,1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обработка древесины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101,2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деятельность полиграфическая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196,1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78,8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100,4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химических веществ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56,0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резиновых и пластмассовых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187,9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105,5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прочей неметаллической минеральной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556,4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286,3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1,3 раза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ремонт и монтаж машин и оборудования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4 399,1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2 375,5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2,2 раза</w:t>
            </w:r>
          </w:p>
        </w:tc>
      </w:tr>
      <w:tr>
        <w:trPr>
          <w:trHeight w:val="245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25 842,6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12 766,2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104,2</w:t>
            </w:r>
          </w:p>
        </w:tc>
      </w:tr>
      <w:tr>
        <w:trPr>
          <w:trHeight w:val="245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3 740,3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1 485,1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90,1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90 934,7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13 513,5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159,9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67,4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34,9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142,2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Валовая продукция сельского хозяйства,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12 413,5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3 266,1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84" w:leader="none"/>
              </w:tabs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производства продукции животноводства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мясо, тыс. тонн (живой вес)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100,6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молоко, тыс. тонн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23,2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97,9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яйца, млн штук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112,4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31 603,1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14 088,9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101,8</w:t>
            </w:r>
          </w:p>
        </w:tc>
      </w:tr>
      <w:tr>
        <w:trPr>
          <w:trHeight w:val="158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него: бытовые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1 885,4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06,8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розничной торговли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86 784,1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36 050,5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95,6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Оборот общественного питания, млн руб.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8 427,6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3 539,2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98,2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103 529,5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103 971,9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45,8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 по видам деятельности: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45,8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0,027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федерального бюджета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местных бюджетов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бюджета субъекта РФ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57" w:leader="none"/>
              </w:tabs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57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46,8</w:t>
            </w:r>
          </w:p>
        </w:tc>
      </w:tr>
      <w:tr>
        <w:trPr>
          <w:trHeight w:val="245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Грузооборот (данные по автомобильному транспорту), млн т/км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73,8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281,8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116,4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101,5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41 229,7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6 508,1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27,7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26 203,1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6 131,3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36,3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3 954,2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-4 832,2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4 576,2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798,6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66,1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1 273,1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4 208,1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185,4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8,4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Строительство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596,5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-1 190,6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2 987,1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945,1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176,7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1 767,8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391,8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5 раз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45,1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-2,8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160,2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63,7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164,3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дебиторская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108 948,3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107 927,3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6 896,5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4 134,55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65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кредиторская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101 551,9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105 931,2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113,4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1 927,9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929,2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49,8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населения, тыс. чел.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288,7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288,7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Естественный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-881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-192,0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52,2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Миграционный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-2 963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177,0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Численность занятых в экономике,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172,3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161,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93,6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Общая численность безработных,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49,3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 т. ч. официально зарегистрированных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75,1</w:t>
            </w:r>
          </w:p>
        </w:tc>
      </w:tr>
      <w:tr>
        <w:trPr>
          <w:trHeight w:val="159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Примечание: 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…</w:t>
      </w:r>
      <w:r>
        <w:rPr>
          <w:rFonts w:ascii="Times New Roman" w:hAnsi="Times New Roman"/>
          <w:color w:val="000000"/>
          <w:sz w:val="16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1 – январь-март 2023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2 – январь-март 2023 года к январю-марту 2022 года.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3 – январь-апрель 2023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4 – январь-апрель 2023 года к январю-апрелю 2022 года.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/>
          <w:color w:val="000000"/>
          <w:sz w:val="16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 xml:space="preserve"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0</w:t>
    </w:r>
    <w:r>
      <w:rPr>
        <w:sz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List">
    <w:name w:val="List"/>
    <w:basedOn w:val="Textbody"/>
    <w:qFormat/>
    <w:rPr/>
  </w:style>
  <w:style w:type="character" w:styleId="Style9">
    <w:name w:val="Содержимое врезки"/>
    <w:link w:val="Style24"/>
    <w:qFormat/>
    <w:rPr/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Caption">
    <w:name w:val="Caption"/>
    <w:qFormat/>
    <w:rPr>
      <w:i/>
      <w:sz w:val="24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Indexheading">
    <w:name w:val="index heading"/>
    <w:link w:val="Indexheading1"/>
    <w:qFormat/>
    <w:rPr/>
  </w:style>
  <w:style w:type="character" w:styleId="Style10">
    <w:name w:val="Указатель"/>
    <w:link w:val="Style21"/>
    <w:qFormat/>
    <w:rPr/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Annotationsubject">
    <w:name w:val="annotation subject"/>
    <w:basedOn w:val="Annotationtext"/>
    <w:link w:val="Annotationsubject1"/>
    <w:qFormat/>
    <w:rPr>
      <w:b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Style11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Title">
    <w:name w:val="Title"/>
    <w:qFormat/>
    <w:rPr>
      <w:rFonts w:ascii="Open Sans" w:hAnsi="Open Sans"/>
      <w:sz w:val="28"/>
    </w:rPr>
  </w:style>
  <w:style w:type="character" w:styleId="Textbody">
    <w:name w:val="Text body"/>
    <w:link w:val="Textbody1"/>
    <w:qFormat/>
    <w:rPr/>
  </w:style>
  <w:style w:type="character" w:styleId="Style12">
    <w:name w:val="Колонтитул"/>
    <w:link w:val="Style22"/>
    <w:qFormat/>
    <w:rPr>
      <w:rFonts w:ascii="XO Thames" w:hAnsi="XO Thames"/>
      <w:color w:val="000000"/>
      <w:spacing w:val="0"/>
      <w:sz w:val="20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Annotationreference">
    <w:name w:val="annotation reference"/>
    <w:basedOn w:val="DefaultParagraphFont"/>
    <w:link w:val="Annotationreference1"/>
    <w:qFormat/>
    <w:rPr>
      <w:sz w:val="16"/>
    </w:rPr>
  </w:style>
  <w:style w:type="character" w:styleId="ListParagraph">
    <w:name w:val="List Paragraph"/>
    <w:link w:val="ListParagraph1"/>
    <w:qFormat/>
    <w:rPr/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Annotationtext">
    <w:name w:val="annotation text"/>
    <w:link w:val="Annotationtext1"/>
    <w:qFormat/>
    <w:rPr>
      <w:sz w:val="20"/>
    </w:rPr>
  </w:style>
  <w:style w:type="character" w:styleId="Caption1">
    <w:name w:val="caption"/>
    <w:link w:val="Caption2"/>
    <w:qFormat/>
    <w:rPr>
      <w:i/>
      <w:sz w:val="24"/>
    </w:rPr>
  </w:style>
  <w:style w:type="character" w:styleId="Docdata">
    <w:name w:val="docdata"/>
    <w:basedOn w:val="DefaultParagraphFont"/>
    <w:link w:val="Docdata1"/>
    <w:qFormat/>
    <w:rPr/>
  </w:style>
  <w:style w:type="character" w:styleId="Style13">
    <w:name w:val="Символ нумерации"/>
    <w:link w:val="Style28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Bxmessengerajax">
    <w:name w:val="bx-messenger-ajax"/>
    <w:basedOn w:val="DefaultParagraphFont"/>
    <w:link w:val="Bxmessengerajax1"/>
    <w:qFormat/>
    <w:rPr/>
  </w:style>
  <w:style w:type="character" w:styleId="Style14">
    <w:name w:val="Заголовок таблицы"/>
    <w:basedOn w:val="Style15"/>
    <w:link w:val="Style30"/>
    <w:qFormat/>
    <w:rPr>
      <w:b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tyle15">
    <w:name w:val="Содержимое таблицы"/>
    <w:link w:val="Style29"/>
    <w:qFormat/>
    <w:rPr/>
  </w:style>
  <w:style w:type="character" w:styleId="Style16">
    <w:name w:val="Заголовок"/>
    <w:link w:val="Style17"/>
    <w:qFormat/>
    <w:rPr>
      <w:rFonts w:ascii="Open Sans" w:hAnsi="Open Sans"/>
      <w:sz w:val="28"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link w:val="Style16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1"/>
    <w:pPr/>
    <w:rPr/>
  </w:style>
  <w:style w:type="paragraph" w:styleId="Style20">
    <w:name w:val="Caption"/>
    <w:basedOn w:val="Normal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link w:val="Style10"/>
    <w:qFormat/>
    <w:pPr/>
    <w:rPr/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Колонтитул"/>
    <w:link w:val="Style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Содержимое врезки"/>
    <w:basedOn w:val="Normal"/>
    <w:link w:val="Style9"/>
    <w:qFormat/>
    <w:pPr/>
    <w:rPr/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Style25">
    <w:name w:val="Header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link w:val="Annotationsubject"/>
    <w:qFormat/>
    <w:pPr/>
    <w:rPr>
      <w:b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Title"/>
    <w:next w:val="Style18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Annotationreference1">
    <w:name w:val="annotation reference"/>
    <w:basedOn w:val="DefaultParagraphFont1"/>
    <w:link w:val="Annotationreference"/>
    <w:qFormat/>
    <w:pPr/>
    <w:rPr>
      <w:sz w:val="16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Annotationtext1">
    <w:name w:val="annotation text"/>
    <w:basedOn w:val="Normal"/>
    <w:link w:val="Annotationtext"/>
    <w:qFormat/>
    <w:pPr>
      <w:spacing w:lineRule="auto" w:line="240"/>
    </w:pPr>
    <w:rPr>
      <w:sz w:val="20"/>
    </w:rPr>
  </w:style>
  <w:style w:type="paragraph" w:styleId="Caption2">
    <w:name w:val="caption"/>
    <w:basedOn w:val="Normal"/>
    <w:link w:val="Caption1"/>
    <w:qFormat/>
    <w:pPr>
      <w:spacing w:before="120" w:after="120"/>
    </w:pPr>
    <w:rPr>
      <w:i/>
      <w:sz w:val="24"/>
    </w:rPr>
  </w:style>
  <w:style w:type="paragraph" w:styleId="Docdata1">
    <w:name w:val="docdata"/>
    <w:basedOn w:val="DefaultParagraphFont1"/>
    <w:link w:val="Docdata"/>
    <w:qFormat/>
    <w:pPr/>
    <w:rPr/>
  </w:style>
  <w:style w:type="paragraph" w:styleId="Style28">
    <w:name w:val="Символ нумерации"/>
    <w:link w:val="Style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messengerajax1">
    <w:name w:val="bx-messenger-ajax"/>
    <w:basedOn w:val="DefaultParagraphFont1"/>
    <w:link w:val="Bxmessengerajax"/>
    <w:qFormat/>
    <w:pPr/>
    <w:rPr/>
  </w:style>
  <w:style w:type="paragraph" w:styleId="Style29">
    <w:name w:val="Содержимое таблицы"/>
    <w:basedOn w:val="Normal"/>
    <w:link w:val="Style15"/>
    <w:qFormat/>
    <w:pPr>
      <w:widowControl w:val="false"/>
    </w:pPr>
    <w:rPr/>
  </w:style>
  <w:style w:type="paragraph" w:styleId="Style30">
    <w:name w:val="Заголовок таблицы"/>
    <w:basedOn w:val="Style29"/>
    <w:link w:val="Style14"/>
    <w:qFormat/>
    <w:pPr>
      <w:jc w:val="center"/>
    </w:pPr>
    <w:rPr>
      <w:b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table" w:styleId="Style_67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10</Pages>
  <Words>2857</Words>
  <Characters>18283</Characters>
  <CharactersWithSpaces>20800</CharactersWithSpaces>
  <Paragraphs>419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2023-06-29T16:05:16Z</dcterms:modified>
  <cp:revision>2</cp:revision>
  <dc:subject/>
  <dc:title/>
</cp:coreProperties>
</file>