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ind w:left="0" w:right="0" w:firstLine="0"/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ind w:left="0" w:right="0" w:firstLine="0"/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</w:rPr>
        <w:t xml:space="preserve">МЕТОДИЧЕСКИЕ РЕКОМЕНДАЦИИ</w:t>
      </w: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</w:rPr>
        <w:t xml:space="preserve">по </w:t>
      </w:r>
      <w:r>
        <w:rPr>
          <w:rFonts w:ascii="Times New Roman" w:hAnsi="Times New Roman"/>
          <w:b/>
          <w:sz w:val="28"/>
        </w:rPr>
        <w:t xml:space="preserve">заполнению электронных форм в подсистеме разработки и утверждения административных регламентов предоставления государственных (муниципальных) услуг федеральной государственной информационной системы </w:t>
      </w:r>
      <w:r>
        <w:rPr>
          <w:rFonts w:ascii="Times New Roman" w:hAnsi="Times New Roman"/>
          <w:b/>
          <w:sz w:val="28"/>
        </w:rPr>
        <w:t xml:space="preserve">«</w:t>
      </w:r>
      <w:r>
        <w:rPr>
          <w:rFonts w:ascii="Times New Roman" w:hAnsi="Times New Roman"/>
          <w:b/>
          <w:sz w:val="28"/>
        </w:rPr>
        <w:t xml:space="preserve">Федеральный реестр государственных и муниципальных услуг (функций)»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sz w:val="28"/>
        </w:rPr>
        <w:t xml:space="preserve">Конструктор цифровых регламентов</w:t>
      </w: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60" w:firstLine="0"/>
        <w:jc w:val="center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обновлено: 25.10.2023</w:t>
      </w:r>
      <w:r>
        <w:rPr>
          <w:rFonts w:ascii="Times New Roman" w:hAnsi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 w:clear="all"/>
      </w:r>
      <w:r>
        <w:rPr>
          <w:rFonts w:ascii="Times New Roman" w:hAnsi="Times New Roman"/>
          <w:sz w:val="28"/>
        </w:rPr>
      </w:r>
    </w:p>
    <w:p>
      <w:pPr>
        <w:ind w:left="360" w:firstLine="0"/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Перечень терминов и сокращений</w:t>
      </w:r>
      <w:r>
        <w:rPr>
          <w:rFonts w:ascii="Times New Roman" w:hAnsi="Times New Roman"/>
          <w:sz w:val="28"/>
        </w:rPr>
      </w:r>
    </w:p>
    <w:tbl>
      <w:tblPr>
        <w:tblStyle w:val="878"/>
        <w:tblLayout w:type="fixed"/>
        <w:tblLook w:val="04A0" w:firstRow="1" w:lastRow="0" w:firstColumn="1" w:lastColumn="0" w:noHBand="0" w:noVBand="1"/>
      </w:tblPr>
      <w:tblGrid>
        <w:gridCol w:w="2976"/>
        <w:gridCol w:w="7798"/>
      </w:tblGrid>
      <w:tr>
        <w:trPr/>
        <w:tc>
          <w:tcPr>
            <w:tcW w:w="29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Единый портал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/>
        <w:tc>
          <w:tcPr>
            <w:tcW w:w="29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ЕСИА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</w:t>
            </w:r>
            <w:r>
              <w:rPr>
                <w:rFonts w:ascii="Times New Roman" w:hAnsi="Times New Roman"/>
                <w:sz w:val="28"/>
              </w:rPr>
              <w:t xml:space="preserve">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</w:t>
            </w:r>
            <w:r>
              <w:rPr>
                <w:rFonts w:ascii="Times New Roman" w:hAnsi="Times New Roman"/>
                <w:sz w:val="28"/>
              </w:rPr>
              <w:t xml:space="preserve">льных услуг в электронной форме»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/>
        <w:tc>
          <w:tcPr>
            <w:tcW w:w="297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ИС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Информационная система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/>
        <w:tc>
          <w:tcPr>
            <w:tcW w:w="29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КЦР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Подсистема разработки и утверждения административных регламентов предоставления государственных (муниципальных) услуг ФРГУ (Конструктор цифровых регламентов)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/>
        <w:tc>
          <w:tcPr>
            <w:tcW w:w="29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МФЦ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Многофункциональный центр предоставления государственных и муниципальных услуг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/>
        <w:tc>
          <w:tcPr>
            <w:tcW w:w="297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НПА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Нормативный правовой акт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/>
        <w:tc>
          <w:tcPr>
            <w:tcW w:w="297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ПГС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Федеральная государственная информационная система </w:t>
            </w:r>
            <w:r>
              <w:rPr>
                <w:rFonts w:ascii="Times New Roman" w:hAnsi="Times New Roman"/>
                <w:sz w:val="28"/>
              </w:rPr>
              <w:t xml:space="preserve">«</w:t>
            </w:r>
            <w:r>
              <w:rPr>
                <w:rFonts w:ascii="Times New Roman" w:hAnsi="Times New Roman"/>
                <w:sz w:val="28"/>
              </w:rPr>
              <w:t xml:space="preserve">Единая система предоставления государственных и муниципальных услуг (сервисов)</w:t>
            </w:r>
            <w:r>
              <w:rPr>
                <w:rFonts w:ascii="Times New Roman" w:hAnsi="Times New Roman"/>
                <w:sz w:val="28"/>
              </w:rPr>
              <w:t xml:space="preserve">»</w:t>
            </w:r>
            <w:r>
              <w:rPr>
                <w:rFonts w:ascii="Times New Roman" w:hAnsi="Times New Roman"/>
                <w:sz w:val="28"/>
              </w:rPr>
              <w:t xml:space="preserve"> (Платформа государственных сервисов</w:t>
            </w:r>
            <w:r>
              <w:rPr>
                <w:rFonts w:ascii="Times New Roman" w:hAnsi="Times New Roman"/>
                <w:sz w:val="28"/>
              </w:rPr>
              <w:t xml:space="preserve">»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/>
        <w:tc>
          <w:tcPr>
            <w:tcW w:w="29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РПГУ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Региональный портал государственных и муниципальных услуг (функций)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/>
        <w:tc>
          <w:tcPr>
            <w:tcW w:w="297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СМЭВ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Система межведомственного электронного взаимодействия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/>
        <w:tc>
          <w:tcPr>
            <w:tcW w:w="2976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ФРГУ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Федеральная государственная информационная система «Федеральный реестр государственных и муниципальных услуг (функций)»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/>
        <w:tc>
          <w:tcPr>
            <w:tcW w:w="2976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ЦР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7798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Цифровой регламент</w:t>
            </w:r>
            <w:r>
              <w:rPr>
                <w:rFonts w:ascii="Times New Roman" w:hAnsi="Times New Roman"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</w:tr>
    </w:tbl>
    <w:p>
      <w:pPr>
        <w:ind w:left="360" w:firstLine="0"/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 w:clear="all"/>
      </w:r>
      <w:r>
        <w:rPr>
          <w:rFonts w:ascii="Times New Roman" w:hAnsi="Times New Roman"/>
          <w:sz w:val="28"/>
        </w:rPr>
      </w:r>
    </w:p>
    <w:p>
      <w:pPr>
        <w:pStyle w:val="809"/>
        <w:numPr>
          <w:ilvl w:val="0"/>
          <w:numId w:val="18"/>
        </w:numPr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Общие положения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</w:rPr>
      </w:r>
    </w:p>
    <w:p>
      <w:p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ФРГУ состоит из следующих разделов и подсистем: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реестр государственных и муниципальных услуг (функций);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реестр органов (организаций), предоставляющих услуги;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реестр необходимых и обязательных услуг;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реестр иных услуг;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реестр услуг, предоставляемых в рамках государственного (муниципального) задания (заказа);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подсистема разработки и утверждения административных регламентов предоставления государственных (муниципальных) услуг (КЦР);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подсистема формирования и ведения справочников;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2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подсистема аналитической информации.</w:t>
      </w:r>
      <w:r>
        <w:rPr>
          <w:rFonts w:ascii="Times New Roman" w:hAnsi="Times New Roman"/>
          <w:sz w:val="28"/>
        </w:rPr>
      </w:r>
    </w:p>
    <w:p>
      <w:p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КЦР автоматизирует функции разработки, утверждения и публикации административных </w:t>
      </w:r>
      <w:r>
        <w:rPr>
          <w:rFonts w:ascii="Times New Roman" w:hAnsi="Times New Roman"/>
          <w:sz w:val="28"/>
        </w:rPr>
        <w:t xml:space="preserve">регламентов предоставления государственных и муниципальных услуг и обеспечивает следующие возможности: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разработка машиночитаемого описания административных регламентов предоставления государственных и муниципальных услуг (ЦР), включая все параметры предоставления услуги;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ведение библиотеки типовых и шаблонных ЦР;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ведение централизованных справочников, используемых при разработке ЦР;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обеспечение процесса согласования и подписания ЦР;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поддержка версионности ЦР;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представление ЦР в человекочитаемом виде для согласования и публикации на внешних ресурсах;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публикация ЦР для доступа и интеграции внешних ИС, участвующих в предоставлении государственных и муниципальных услуг;</w:t>
      </w:r>
      <w:r>
        <w:rPr>
          <w:rFonts w:ascii="Times New Roman" w:hAnsi="Times New Roman"/>
          <w:sz w:val="28"/>
        </w:rPr>
      </w:r>
    </w:p>
    <w:p>
      <w:pPr>
        <w:pStyle w:val="775"/>
        <w:numPr>
          <w:ilvl w:val="0"/>
          <w:numId w:val="3"/>
        </w:num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комплексная аналитика по цифровизации услуг.</w:t>
      </w:r>
      <w:r>
        <w:rPr>
          <w:rFonts w:ascii="Times New Roman" w:hAnsi="Times New Roman"/>
          <w:sz w:val="28"/>
        </w:rPr>
      </w:r>
    </w:p>
    <w:p>
      <w:pPr>
        <w:ind w:left="0" w:righ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</w:rPr>
        <w:t xml:space="preserve">В КЦР используются следующие принятые сокращения в соответствующих падежах: Орган власти, Фонд, Госкорпорация, Территориальный орган Органа власти, Единый портал, Региональный портал, МФЦ, Услуга, вариант, заявитель, сеть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Интернет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ind w:left="0" w:righ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Рекомендуем ознакомиться с особенностями направления отдельных запросов на добавление и (или) изменение справочных значений (</w:t>
      </w:r>
      <w:r>
        <w:rPr>
          <w:rFonts w:ascii="Times New Roman" w:hAnsi="Times New Roman"/>
          <w:sz w:val="28"/>
          <w:highlight w:val="none"/>
        </w:rPr>
      </w:r>
      <w:hyperlink r:id="rId12" w:tooltip="https://www.kcrinfo.ru/faq.php?section=spravochniki" w:history="1">
        <w:r>
          <w:rPr>
            <w:rStyle w:val="818"/>
            <w:rFonts w:ascii="Times New Roman" w:hAnsi="Times New Roman"/>
            <w:sz w:val="28"/>
            <w:highlight w:val="none"/>
          </w:rPr>
          <w:t xml:space="preserve">https://www.kcrinfo.ru/faq.php?section=spravochniki</w:t>
        </w:r>
      </w:hyperlink>
      <w:r>
        <w:rPr>
          <w:rFonts w:ascii="Times New Roman" w:hAnsi="Times New Roman"/>
          <w:sz w:val="28"/>
          <w:highlight w:val="none"/>
        </w:rPr>
        <w:t xml:space="preserve">). На рассмотрение запросов отводится до 3 рабочих дней. Отслеживать статус рассмотрения направленных запросов можно в разделе </w:t>
      </w:r>
      <w:r>
        <w:rPr>
          <w:rFonts w:ascii="Times New Roman" w:hAnsi="Times New Roman"/>
          <w:sz w:val="28"/>
          <w:highlight w:val="none"/>
        </w:rPr>
        <w:t xml:space="preserve">«В работе»</w:t>
      </w:r>
      <w:r>
        <w:rPr>
          <w:rFonts w:ascii="Times New Roman" w:hAnsi="Times New Roman"/>
          <w:sz w:val="28"/>
          <w:highlight w:val="none"/>
        </w:rPr>
        <w:t xml:space="preserve"> – </w:t>
      </w:r>
      <w:r>
        <w:rPr>
          <w:rFonts w:ascii="Times New Roman" w:hAnsi="Times New Roman"/>
          <w:sz w:val="28"/>
          <w:highlight w:val="none"/>
        </w:rPr>
        <w:t xml:space="preserve">«Добавление в справочник».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ind w:left="0" w:right="0" w:firstLine="0"/>
        <w:jc w:val="both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highlight w:val="none"/>
        </w:rPr>
        <w:t xml:space="preserve">О направлении на согласование в Минэкономразвития Камчатского края карточки услуги либо проекта ЦР просим в рабочем порядке информировать по адресу электронной почты </w:t>
      </w:r>
      <w:r>
        <w:rPr>
          <w:rFonts w:ascii="Times New Roman" w:hAnsi="Times New Roman"/>
          <w:sz w:val="28"/>
          <w:highlight w:val="none"/>
        </w:rPr>
      </w:r>
      <w:hyperlink r:id="rId13" w:tooltip="http://gosuslugi@kamgov.ru" w:history="1">
        <w:r>
          <w:rPr>
            <w:rStyle w:val="818"/>
            <w:rFonts w:ascii="Times New Roman" w:hAnsi="Times New Roman"/>
            <w:sz w:val="28"/>
            <w:highlight w:val="none"/>
          </w:rPr>
          <w:t xml:space="preserve">gosuslugi@kamgov.ru</w:t>
        </w:r>
      </w:hyperlink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 w:clear="all"/>
      </w:r>
      <w:r>
        <w:rPr>
          <w:rFonts w:ascii="Times New Roman" w:hAnsi="Times New Roman"/>
          <w:sz w:val="28"/>
        </w:rPr>
      </w:r>
    </w:p>
    <w:p>
      <w:pPr>
        <w:pStyle w:val="809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2. Создание цифрового регламента.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</w:rPr>
      </w:r>
    </w:p>
    <w:p>
      <w:pPr>
        <w:jc w:val="both"/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создания ЦР в опубликованной карточке услуги необходимо нажать на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Создать ЦР с с/п</w:t>
      </w:r>
      <w:r>
        <w:rPr>
          <w:rFonts w:ascii="Times New Roman" w:hAnsi="Times New Roman"/>
          <w:sz w:val="28"/>
        </w:rPr>
        <w:t xml:space="preserve">» либо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Создать ЦР с п/п</w:t>
      </w:r>
      <w:r>
        <w:rPr>
          <w:rFonts w:ascii="Times New Roman" w:hAnsi="Times New Roman"/>
          <w:sz w:val="28"/>
        </w:rPr>
        <w:t xml:space="preserve">» в зависимости от типа полномочий</w:t>
      </w:r>
      <w:r>
        <w:rPr>
          <w:rFonts w:ascii="Times New Roman" w:hAnsi="Times New Roman"/>
          <w:sz w:val="28"/>
        </w:rPr>
        <w:t xml:space="preserve">.</w:t>
      </w:r>
      <w:r>
        <w:rPr>
          <w:rFonts w:ascii="Times New Roman" w:hAnsi="Times New Roman"/>
          <w:sz w:val="28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103542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80107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841489" cy="3103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38.70pt;height:244.37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6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 Раздел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  <w:highlight w:val="none"/>
        </w:rPr>
        <w:t xml:space="preserve">Информация об услуге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Style w:val="77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2.1.1. 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  <w:highlight w:val="none"/>
        </w:rPr>
        <w:t xml:space="preserve">Общие сведения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highlight w:val="none"/>
        </w:rPr>
        <w:t xml:space="preserve">Поля </w:t>
      </w:r>
      <w:r>
        <w:rPr>
          <w:rFonts w:ascii="Times New Roman" w:hAnsi="Times New Roman"/>
          <w:sz w:val="28"/>
        </w:rPr>
        <w:t xml:space="preserve">«Связанная услуга</w:t>
      </w:r>
      <w:r>
        <w:rPr>
          <w:rFonts w:ascii="Times New Roman" w:hAnsi="Times New Roman"/>
          <w:sz w:val="28"/>
        </w:rPr>
        <w:t xml:space="preserve">», </w:t>
      </w:r>
      <w:r>
        <w:rPr>
          <w:rFonts w:ascii="Times New Roman" w:hAnsi="Times New Roman"/>
          <w:sz w:val="28"/>
        </w:rPr>
        <w:t xml:space="preserve">«Уровень предоставления услуги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  <w:highlight w:val="none"/>
        </w:rPr>
        <w:t xml:space="preserve">заполняются автоматически в соответствии</w:t>
      </w:r>
      <w:r>
        <w:rPr>
          <w:rFonts w:ascii="Times New Roman" w:hAnsi="Times New Roman"/>
          <w:sz w:val="28"/>
        </w:rPr>
        <w:t xml:space="preserve"> с карточкой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Необходимо ответить на вопрос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Услуга предоставляется экстерриториально?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посредством переключателя. </w:t>
      </w:r>
      <w:r>
        <w:rPr>
          <w:rFonts w:ascii="Times New Roman" w:hAnsi="Times New Roman"/>
          <w:sz w:val="28"/>
        </w:rPr>
        <w:t xml:space="preserve">Экстерриториальный принцип предоставления услуг подразумевает возможность получения услуги в любом подразделении органа (МФЦ) вне зависимости от места жительства, пребывания или нахождения заявителя.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</w:rPr>
        <w:t xml:space="preserve">Поля «Полное наименование услуги</w:t>
      </w:r>
      <w:r>
        <w:rPr>
          <w:rFonts w:ascii="Times New Roman" w:hAnsi="Times New Roman"/>
          <w:sz w:val="28"/>
        </w:rPr>
        <w:t xml:space="preserve">», </w:t>
      </w:r>
      <w:r>
        <w:rPr>
          <w:rFonts w:ascii="Times New Roman" w:hAnsi="Times New Roman"/>
          <w:sz w:val="28"/>
        </w:rPr>
        <w:t xml:space="preserve">«Краткое наименование услуги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заполняются автоматически в соответствии </w:t>
      </w:r>
      <w:r>
        <w:rPr>
          <w:rFonts w:ascii="Times New Roman" w:hAnsi="Times New Roman"/>
          <w:sz w:val="28"/>
        </w:rPr>
        <w:t xml:space="preserve">с карточкой услуги.</w:t>
      </w:r>
      <w:r>
        <w:rPr>
          <w:rFonts w:ascii="Times New Roman" w:hAnsi="Times New Roman"/>
          <w:sz w:val="28"/>
          <w:highlight w:val="none"/>
        </w:rPr>
        <w:t xml:space="preserve"> Поле </w:t>
      </w:r>
      <w:r>
        <w:rPr>
          <w:rFonts w:ascii="Times New Roman" w:hAnsi="Times New Roman"/>
          <w:sz w:val="28"/>
        </w:rPr>
        <w:t xml:space="preserve">«Орган, разработавший ЦР</w:t>
      </w:r>
      <w:r>
        <w:rPr>
          <w:rFonts w:ascii="Times New Roman" w:hAnsi="Times New Roman"/>
          <w:sz w:val="28"/>
        </w:rPr>
        <w:t xml:space="preserve">» заполняется автоматически. 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23393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16617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841489" cy="3233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38.70pt;height:254.64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Необходимо указать орган, предоставляющий услугу, нажав по кнопке </w:t>
      </w:r>
      <w:r>
        <w:rPr>
          <w:rFonts w:ascii="Times New Roman" w:hAnsi="Times New Roman"/>
          <w:sz w:val="28"/>
        </w:rPr>
        <w:t xml:space="preserve">«Добавить орган, предоставляющий услугу</w:t>
      </w:r>
      <w:r>
        <w:rPr>
          <w:rFonts w:ascii="Times New Roman" w:hAnsi="Times New Roman"/>
          <w:sz w:val="28"/>
        </w:rPr>
        <w:t xml:space="preserve">».</w:t>
      </w:r>
      <w:r>
        <w:rPr>
          <w:rFonts w:ascii="Times New Roman" w:hAnsi="Times New Roman"/>
          <w:sz w:val="28"/>
          <w:highlight w:val="none"/>
        </w:rPr>
        <w:t xml:space="preserve"> После указания органа требуется заполнить поля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Подразделение, осуществляющее предоставление услуги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</w:t>
      </w:r>
      <w:r>
        <w:rPr>
          <w:rFonts w:ascii="Times New Roman" w:hAnsi="Times New Roman"/>
          <w:sz w:val="28"/>
        </w:rPr>
        <w:t xml:space="preserve">«Территория обслуживания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585886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84303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841489" cy="1585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38.70pt;height:124.87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заключении б</w:t>
      </w:r>
      <w:r>
        <w:rPr>
          <w:rFonts w:ascii="Times New Roman" w:hAnsi="Times New Roman"/>
          <w:sz w:val="28"/>
          <w:highlight w:val="none"/>
        </w:rPr>
        <w:t xml:space="preserve">лока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Общие сведения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требуется из справочных значений добавить НПА, регулирующие предоставление услуги.</w:t>
      </w:r>
      <w:r>
        <w:rPr>
          <w:rFonts w:ascii="Times New Roman" w:hAnsi="Times New Roman"/>
          <w:sz w:val="28"/>
          <w:szCs w:val="28"/>
          <w:highlight w:val="none"/>
        </w:rPr>
        <w:t xml:space="preserve"> Для того, чтобы найти НПА, рекомендуем ввести его реквизиты в числовом формате (например,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27.07.2010 № 210-ФЗ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). В случае отсутствия необходимого справочного значения направьте запрос на добавление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878144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04628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841489" cy="28781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38.70pt;height:226.63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2.1.2. Блок </w:t>
      </w:r>
      <w:r>
        <w:rPr>
          <w:rFonts w:ascii="Times New Roman" w:hAnsi="Times New Roman"/>
          <w:b/>
          <w:bCs/>
          <w:sz w:val="28"/>
        </w:rPr>
        <w:t xml:space="preserve">«Информирование о порядке предоставления услуги</w:t>
      </w:r>
      <w:r>
        <w:rPr>
          <w:rFonts w:ascii="Times New Roman" w:hAnsi="Times New Roman"/>
          <w:b/>
          <w:bCs/>
          <w:sz w:val="28"/>
        </w:rPr>
        <w:t xml:space="preserve">».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данном блоке необходимо заполнить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Способы информирования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, выбрав из справочных значений соответствующие возможности информирования. При отсутствии необходимого справочного значения можно направить запрос на добавление.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509771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05227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841489" cy="2509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38.70pt;height:197.6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Адрес официального сайта органа, предоставляющего услугу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необходимо добавить ссылку, нажав на карандаш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4065" cy="23406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55406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234065" cy="234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8.43pt;height:18.43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  <w:t xml:space="preserve">).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52255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38978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841489" cy="522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38.70pt;height:41.1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Телефон единого информационного центра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необходимо указать номер телефона ведомства, предоставляющего услугу, по которому можно получить информацию о порядке предоставления услуги.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575307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71546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841489" cy="5753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38.70pt;height:45.3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заключении данного блока требуется добавить места информирования 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Офисы консультирования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144191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8470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841489" cy="2144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38.70pt;height:168.83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2.1.3.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Показатели доступности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При помощи кнопки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Добавить показатели доступности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требуется из справочных значений выбрать необходимые показатели. В случае отсутствия необходимых справочных значений можно направить запрос на добавление.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903564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74688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841489" cy="29035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38.70pt;height:228.63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1"/>
        <w:rPr>
          <w:rFonts w:ascii="Times New Roman" w:hAnsi="Times New Roman"/>
          <w:b/>
          <w:bCs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2.1.4.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Показатели качества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При помощи кнопки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Добавить показатели качества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требуется из справочных значений выбрать необходимые показатели. В случае отсутствия необходимых справочных значений можно направить запрос на добавление.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46420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60576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841489" cy="2464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38.70pt;height:194.03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2.1.5.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Требования к помещениям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Необходимо передвинуть 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Имеются ли требования к помещениям?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на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Да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выбрать необходимые требования из списка. </w:t>
      </w:r>
      <w:r>
        <w:rPr>
          <w:rFonts w:ascii="Times New Roman" w:hAnsi="Times New Roman"/>
          <w:sz w:val="28"/>
          <w:szCs w:val="28"/>
          <w:highlight w:val="none"/>
        </w:rPr>
        <w:t xml:space="preserve">Следует указать требования, которым должны соответствовать помещения, в которых предоставляются услуги, в том числе зал ожидания, места для заполнения запросов о предоставлении услуги</w:t>
      </w:r>
      <w:r>
        <w:rPr>
          <w:rFonts w:ascii="Times New Roman" w:hAnsi="Times New Roman"/>
          <w:sz w:val="28"/>
          <w:szCs w:val="28"/>
          <w:highlight w:val="none"/>
        </w:rPr>
        <w:t xml:space="preserve">, информационные стенды с образцами их заполнения и перечнем документов и (или) информации,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При отсутствии необходимого справочного значения можно направить запрос на добавление.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539164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78139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841489" cy="35391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38.70pt;height:278.67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1"/>
        <w:rPr>
          <w:rFonts w:ascii="Times New Roman" w:hAnsi="Times New Roman"/>
          <w:b/>
          <w:bCs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2.1.6.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Досудебный порядок обжалования решений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данном блоке необходимо указать способы информирования заявителей о порядке досудебного (внесудебного) обжалования, а также формы и способы подачи заявителями жалобы путем заполнения соответствующих полей.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При отсутствии необходимого справочного значения можно направить запрос на добавление.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549023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8916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841489" cy="35490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38.70pt;height:279.4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1"/>
        <w:rPr>
          <w:rFonts w:ascii="Times New Roman" w:hAnsi="Times New Roman"/>
          <w:b/>
          <w:bCs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2.1.7.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Формы контроля за исполнением административного регламента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highlight w:val="none"/>
        </w:rPr>
      </w:r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Состав печатной версии данного блока определен пунктом 34 правил разработки и утверждения административных регламентов (утверждены постановлением Правительства Российской Федерации от 20.07.2021 № 1228).</w:t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Для формирования первых двух подразделов нужно заполнить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Субъекты, осуществляющие контроль</w:t>
      </w:r>
      <w:r>
        <w:rPr>
          <w:rFonts w:ascii="Times New Roman" w:hAnsi="Times New Roman"/>
          <w:sz w:val="28"/>
        </w:rPr>
        <w:t xml:space="preserve">» и переключатели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Предусмотрены другие способы осуществления текущего контроля (помимо плановых и внеплановых проверок)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Предусмотрены ли помимо жалоб заявителей на решения и действия (бездействие) должностных лиц другие основания для проведения внеплановых проверок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. 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По умолчанию в </w:t>
      </w:r>
      <w:r>
        <w:rPr>
          <w:rFonts w:ascii="Times New Roman" w:hAnsi="Times New Roman"/>
          <w:sz w:val="28"/>
          <w:szCs w:val="28"/>
          <w:highlight w:val="none"/>
        </w:rPr>
        <w:t xml:space="preserve">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Субъекты, осуществляющие контроль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указывают значение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уполномоченным руководителем (заместителем руководителя)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. 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Как правило, </w:t>
      </w:r>
      <w:r>
        <w:rPr>
          <w:rFonts w:ascii="Times New Roman" w:hAnsi="Times New Roman"/>
          <w:sz w:val="28"/>
          <w:szCs w:val="28"/>
          <w:highlight w:val="none"/>
        </w:rPr>
        <w:t xml:space="preserve">текущий контроль осуществляется только посредством плановых и внеплановых проверок. Если способов контроля больше, их можно указать в соответствующем поле после передвижения переключателя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Предусмотрены другие способы осуществления текущего контроля (помимо плановых и внеплановых проверок)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. 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Основанием для проведения внеплановых проверок являются жалобы заявителя на действия и решения должностных лиц. Если есть дополнительные основания, их </w:t>
      </w:r>
      <w:r>
        <w:rPr>
          <w:rFonts w:ascii="Times New Roman" w:hAnsi="Times New Roman"/>
          <w:sz w:val="28"/>
          <w:szCs w:val="28"/>
          <w:highlight w:val="none"/>
        </w:rPr>
        <w:t xml:space="preserve">можно указать в соответствующем поле после передвижения переключателя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Предусмотрены ли помимо жалоб заявителей на решения и действия (бездействие) должностных лиц другие основания для проведения внеплановых проверок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Оставшиеся подразделы формируются в КЦР автоматически и не предполагают выбора справочных значений.</w:t>
      </w:r>
      <w:r/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289422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30389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841489" cy="2289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38.70pt;height:180.27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2.1.8.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Иные требования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данный блок необходимо добавить услуги, которые являются необходимыми и обязательными для предоставления услуги (в случае их наличия). </w:t>
      </w:r>
      <w:r>
        <w:rPr>
          <w:rFonts w:ascii="Times New Roman" w:hAnsi="Times New Roman"/>
          <w:sz w:val="28"/>
          <w:highlight w:val="none"/>
        </w:rPr>
        <w:t xml:space="preserve">Необходимые и обязательные услуги для предоставления услуг оказываются организациями вне зависимости от организационно-правовой формы собственности. К необходимым и обязательным услугам относятся услуги, в результате оказания которых заявитель</w:t>
      </w:r>
      <w:r>
        <w:rPr>
          <w:rFonts w:ascii="Times New Roman" w:hAnsi="Times New Roman"/>
          <w:sz w:val="28"/>
          <w:highlight w:val="none"/>
        </w:rPr>
        <w:t xml:space="preserve"> может получить документ, необходимый при обращении за услугой, а также услуги, обращение за которыми необходимо для получения услуги в соответствии с НПА.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Например, для получения водительского удостоверения необходимо пройти медицинское освидетельствование.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2.1.9. </w:t>
      </w:r>
      <w:r>
        <w:rPr>
          <w:rFonts w:ascii="Times New Roman" w:hAnsi="Times New Roman"/>
          <w:b/>
          <w:bCs/>
          <w:sz w:val="28"/>
          <w:highlight w:val="none"/>
        </w:rPr>
        <w:t xml:space="preserve">Блок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Для служебного пользования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случае, если административный регламент содержит сведения, предназначенные для служебного пользования, то необходимо передвинуть 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Регламент содержит в себе сведения для служебного пользования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466980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65502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841489" cy="2466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38.70pt;height:194.25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6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2.2. Раздел</w:t>
      </w:r>
      <w:r>
        <w:rPr>
          <w:rFonts w:ascii="Times New Roman" w:hAnsi="Times New Roman"/>
          <w:b/>
          <w:bCs/>
          <w:sz w:val="28"/>
          <w:highlight w:val="none"/>
        </w:rPr>
        <w:t xml:space="preserve">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Подуслуги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Подуслуги представляют собой возможные цели обращения заявителя. К</w:t>
      </w:r>
      <w:r>
        <w:rPr>
          <w:rFonts w:ascii="Times New Roman" w:hAnsi="Times New Roman"/>
          <w:sz w:val="28"/>
          <w:highlight w:val="none"/>
        </w:rPr>
        <w:t xml:space="preserve">оличество подуслуг должно соответствовать количеству таких целей. </w:t>
      </w:r>
      <w:r>
        <w:rPr>
          <w:rFonts w:ascii="Times New Roman" w:hAnsi="Times New Roman"/>
          <w:b w:val="0"/>
          <w:bCs w:val="0"/>
          <w:sz w:val="28"/>
          <w:highlight w:val="none"/>
        </w:rPr>
        <w:t xml:space="preserve">Отказ в предоставлении услуги не является подуслугой.</w:t>
      </w:r>
      <w:r>
        <w:rPr>
          <w:rFonts w:ascii="Times New Roman" w:hAnsi="Times New Roman"/>
          <w:b w:val="0"/>
          <w:bCs w:val="0"/>
          <w:sz w:val="28"/>
          <w:highlight w:val="none"/>
        </w:rPr>
        <w:t xml:space="preserve"> Исправление допущенных опечаток и (или) ошибок, как правило, является дополнительной необходимой подуслугой.</w:t>
      </w:r>
      <w:r>
        <w:rPr>
          <w:rFonts w:ascii="Times New Roman" w:hAnsi="Times New Roman"/>
          <w:b w:val="0"/>
          <w:bCs w:val="0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shd w:val="clear" w:color="fef2cb" w:themeColor="accent4" w:themeTint="33" w:fill="fef2cb" w:themeFill="accent4" w:themeFillTint="33"/>
      </w:pPr>
      <w:r>
        <w:rPr>
          <w:rFonts w:ascii="Times New Roman" w:hAnsi="Times New Roman"/>
          <w:sz w:val="28"/>
          <w:highlight w:val="none"/>
        </w:rPr>
        <w:t xml:space="preserve">Например:</w:t>
      </w:r>
      <w:r/>
    </w:p>
    <w:p>
      <w:pPr>
        <w:jc w:val="both"/>
        <w:spacing w:line="240" w:lineRule="auto"/>
        <w:shd w:val="clear" w:color="fef2cb" w:themeColor="accent4" w:themeTint="33" w:fill="fef2cb" w:themeFill="accent4" w:themeFillTint="33"/>
      </w:pPr>
      <w:r>
        <w:rPr>
          <w:rFonts w:ascii="Times New Roman" w:hAnsi="Times New Roman"/>
          <w:sz w:val="28"/>
          <w:highlight w:val="none"/>
        </w:rPr>
        <w:t xml:space="preserve">1</w:t>
      </w:r>
      <w:r>
        <w:rPr>
          <w:rFonts w:ascii="Times New Roman" w:hAnsi="Times New Roman"/>
          <w:sz w:val="28"/>
          <w:highlight w:val="none"/>
        </w:rPr>
        <w:t xml:space="preserve">) госуслуга по лицен</w:t>
      </w:r>
      <w:r>
        <w:rPr>
          <w:rFonts w:ascii="Times New Roman" w:hAnsi="Times New Roman"/>
          <w:sz w:val="28"/>
          <w:highlight w:val="none"/>
        </w:rPr>
        <w:t xml:space="preserve">зированию предпринимательской деятельности по управлению многоквартирными домами. Здесь заявитель может обратиться за предоставлением лицензией, её продлением, внесением изменений, досрочным прекращением, а также за предоставлением сведений из реестра. Ито</w:t>
      </w:r>
      <w:r>
        <w:rPr>
          <w:rFonts w:ascii="Times New Roman" w:hAnsi="Times New Roman"/>
          <w:sz w:val="28"/>
          <w:highlight w:val="none"/>
        </w:rPr>
        <w:t xml:space="preserve">го пять подуслуг.</w:t>
      </w:r>
      <w:r/>
    </w:p>
    <w:p>
      <w:pPr>
        <w:jc w:val="both"/>
        <w:spacing w:line="240" w:lineRule="auto"/>
        <w:shd w:val="clear" w:color="fef2cb" w:themeColor="accent4" w:themeTint="33" w:fill="fef2cb" w:themeFill="accent4" w:themeFillTint="33"/>
      </w:pPr>
      <w:r>
        <w:rPr>
          <w:rFonts w:ascii="Times New Roman" w:hAnsi="Times New Roman"/>
          <w:sz w:val="28"/>
          <w:highlight w:val="none"/>
        </w:rPr>
        <w:t xml:space="preserve">2) мунуслуга по выдаче выписок из реестра мунимущества. Здесь цель обращения одна, а значит одна подуслуга.</w:t>
      </w:r>
      <w:r/>
    </w:p>
    <w:p>
      <w:pPr>
        <w:jc w:val="both"/>
        <w:spacing w:line="240" w:lineRule="auto"/>
        <w:shd w:val="clear" w:color="fef2cb" w:themeColor="accent4" w:themeTint="33" w:fill="fef2cb" w:themeFill="accent4" w:themeFillTint="33"/>
      </w:pPr>
      <w:r>
        <w:rPr>
          <w:rFonts w:ascii="Times New Roman" w:hAnsi="Times New Roman"/>
          <w:sz w:val="28"/>
          <w:highlight w:val="none"/>
        </w:rPr>
        <w:t xml:space="preserve">3) мунуслуга по присвоению и аннулированию адресов. Заявитель может обратиться как за присвоением адреса объекту адресации, так и за аннулированием адреса. Две подуслуги.</w:t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b w:val="0"/>
          <w:bCs w:val="0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В рамках одной цели обращения могут быть некоторые различия по требованиям к отдельным категориям заявителей, пакету документов или по типам сведений, указанным в заявлении. Такие ситуации не требуют отдельного выделения подуслуги и настраиваются п</w:t>
      </w:r>
      <w:r>
        <w:rPr>
          <w:rFonts w:ascii="Times New Roman" w:hAnsi="Times New Roman"/>
          <w:sz w:val="28"/>
          <w:highlight w:val="none"/>
        </w:rPr>
        <w:t xml:space="preserve">утем Профилирования.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Если в КЦР не была добавлена подуслуга по исправлению опечаток и ошибок, то в соответствующем разделе появится пункт:</w:t>
      </w:r>
      <w:r>
        <w:rPr>
          <w:rFonts w:ascii="Times New Roman" w:hAnsi="Times New Roman"/>
          <w:sz w:val="28"/>
          <w:highlight w:val="none"/>
        </w:rPr>
        <w:t xml:space="preserve">«Настоящим Административным регламентом не предусмотрен вариант, необходимый для исправления допущенных опечаток и ошибок, в выданных в результате предоставления Услуги документах и реестровых записях.»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Чтобы создать подуслугу, нажмите на кнопку </w:t>
      </w:r>
      <w:r>
        <w:rPr>
          <w:rFonts w:ascii="Times New Roman" w:hAnsi="Times New Roman"/>
          <w:sz w:val="28"/>
          <w:highlight w:val="none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Создать подуслугу</w:t>
      </w:r>
      <w:r>
        <w:rPr>
          <w:rFonts w:ascii="Times New Roman" w:hAnsi="Times New Roman"/>
          <w:sz w:val="28"/>
          <w:highlight w:val="none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436755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15473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841489" cy="2436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538.70pt;height:191.87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1"/>
        <w:rPr>
          <w:rFonts w:ascii="Times New Roman" w:hAnsi="Times New Roman"/>
          <w:b/>
          <w:bCs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2.2.1. Подраздел</w:t>
      </w:r>
      <w:r>
        <w:rPr>
          <w:rFonts w:ascii="Times New Roman" w:hAnsi="Times New Roman"/>
          <w:b/>
          <w:bCs/>
          <w:sz w:val="28"/>
          <w:highlight w:val="none"/>
        </w:rPr>
        <w:t xml:space="preserve">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Общая информация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highlight w:val="none"/>
        </w:rPr>
      </w:r>
    </w:p>
    <w:p>
      <w:pPr>
        <w:pStyle w:val="86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2.2.1.1.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Общие сведения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Выберите подуслугу в поле </w:t>
      </w:r>
      <w:r>
        <w:rPr>
          <w:rFonts w:ascii="Times New Roman" w:hAnsi="Times New Roman"/>
          <w:sz w:val="28"/>
          <w:highlight w:val="none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Наименование подуслуги</w:t>
      </w:r>
      <w:r>
        <w:rPr>
          <w:rFonts w:ascii="Times New Roman" w:hAnsi="Times New Roman"/>
          <w:sz w:val="28"/>
          <w:highlight w:val="none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 </w:t>
      </w:r>
      <w:r>
        <w:rPr>
          <w:rFonts w:ascii="Times New Roman" w:hAnsi="Times New Roman"/>
          <w:sz w:val="28"/>
          <w:highlight w:val="none"/>
        </w:rPr>
        <w:t xml:space="preserve">В случае отсутствия необходимых справочных значений можно направить запрос на добавление.</w:t>
      </w:r>
      <w:r>
        <w:rPr>
          <w:rFonts w:ascii="Times New Roman" w:hAnsi="Times New Roman"/>
          <w:sz w:val="28"/>
          <w:highlight w:val="none"/>
        </w:rPr>
        <w:t xml:space="preserve"> Также необходимо указать краткое наименование подуслуги в поле </w:t>
      </w:r>
      <w:r>
        <w:rPr>
          <w:rFonts w:ascii="Times New Roman" w:hAnsi="Times New Roman"/>
          <w:sz w:val="28"/>
          <w:highlight w:val="none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Краткое наименование</w:t>
      </w:r>
      <w:r>
        <w:rPr>
          <w:rFonts w:ascii="Times New Roman" w:hAnsi="Times New Roman"/>
          <w:sz w:val="28"/>
          <w:highlight w:val="none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Выберите подходящую жизненную ситуацию (или ситуации). </w:t>
      </w:r>
      <w:r>
        <w:rPr>
          <w:rFonts w:ascii="Times New Roman" w:hAnsi="Times New Roman"/>
          <w:sz w:val="28"/>
          <w:highlight w:val="none"/>
        </w:rPr>
        <w:t xml:space="preserve">Жизненные ситуации – это совокупность значимых для человека событий и связанных с ними потребностей,</w:t>
      </w:r>
      <w:r>
        <w:rPr>
          <w:rFonts w:ascii="Times New Roman" w:hAnsi="Times New Roman"/>
          <w:sz w:val="28"/>
          <w:highlight w:val="none"/>
        </w:rPr>
        <w:t xml:space="preserve"> которые порождают потребность в получении услуг.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поле </w:t>
      </w:r>
      <w:r>
        <w:rPr>
          <w:rFonts w:ascii="Times New Roman" w:hAnsi="Times New Roman"/>
          <w:sz w:val="28"/>
          <w:highlight w:val="none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Тематика</w:t>
      </w:r>
      <w:r>
        <w:rPr>
          <w:rFonts w:ascii="Times New Roman" w:hAnsi="Times New Roman"/>
          <w:sz w:val="28"/>
          <w:highlight w:val="none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необходимо указать общую и краткую формулировку (или формулировки) об области деятельности, относящейся к определенной сфере услуг.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083160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87081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841489" cy="2083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38.70pt;height:164.03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4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2.2.1.2.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Категории лиц, имеющих право на получение услуги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При помощи кнопки </w:t>
      </w:r>
      <w:r>
        <w:rPr>
          <w:rFonts w:ascii="Times New Roman" w:hAnsi="Times New Roman"/>
          <w:sz w:val="28"/>
          <w:highlight w:val="none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Добавить категорию</w:t>
      </w:r>
      <w:r>
        <w:rPr>
          <w:rFonts w:ascii="Times New Roman" w:hAnsi="Times New Roman"/>
          <w:sz w:val="28"/>
          <w:highlight w:val="none"/>
        </w:rPr>
        <w:t xml:space="preserve">» необходимо</w:t>
      </w:r>
      <w:r>
        <w:rPr>
          <w:rFonts w:ascii="Times New Roman" w:hAnsi="Times New Roman"/>
          <w:sz w:val="28"/>
          <w:highlight w:val="none"/>
        </w:rPr>
        <w:t xml:space="preserve"> обозначить круг заявителей, имеющих право на получение услуги.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Необходимо отметить, что обращение представителем заявителя за предоставлением услуги, как правило, является признаком заявителя, а не отдельной категорией лиц.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231865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72394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841489" cy="1231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38.70pt;height:97.0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2.2.1.3.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Способы обращения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Если способы обращения меняются для отдельных категорий заявителей, то передвиньте соответствующий переключатель. Нажмите на кнопку </w:t>
      </w:r>
      <w:r>
        <w:rPr>
          <w:rFonts w:ascii="Times New Roman" w:hAnsi="Times New Roman"/>
          <w:sz w:val="28"/>
          <w:highlight w:val="none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Добавить способ подачи запроса</w:t>
      </w:r>
      <w:r>
        <w:rPr>
          <w:rFonts w:ascii="Times New Roman" w:hAnsi="Times New Roman"/>
          <w:sz w:val="28"/>
          <w:highlight w:val="none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выберите из справочных значений возможные способы подачи запроса. Для каждого способа обращения необходимо назначить соответствующие способы получения результата. Также </w:t>
      </w:r>
      <w:r>
        <w:rPr>
          <w:rFonts w:ascii="Times New Roman" w:hAnsi="Times New Roman"/>
          <w:sz w:val="28"/>
          <w:highlight w:val="none"/>
        </w:rPr>
        <w:t xml:space="preserve">для </w:t>
      </w:r>
      <w:r>
        <w:rPr>
          <w:rFonts w:ascii="Times New Roman" w:hAnsi="Times New Roman"/>
          <w:sz w:val="28"/>
          <w:highlight w:val="none"/>
        </w:rPr>
        <w:t xml:space="preserve">каждого способа обращения необходимо назначить</w:t>
      </w:r>
      <w:r>
        <w:rPr>
          <w:rFonts w:ascii="Times New Roman" w:hAnsi="Times New Roman"/>
          <w:sz w:val="28"/>
          <w:highlight w:val="none"/>
        </w:rPr>
        <w:t xml:space="preserve"> способ установления личности.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4070382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31765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841489" cy="40703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538.70pt;height:320.5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4"/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2.2.1.4.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Сроки предоставления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Если срок предоставления услуги определен вышестоящим НПА (постановлением Правительства Российской Федерации, Указом Президента Российской Федерации, Федеральным законом), то следует передвинуть соответствующий переключатель и 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Максимальный срок предоставления услуги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указать необходимое значение. Если услуга предоставляется онлайн (мгновенно), </w:t>
      </w:r>
      <w:r>
        <w:rPr>
          <w:rFonts w:ascii="Times New Roman" w:hAnsi="Times New Roman"/>
          <w:sz w:val="28"/>
          <w:highlight w:val="none"/>
        </w:rPr>
        <w:t xml:space="preserve">то следует передвинуть соответствующий переключатель</w:t>
      </w:r>
      <w:r>
        <w:rPr>
          <w:rFonts w:ascii="Times New Roman" w:hAnsi="Times New Roman"/>
          <w:sz w:val="28"/>
          <w:highlight w:val="none"/>
        </w:rPr>
        <w:t xml:space="preserve">. </w:t>
      </w:r>
      <w:r>
        <w:rPr>
          <w:rFonts w:ascii="Times New Roman" w:hAnsi="Times New Roman"/>
          <w:sz w:val="28"/>
          <w:highlight w:val="none"/>
        </w:rPr>
        <w:t xml:space="preserve">В этом случае общий срок предоставления услуги и сроки осуществления административных процедур будут принудительно измеряться в часах. </w:t>
      </w:r>
      <w:r>
        <w:rPr>
          <w:rFonts w:ascii="Times New Roman" w:hAnsi="Times New Roman"/>
          <w:sz w:val="28"/>
          <w:highlight w:val="none"/>
        </w:rPr>
        <w:t xml:space="preserve">Максимальный срок предоставления услуги в таком режиме не должен превышать 24 часов.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center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730370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97816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rcRect l="0" t="0" r="0" b="39364"/>
                        <a:stretch/>
                      </pic:blipFill>
                      <pic:spPr bwMode="auto">
                        <a:xfrm flipH="0" flipV="0">
                          <a:off x="0" y="0"/>
                          <a:ext cx="6841489" cy="1730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538.70pt;height:136.25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Если срок предоставления услуги определяется непосредственно регламентом, то данный блок заполнять не нужно. КЦР автоматических рассчитает срок в соответствии со сроками административных процедур и действий, которые будут указаны в подразделе </w:t>
      </w:r>
      <w:r>
        <w:rPr>
          <w:rFonts w:ascii="Times New Roman" w:hAnsi="Times New Roman"/>
          <w:sz w:val="28"/>
        </w:rPr>
        <w:t xml:space="preserve">«Административные процедуры и действия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793332"/>
                <wp:effectExtent l="0" t="0" r="0" b="0"/>
                <wp:docPr id="2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06262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841489" cy="1793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38.70pt;height:141.21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4"/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2.2.1.5.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Результат предоставления подуслуги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Необходимо на вкладке выбрать количество результатов (Один, Один из, Комплект).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Вкладка </w:t>
      </w:r>
      <w:r>
        <w:rPr>
          <w:rFonts w:ascii="Times New Roman" w:hAnsi="Times New Roman"/>
          <w:sz w:val="28"/>
        </w:rPr>
        <w:t xml:space="preserve">«Один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заполняется в случае, если в рамках услуги предоставляется только один документ (объект) и (или) реестровая запись, которая может быть самостоятельным результатом или </w:t>
      </w:r>
      <w:r>
        <w:rPr>
          <w:rFonts w:ascii="Times New Roman" w:hAnsi="Times New Roman"/>
          <w:sz w:val="28"/>
        </w:rPr>
        <w:t xml:space="preserve">«дублировать</w:t>
      </w:r>
      <w:r>
        <w:rPr>
          <w:rFonts w:ascii="Times New Roman" w:hAnsi="Times New Roman"/>
          <w:sz w:val="28"/>
        </w:rPr>
        <w:t xml:space="preserve">» другой результат.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Вкладка </w:t>
      </w:r>
      <w:r>
        <w:rPr>
          <w:rFonts w:ascii="Times New Roman" w:hAnsi="Times New Roman"/>
          <w:sz w:val="28"/>
        </w:rPr>
        <w:t xml:space="preserve">«Один из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заполняется в случае, если в рамках подуслуги возможно получение одного из нескольких документов (объектов) и (или) реестровых записей (например, положительное и отрицательное решение).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Вкладка </w:t>
      </w:r>
      <w:r>
        <w:rPr>
          <w:rFonts w:ascii="Times New Roman" w:hAnsi="Times New Roman"/>
          <w:sz w:val="28"/>
        </w:rPr>
        <w:t xml:space="preserve">«Комплект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заполняется в случае, если в рамках подуслуги заявитель одновременно получает несколько документов (объектов) и (или) реестровых записей.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Во вкладках </w:t>
      </w:r>
      <w:r>
        <w:rPr>
          <w:rFonts w:ascii="Times New Roman" w:hAnsi="Times New Roman"/>
          <w:sz w:val="28"/>
        </w:rPr>
        <w:t xml:space="preserve">«Один из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</w:t>
      </w:r>
      <w:r>
        <w:rPr>
          <w:rFonts w:ascii="Times New Roman" w:hAnsi="Times New Roman"/>
          <w:sz w:val="28"/>
        </w:rPr>
        <w:t xml:space="preserve">«Комплект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передвиньте ползунок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Правила работы с реестром различаются для видов результатов?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в положение </w:t>
      </w:r>
      <w:r>
        <w:rPr>
          <w:rFonts w:ascii="Times New Roman" w:hAnsi="Times New Roman"/>
          <w:sz w:val="28"/>
        </w:rPr>
        <w:t xml:space="preserve">«да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, если для каждого разного результата существуют разные реестры. В противном случае передвиньте ползунок в положение </w:t>
      </w:r>
      <w:r>
        <w:rPr>
          <w:rFonts w:ascii="Times New Roman" w:hAnsi="Times New Roman"/>
          <w:sz w:val="28"/>
        </w:rPr>
        <w:t xml:space="preserve">«нет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95900" cy="1038225"/>
                <wp:effectExtent l="0" t="0" r="0" b="0"/>
                <wp:docPr id="2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76246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295898" cy="1038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17.00pt;height:81.75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Для документа, являющегося результатом предоставления услуги, укажите форму результата – формат предоставления документа. Например, оригинал, заверенная копия, электронный документ, бумажный документ, официальное письмо и т.д.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570474"/>
                <wp:effectExtent l="0" t="0" r="0" b="0"/>
                <wp:docPr id="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50368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841488" cy="15704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538.70pt;height:123.66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форма документа, являющегося результатом, утверждается административным регламентом и планируется к отражению в печатной форме ЦР, то необходимо выбрать соответствующее значение.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542497"/>
                <wp:effectExtent l="0" t="0" r="0" b="0"/>
                <wp:docPr id="2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21380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841489" cy="5424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538.70pt;height:42.72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Помимо документов, объектов и реестровых записей можно добавить действие. Примерами таких действий может послужить заключение договора, перечисление денежных средств и т.д.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При необходимости добавьте </w:t>
      </w:r>
      <w:r>
        <w:rPr>
          <w:rFonts w:ascii="Times New Roman" w:hAnsi="Times New Roman"/>
          <w:sz w:val="28"/>
          <w:szCs w:val="28"/>
          <w:highlight w:val="none"/>
        </w:rPr>
        <w:t xml:space="preserve">объекты, появившиеся в результате предоставления услуги</w:t>
      </w:r>
      <w:r>
        <w:rPr>
          <w:rFonts w:ascii="Times New Roman" w:hAnsi="Times New Roman"/>
          <w:sz w:val="28"/>
          <w:szCs w:val="28"/>
          <w:highlight w:val="none"/>
        </w:rPr>
        <w:t xml:space="preserve">. Под объектом понимается конкретный материальный объект, например, государственный знак, удостоверение и т.д.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Если перед предоставлением заявителю документа (объекта), созданием реестровой записи орган, предоставляющий услугу, принимает соответствующий акт, то необходимо заполнить поле </w:t>
      </w:r>
      <w:r>
        <w:rPr>
          <w:rFonts w:ascii="Times New Roman" w:hAnsi="Times New Roman"/>
          <w:sz w:val="28"/>
        </w:rPr>
        <w:t xml:space="preserve">«Наименование документа, содержащего решение о предоставлении услуги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, а также состав атрибутов (реквизитов и сведений, которые в таком документе содержатся).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210510"/>
                <wp:effectExtent l="0" t="0" r="0" b="0"/>
                <wp:docPr id="2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07322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841488" cy="1210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538.70pt;height:95.32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Далее необходимо указать возможные способы получения результата.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083800"/>
                <wp:effectExtent l="0" t="0" r="0" b="0"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33374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841489" cy="1083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538.70pt;height:85.34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В случае, если результатом является реестровая запись, то необходимо указать наименование реестра, состав реквизитов реестровой записи, ИС и соответствующее действие в </w:t>
      </w:r>
      <w:r>
        <w:rPr>
          <w:rFonts w:ascii="Times New Roman" w:hAnsi="Times New Roman"/>
          <w:sz w:val="28"/>
          <w:szCs w:val="28"/>
          <w:highlight w:val="none"/>
        </w:rPr>
        <w:t xml:space="preserve">реестре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В строке «Состав реквизитов реестровой записи» отражает только тот перечень реквизитов, которые вносятся или изменяются по итогам предоставления подуслуги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605184"/>
                <wp:effectExtent l="0" t="0" r="0" b="0"/>
                <wp:docPr id="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42230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841488" cy="2605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538.70pt;height:205.13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pStyle w:val="864"/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2.2.1.6.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Процедура оценки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Под оценкой понимается деятельность (экспертная или иная специал</w:t>
      </w:r>
      <w:r>
        <w:rPr>
          <w:rFonts w:ascii="Times New Roman" w:hAnsi="Times New Roman"/>
          <w:sz w:val="28"/>
          <w:szCs w:val="28"/>
          <w:highlight w:val="none"/>
        </w:rPr>
        <w:t xml:space="preserve">ьная) по проверке заявителя или принадлежащих ему объектов (помещений, транспортных средств, специальной документации). Стандартное рассмотрение представленных заявителем документов и сведений на предмет их комплектности и корректности не является оценкой.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Если предусмотрено проведение процедуры оценки, то </w:t>
      </w:r>
      <w:r>
        <w:rPr>
          <w:rFonts w:ascii="Times New Roman" w:hAnsi="Times New Roman"/>
          <w:sz w:val="28"/>
          <w:highlight w:val="none"/>
        </w:rPr>
        <w:t xml:space="preserve">следует передвинуть соответствующий переключатель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  <w:t xml:space="preserve"> Добавьте процедуру оценки, нажав на кнопку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Добавить процедуру</w:t>
      </w:r>
      <w:r>
        <w:rPr>
          <w:rFonts w:ascii="Times New Roman" w:hAnsi="Times New Roman"/>
          <w:sz w:val="28"/>
        </w:rPr>
        <w:t xml:space="preserve">».</w:t>
      </w:r>
      <w:r>
        <w:rPr>
          <w:rFonts w:ascii="Times New Roman" w:hAnsi="Times New Roman"/>
          <w:sz w:val="28"/>
          <w:szCs w:val="28"/>
          <w:highlight w:val="none"/>
        </w:rPr>
        <w:t xml:space="preserve"> По нажатию на шестеренку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3850" cy="276225"/>
                <wp:effectExtent l="0" t="0" r="0" b="0"/>
                <wp:docPr id="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47029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323848" cy="276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25.50pt;height:21.75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  <w:t xml:space="preserve">) необходимо заполнить блок по настройке процедуры оценки.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необходимо участие заявителя в процедуре оценки, </w:t>
      </w:r>
      <w:r>
        <w:rPr>
          <w:rFonts w:ascii="Times New Roman" w:hAnsi="Times New Roman"/>
          <w:sz w:val="28"/>
          <w:szCs w:val="28"/>
          <w:highlight w:val="none"/>
        </w:rPr>
        <w:t xml:space="preserve">то </w:t>
      </w:r>
      <w:r>
        <w:rPr>
          <w:rFonts w:ascii="Times New Roman" w:hAnsi="Times New Roman"/>
          <w:sz w:val="28"/>
          <w:highlight w:val="none"/>
        </w:rPr>
        <w:t xml:space="preserve">следует передвинуть соответствующий переключатель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  <w:t xml:space="preserve">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Вид процедуры оценки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заполняется автоматически. Заполните 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Продолжительность процедуры оценки</w:t>
      </w:r>
      <w:r>
        <w:rPr>
          <w:rFonts w:ascii="Times New Roman" w:hAnsi="Times New Roman"/>
          <w:sz w:val="28"/>
        </w:rPr>
        <w:t xml:space="preserve">», указав необходимый срок.</w:t>
      </w:r>
      <w:r>
        <w:rPr>
          <w:rFonts w:ascii="Times New Roman" w:hAnsi="Times New Roman"/>
          <w:sz w:val="28"/>
          <w:szCs w:val="28"/>
          <w:highlight w:val="none"/>
        </w:rPr>
        <w:t xml:space="preserve"> Если необходимо согласование времени проведения процедуры оценки, </w:t>
      </w:r>
      <w:r>
        <w:rPr>
          <w:rFonts w:ascii="Times New Roman" w:hAnsi="Times New Roman"/>
          <w:sz w:val="28"/>
          <w:szCs w:val="28"/>
          <w:highlight w:val="none"/>
        </w:rPr>
        <w:t xml:space="preserve">то </w:t>
      </w:r>
      <w:r>
        <w:rPr>
          <w:rFonts w:ascii="Times New Roman" w:hAnsi="Times New Roman"/>
          <w:sz w:val="28"/>
          <w:highlight w:val="none"/>
        </w:rPr>
        <w:t xml:space="preserve">следует передвинуть соответствующий переключатель</w:t>
      </w:r>
      <w:r>
        <w:rPr>
          <w:rFonts w:ascii="Times New Roman" w:hAnsi="Times New Roman"/>
          <w:sz w:val="28"/>
          <w:szCs w:val="28"/>
          <w:highlight w:val="none"/>
        </w:rPr>
        <w:t xml:space="preserve"> и указать срок такого согласования. Если необходимо согласование места проведения процедуры оценки, </w:t>
      </w:r>
      <w:r>
        <w:rPr>
          <w:rFonts w:ascii="Times New Roman" w:hAnsi="Times New Roman"/>
          <w:sz w:val="28"/>
          <w:szCs w:val="28"/>
          <w:highlight w:val="none"/>
        </w:rPr>
        <w:t xml:space="preserve">то </w:t>
      </w:r>
      <w:r>
        <w:rPr>
          <w:rFonts w:ascii="Times New Roman" w:hAnsi="Times New Roman"/>
          <w:sz w:val="28"/>
          <w:highlight w:val="none"/>
        </w:rPr>
        <w:t xml:space="preserve">следует передвинуть соответствующий переключатель</w:t>
      </w:r>
      <w:r>
        <w:rPr>
          <w:rFonts w:ascii="Times New Roman" w:hAnsi="Times New Roman"/>
          <w:sz w:val="28"/>
          <w:szCs w:val="28"/>
          <w:highlight w:val="none"/>
        </w:rPr>
        <w:t xml:space="preserve"> и указать срок такого согласования.</w:t>
      </w:r>
      <w:r>
        <w:rPr>
          <w:rFonts w:ascii="Times New Roman" w:hAnsi="Times New Roman"/>
          <w:sz w:val="28"/>
          <w:szCs w:val="28"/>
          <w:highlight w:val="none"/>
        </w:rPr>
        <w:t xml:space="preserve"> Добавьте объекты оценки при помощи кнопки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Добавить объект процедуры</w:t>
      </w:r>
      <w:r>
        <w:rPr>
          <w:rFonts w:ascii="Times New Roman" w:hAnsi="Times New Roman"/>
          <w:sz w:val="28"/>
        </w:rPr>
        <w:t xml:space="preserve">» (под объектом процедуры оценки понимаются конкретные объекты материального мира, которые оцениваются на соответствие определенным критериям, например, здания, персонал, образовательные программы, двигатель судна).</w:t>
      </w:r>
      <w:r>
        <w:rPr>
          <w:rFonts w:ascii="Times New Roman" w:hAnsi="Times New Roman"/>
          <w:sz w:val="28"/>
          <w:szCs w:val="28"/>
          <w:highlight w:val="none"/>
        </w:rPr>
        <w:t xml:space="preserve"> При необходимости добавьте органы власти и организации, участвующие в процедуре оценки, с помощью кнопок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Добавить орган власти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Добавить организацию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соответственно. Добавьте НПА, сод</w:t>
      </w:r>
      <w:r>
        <w:rPr>
          <w:rFonts w:ascii="Times New Roman" w:hAnsi="Times New Roman"/>
          <w:sz w:val="28"/>
          <w:szCs w:val="28"/>
          <w:highlight w:val="none"/>
        </w:rPr>
        <w:t xml:space="preserve">ержащие методику проведения процедуры оценки (при необходимости). Укажите результаты процедуры оценки. Если сведения о результате вносятся в ИС, то укажите наименование такой ИС и срок внесения сведений о результате.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pStyle w:val="864"/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2.2.1.7.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Предварительная запись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Если предусмотрена предварительная запись</w:t>
      </w:r>
      <w:r>
        <w:rPr>
          <w:rFonts w:ascii="Times New Roman" w:hAnsi="Times New Roman"/>
          <w:sz w:val="28"/>
          <w:highlight w:val="none"/>
        </w:rPr>
        <w:t xml:space="preserve">, то передвиньте соответствующие переключатели</w:t>
      </w:r>
      <w:r>
        <w:rPr>
          <w:rFonts w:ascii="Times New Roman" w:hAnsi="Times New Roman"/>
          <w:sz w:val="28"/>
          <w:szCs w:val="28"/>
          <w:highlight w:val="none"/>
        </w:rPr>
        <w:t xml:space="preserve"> и укажите</w:t>
      </w:r>
      <w:r>
        <w:rPr>
          <w:rFonts w:ascii="Times New Roman" w:hAnsi="Times New Roman"/>
          <w:sz w:val="28"/>
          <w:highlight w:val="none"/>
        </w:rPr>
        <w:t xml:space="preserve"> способы предварительной записи.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4183736"/>
                <wp:effectExtent l="0" t="0" r="0" b="0"/>
                <wp:docPr id="2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73954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841488" cy="4183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538.70pt;height:329.43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2.2.1.8.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Проактивный режим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подуслуга предоставляется проактивно</w:t>
      </w:r>
      <w:r>
        <w:rPr>
          <w:rFonts w:ascii="Times New Roman" w:hAnsi="Times New Roman"/>
          <w:sz w:val="28"/>
          <w:highlight w:val="none"/>
        </w:rPr>
        <w:t xml:space="preserve">, то передвиньте соответствующий переключатель</w:t>
      </w:r>
      <w:r>
        <w:rPr>
          <w:rFonts w:ascii="Times New Roman" w:hAnsi="Times New Roman"/>
          <w:sz w:val="28"/>
          <w:szCs w:val="28"/>
          <w:highlight w:val="none"/>
        </w:rPr>
        <w:t xml:space="preserve"> и укажите необходимость подачи заявления, ИС и основания для начала проактивного предоставления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677688"/>
                <wp:effectExtent l="0" t="0" r="0" b="0"/>
                <wp:docPr id="3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3401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841489" cy="3677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538.70pt;height:289.58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2.2.1.9.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Блок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Ограниченность ресурсов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Если присутствуют ограничения на количество положительных результатов, </w:t>
      </w:r>
      <w:r>
        <w:rPr>
          <w:rFonts w:ascii="Times New Roman" w:hAnsi="Times New Roman"/>
          <w:sz w:val="28"/>
          <w:szCs w:val="28"/>
          <w:highlight w:val="none"/>
        </w:rPr>
        <w:t xml:space="preserve">то </w:t>
      </w:r>
      <w:r>
        <w:rPr>
          <w:rFonts w:ascii="Times New Roman" w:hAnsi="Times New Roman"/>
          <w:sz w:val="28"/>
          <w:highlight w:val="none"/>
        </w:rPr>
        <w:t xml:space="preserve">следует передвинуть соответствующий переключатель</w:t>
      </w:r>
      <w:r>
        <w:rPr>
          <w:rFonts w:ascii="Times New Roman" w:hAnsi="Times New Roman"/>
          <w:sz w:val="28"/>
          <w:highlight w:val="none"/>
        </w:rPr>
        <w:t xml:space="preserve"> и заполнить необходимые поля (метод, объект, НПА).</w:t>
      </w:r>
      <w:r>
        <w:rPr>
          <w:rFonts w:ascii="Times New Roman" w:hAnsi="Times New Roman"/>
          <w:sz w:val="28"/>
          <w:highlight w:val="none"/>
        </w:rPr>
      </w:r>
      <w:r>
        <w:rPr>
          <w:highlight w:val="none"/>
        </w:rPr>
      </w:r>
    </w:p>
    <w:p>
      <w:pPr>
        <w:pStyle w:val="77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2.2.2. Подраздел</w:t>
      </w:r>
      <w:r>
        <w:rPr>
          <w:rFonts w:ascii="Times New Roman" w:hAnsi="Times New Roman"/>
          <w:b/>
          <w:bCs/>
          <w:sz w:val="28"/>
          <w:highlight w:val="none"/>
        </w:rPr>
        <w:t xml:space="preserve"> </w:t>
      </w:r>
      <w:r>
        <w:rPr>
          <w:rFonts w:ascii="Times New Roman" w:hAnsi="Times New Roman"/>
          <w:b/>
          <w:bCs/>
          <w:sz w:val="28"/>
        </w:rPr>
        <w:t xml:space="preserve">«Стоимость и оплата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услуга является платной, то </w:t>
      </w:r>
      <w:r>
        <w:rPr>
          <w:rFonts w:ascii="Times New Roman" w:hAnsi="Times New Roman"/>
          <w:sz w:val="28"/>
          <w:highlight w:val="none"/>
        </w:rPr>
        <w:t xml:space="preserve">следует передвинуть соответствующий переключатель и указать НПА, регламентирующие стоимость услуги</w:t>
      </w:r>
      <w:r>
        <w:rPr>
          <w:rFonts w:ascii="Times New Roman" w:hAnsi="Times New Roman"/>
          <w:sz w:val="28"/>
          <w:highlight w:val="none"/>
        </w:rPr>
        <w:t xml:space="preserve">. Детальная настройка оплаты осуществляется в подразделе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Профилирование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752994"/>
                <wp:effectExtent l="0" t="0" r="0" b="0"/>
                <wp:docPr id="3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26336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841489" cy="752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538.70pt;height:59.29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798426"/>
                <wp:effectExtent l="0" t="0" r="0" b="0"/>
                <wp:docPr id="3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35257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6841489" cy="1798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538.70pt;height:141.61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highlight w:val="none"/>
        </w:rPr>
      </w:r>
    </w:p>
    <w:p>
      <w:pPr>
        <w:pStyle w:val="77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2.2.3. Подраздел</w:t>
      </w:r>
      <w:r>
        <w:rPr>
          <w:rFonts w:ascii="Times New Roman" w:hAnsi="Times New Roman"/>
          <w:b/>
          <w:bCs/>
          <w:sz w:val="28"/>
          <w:highlight w:val="none"/>
        </w:rPr>
        <w:t xml:space="preserve"> </w:t>
      </w:r>
      <w:r>
        <w:rPr>
          <w:rFonts w:ascii="Times New Roman" w:hAnsi="Times New Roman"/>
          <w:b/>
          <w:bCs/>
          <w:sz w:val="28"/>
        </w:rPr>
        <w:t xml:space="preserve">«</w:t>
      </w:r>
      <w:r>
        <w:rPr>
          <w:rFonts w:ascii="Times New Roman" w:hAnsi="Times New Roman"/>
          <w:b/>
          <w:bCs/>
          <w:sz w:val="28"/>
        </w:rPr>
        <w:t xml:space="preserve">Профилирование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Профилирование служит для </w:t>
      </w:r>
      <w:r>
        <w:rPr>
          <w:rFonts w:ascii="Times New Roman" w:hAnsi="Times New Roman"/>
          <w:sz w:val="28"/>
          <w:highlight w:val="none"/>
        </w:rPr>
        <w:t xml:space="preserve">формирования индивидуального пакета документов, межведомственных запросов и формы заявления для конкретной категории заявителя и его случая обращения. Индивидуальный пакет документов формируется из перечня ответов на вопросы, выявляющие признаки заявителя.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Работа в подразделе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Профилирование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состоит из следующих шагов: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1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составление вопросов профилирования и ответов на них;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1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настройка ответов профилирования и старта профилирования;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1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формирование запроса о предоставлении услуги.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2.2.3.1. </w:t>
      </w:r>
      <w:r>
        <w:rPr>
          <w:rFonts w:ascii="Times New Roman" w:hAnsi="Times New Roman"/>
          <w:sz w:val="28"/>
          <w:highlight w:val="none"/>
        </w:rPr>
        <w:t xml:space="preserve">Составление вопросов профилирования и ответов на них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В качестве первых вопросов рекомендуется обозначить вопросы, касающиеся к</w:t>
      </w:r>
      <w:r>
        <w:rPr>
          <w:rFonts w:ascii="Times New Roman" w:hAnsi="Times New Roman"/>
          <w:sz w:val="28"/>
          <w:highlight w:val="none"/>
        </w:rPr>
        <w:t xml:space="preserve">атегории заявителя и возможности (невозможности) обратиться за предоставлением услуги посредством представителя. Не допускается указывать вопросы, предполагающие ответы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да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или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нет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Вопрос профилирования должен быть сформулирован таким образом, чтобы хотя бы один ответ на него влек </w:t>
      </w:r>
      <w:r>
        <w:rPr>
          <w:rFonts w:ascii="Times New Roman" w:hAnsi="Times New Roman"/>
          <w:sz w:val="28"/>
          <w:highlight w:val="none"/>
        </w:rPr>
        <w:t xml:space="preserve">необходимость предоставить новый документ или указать дополнительные сведения в запросе о предоставлении услуги, </w:t>
      </w:r>
      <w:r>
        <w:rPr>
          <w:rFonts w:ascii="Times New Roman" w:hAnsi="Times New Roman"/>
          <w:sz w:val="28"/>
          <w:highlight w:val="none"/>
        </w:rPr>
        <w:t xml:space="preserve">направить межведомственный информационный запрос, изменение сроков предоставления.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Вопросы профилирования выявляют признаки заявителя. От количества признаков заявителя зависит количество вариантов пре</w:t>
      </w:r>
      <w:r>
        <w:rPr>
          <w:rFonts w:ascii="Times New Roman" w:hAnsi="Times New Roman"/>
          <w:sz w:val="28"/>
          <w:highlight w:val="none"/>
        </w:rPr>
        <w:t xml:space="preserve">доставления услуги. Что</w:t>
      </w:r>
      <w:r>
        <w:rPr>
          <w:rFonts w:ascii="Times New Roman" w:hAnsi="Times New Roman"/>
          <w:sz w:val="28"/>
          <w:highlight w:val="none"/>
        </w:rPr>
        <w:t xml:space="preserve">бы выявить признаки заявителя, необходимо проанализировать действующий административный регламент и вышестоящие НПА (при наличии). Следует обращать внимание на подразделы, касающиеся перечня обязательных и необязательных документов, сроков предоставления.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79152" cy="5109011"/>
                <wp:effectExtent l="0" t="0" r="0" b="0"/>
                <wp:docPr id="3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05359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 flipH="0" flipV="0">
                          <a:off x="0" y="0"/>
                          <a:ext cx="4379152" cy="5109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44.82pt;height:402.28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Вопросы профилирования бывают типовыми и произвол</w:t>
      </w:r>
      <w:r>
        <w:rPr>
          <w:rFonts w:ascii="Times New Roman" w:hAnsi="Times New Roman"/>
          <w:sz w:val="28"/>
          <w:highlight w:val="none"/>
        </w:rPr>
        <w:t xml:space="preserve">ьными. В случае, если вопрос является часто используемым (например, категория заявителей или обращение представителя), то его следует выбрать из типового перечня. Для специфичных вопросов для отдельных услуг рекомендовано использовать произвольные вопросы.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Создание вопроса осуществляется с помощью кнопки </w:t>
      </w:r>
      <w:r>
        <w:rPr>
          <w:rFonts w:ascii="Times New Roman" w:hAnsi="Times New Roman"/>
          <w:sz w:val="28"/>
        </w:rPr>
        <w:t xml:space="preserve">«Добавить вопрос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0729" cy="238117"/>
                <wp:effectExtent l="0" t="0" r="0" b="0"/>
                <wp:docPr id="3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18151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 flipH="0" flipV="0">
                          <a:off x="0" y="0"/>
                          <a:ext cx="320728" cy="238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25.25pt;height:18.75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  <w:t xml:space="preserve">)</w:t>
      </w:r>
      <w:r>
        <w:rPr>
          <w:rFonts w:ascii="Times New Roman" w:hAnsi="Times New Roman"/>
          <w:sz w:val="28"/>
          <w:highlight w:val="none"/>
        </w:rPr>
        <w:t xml:space="preserve">. На вкладке </w:t>
      </w:r>
      <w:r>
        <w:rPr>
          <w:rFonts w:ascii="Times New Roman" w:hAnsi="Times New Roman"/>
          <w:sz w:val="28"/>
        </w:rPr>
        <w:t xml:space="preserve">«Вопрос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требуется выбрать необходимый вопрос, а на вкладке </w:t>
      </w:r>
      <w:r>
        <w:rPr>
          <w:rFonts w:ascii="Times New Roman" w:hAnsi="Times New Roman"/>
          <w:sz w:val="28"/>
        </w:rPr>
        <w:t xml:space="preserve">«Ответы</w:t>
      </w:r>
      <w:r>
        <w:rPr>
          <w:rFonts w:ascii="Times New Roman" w:hAnsi="Times New Roman"/>
          <w:sz w:val="28"/>
        </w:rPr>
        <w:t xml:space="preserve">» – соответствующие ответы.</w:t>
      </w:r>
      <w:r>
        <w:rPr>
          <w:rFonts w:ascii="Times New Roman" w:hAnsi="Times New Roman"/>
          <w:sz w:val="28"/>
          <w:highlight w:val="none"/>
        </w:rPr>
        <w:t xml:space="preserve"> При необходимости поставьте галочку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Возможен множественный выбор ответа?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shd w:val="clear" w:color="fef2cb" w:themeColor="accent4" w:themeTint="33" w:fill="fef2cb" w:themeFill="accent4" w:themeFillTint="3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  <w:shd w:val="clear" w:color="fef2cb" w:themeColor="accent4" w:themeTint="33" w:fill="fef2cb" w:themeFill="accent4" w:themeFillTint="33"/>
        </w:rPr>
        <w:t xml:space="preserve">Множетсвенный выбор ответа на вопрос профилирования поможет в оптимизации схемы профилирования и сокращении количества вариантов. Вместе с этим рекомендовано объединять несколько взаимоисключающих вопросов в один общий вопрос.</w:t>
      </w:r>
      <w:r>
        <w:rPr>
          <w:rFonts w:ascii="Times New Roman" w:hAnsi="Times New Roman"/>
          <w:sz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43310" cy="3082667"/>
                <wp:effectExtent l="0" t="0" r="0" b="0"/>
                <wp:docPr id="3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49077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 flipH="0" flipV="0">
                          <a:off x="0" y="0"/>
                          <a:ext cx="6343309" cy="3082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99.47pt;height:242.73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46902" cy="3042344"/>
                <wp:effectExtent l="0" t="0" r="0" b="0"/>
                <wp:docPr id="3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94833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 flipH="0" flipV="0">
                          <a:off x="0" y="0"/>
                          <a:ext cx="6246902" cy="3042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91.88pt;height:239.55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Добавление вопроса в схему осуществляется с помощью кнопки </w:t>
      </w:r>
      <w:r>
        <w:rPr>
          <w:rFonts w:ascii="Times New Roman" w:hAnsi="Times New Roman"/>
          <w:sz w:val="28"/>
        </w:rPr>
        <w:t xml:space="preserve">«Добавить блок в схему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2.2.3.2. </w:t>
      </w:r>
      <w:r>
        <w:rPr>
          <w:rFonts w:ascii="Times New Roman" w:hAnsi="Times New Roman"/>
          <w:sz w:val="28"/>
          <w:highlight w:val="none"/>
        </w:rPr>
        <w:t xml:space="preserve">Настройка ответов профилирования и старта профилирования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К ответам на вопросы профилирования необходимо добавлять связанные с ними документы и (или) межведомственные запросы.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добавления документа к ответу на вопрос профилирования необходимо нажать на кнопку настройки ответа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7279" cy="228325"/>
                <wp:effectExtent l="0" t="0" r="0" b="0"/>
                <wp:docPr id="3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62716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 flipH="0" flipV="0">
                          <a:off x="0" y="0"/>
                          <a:ext cx="237278" cy="228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18.68pt;height:17.98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  <w:t xml:space="preserve">), далее нажать на кнопку </w:t>
      </w:r>
      <w:r>
        <w:rPr>
          <w:rFonts w:ascii="Times New Roman" w:hAnsi="Times New Roman"/>
          <w:sz w:val="28"/>
        </w:rPr>
        <w:t xml:space="preserve">«Добавить категорию или документы</w:t>
      </w:r>
      <w:r>
        <w:rPr>
          <w:rFonts w:ascii="Times New Roman" w:hAnsi="Times New Roman"/>
          <w:sz w:val="28"/>
        </w:rPr>
        <w:t xml:space="preserve">» на вкладке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Документы заявителя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</w:rPr>
        <w:t xml:space="preserve">, осуществить поиск необходимого документа и добавить его.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088700"/>
                <wp:effectExtent l="0" t="0" r="0" b="0"/>
                <wp:docPr id="3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13353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841489" cy="1088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538.70pt;height:85.72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После добавления категории документов её необходимо настроить: указать, являются ли документы категории обязательными для предоставления, а также отметить необходимость предоставления одного, нескольких или всех документов категории.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Настройка конкретного документа из категории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3850" cy="295275"/>
                <wp:effectExtent l="0" t="0" r="0" b="0"/>
                <wp:docPr id="3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99828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323849" cy="295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25.50pt;height:23.25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  <w:t xml:space="preserve">) предполагает указание на необходимость предоставления документа по требованию, атрибуты, критерии принятия решения, административные процедуры и иные настройки.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Предоставить по требованиям, если потребуется в процессе предоставления услуги</w:t>
      </w:r>
      <w:r>
        <w:rPr>
          <w:rFonts w:ascii="Times New Roman" w:hAnsi="Times New Roman"/>
          <w:sz w:val="28"/>
        </w:rPr>
        <w:t xml:space="preserve">» означает, что документ может быть запрошен у заявителя не в рамках подачи запроса, а в процессе предоставления услуги (например, перед принятием решения). В большинстве услуг переключатель стоит в положении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нет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</w:rPr>
        <w:t xml:space="preserve">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Если форма документа утверждается административным регламентом и планируется к отражению в печатной форме ЦР, то необходимо выбрать соответствующее значение.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608777"/>
                <wp:effectExtent l="0" t="0" r="0" b="0"/>
                <wp:docPr id="4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90161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6841489" cy="608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538.70pt;height:47.94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Атрибуты </w:t>
      </w:r>
      <w:r>
        <w:rPr>
          <w:rFonts w:ascii="Times New Roman" w:hAnsi="Times New Roman"/>
          <w:sz w:val="28"/>
          <w:highlight w:val="none"/>
        </w:rPr>
        <w:t xml:space="preserve">документа – это единицы информации, которые содержатся  в документе. Например, паспорт включает в себя следующие атрибуты: фамилия, имя, отчество, серия, номер, дата выдачи и другое. Если какой-то атрибут документа не требуется, то его можно отключить. Каж</w:t>
      </w:r>
      <w:r>
        <w:rPr>
          <w:rFonts w:ascii="Times New Roman" w:hAnsi="Times New Roman"/>
          <w:sz w:val="28"/>
          <w:highlight w:val="none"/>
        </w:rPr>
        <w:t xml:space="preserve">д</w:t>
      </w:r>
      <w:r>
        <w:rPr>
          <w:rFonts w:ascii="Times New Roman" w:hAnsi="Times New Roman"/>
          <w:sz w:val="28"/>
          <w:highlight w:val="none"/>
        </w:rPr>
        <w:t xml:space="preserve">ый атрибут документа необходимо распределить по целям использования (принятие решения, запись в реестр, процедура оценки, получение дополнительных сведений, межведомственное взаимодействие, направление заявителю, использование при расчете размера платежа).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408366"/>
                <wp:effectExtent l="0" t="0" r="0" b="0"/>
                <wp:docPr id="4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62493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841489" cy="3408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538.70pt;height:268.38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К документам добавляются один или несколько критериев принятия решения, которые предполагается проверить при его получении.</w:t>
      </w:r>
      <w:r>
        <w:rPr>
          <w:rFonts w:ascii="Times New Roman" w:hAnsi="Times New Roman"/>
          <w:sz w:val="28"/>
          <w:szCs w:val="28"/>
          <w:highlight w:val="none"/>
        </w:rPr>
        <w:t xml:space="preserve"> П</w:t>
      </w:r>
      <w:r>
        <w:rPr>
          <w:rFonts w:ascii="Times New Roman" w:hAnsi="Times New Roman"/>
          <w:sz w:val="28"/>
          <w:szCs w:val="28"/>
          <w:highlight w:val="none"/>
        </w:rPr>
        <w:t xml:space="preserve">ричина отказа/приостановления формулируется автоматически. Необходимо настроить тип решения и субъект проверки. Если предусмотрено общее основание для отказа и приостановления, необходимо передвинуть соответствующий переключатель и указать такое основание.</w:t>
      </w:r>
      <w:r>
        <w:rPr>
          <w:rFonts w:ascii="Times New Roman" w:hAnsi="Times New Roman"/>
          <w:sz w:val="28"/>
          <w:szCs w:val="28"/>
          <w:highlight w:val="none"/>
        </w:rPr>
        <w:t xml:space="preserve"> Критерии принятия решения обязательны для документов (сведений, межведомственных запросов), которые используются для принятия решения.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334107"/>
                <wp:effectExtent l="0" t="0" r="0" b="0"/>
                <wp:docPr id="4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61462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6841489" cy="2334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538.70pt;height:183.79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Для административных процедур, связанных с документом, необходимо указать срок их осуществления. Если в каких-либо процедурах документ не используется, то необходимо их отключить.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213253"/>
                <wp:effectExtent l="0" t="0" r="0" b="0"/>
                <wp:docPr id="4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96233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841489" cy="22132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538.70pt;height:174.27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дополнительных настройках следует заполнить требо</w:t>
      </w:r>
      <w:r>
        <w:rPr>
          <w:rFonts w:ascii="Times New Roman" w:hAnsi="Times New Roman"/>
          <w:sz w:val="28"/>
          <w:highlight w:val="none"/>
        </w:rPr>
        <w:t xml:space="preserve">вания к документу и действие с документом. Требования к документу – это обязательные требования к его оформлению и (или) составу содержащихся в нем сведений. Такие требования могут отличаться в зависимости от способа подачи документа. Например, требование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электронный документ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может быть предъявлено к документу при обращении за услугой в электронной форме, а требование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выдан на срок не менее одного месяца</w:t>
      </w:r>
      <w:r>
        <w:rPr>
          <w:rFonts w:ascii="Times New Roman" w:hAnsi="Times New Roman"/>
          <w:sz w:val="28"/>
        </w:rPr>
        <w:t xml:space="preserve">» применимо ко всем способам обращения.</w:t>
      </w:r>
      <w:r>
        <w:rPr>
          <w:rFonts w:ascii="Times New Roman" w:hAnsi="Times New Roman"/>
          <w:sz w:val="28"/>
          <w:highlight w:val="none"/>
        </w:rPr>
        <w:t xml:space="preserve"> Действия с документом – это те действия, которые совершает специалист при приеме запроса и документов (например, копирование, возвращение заявителю и иное).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420745"/>
                <wp:effectExtent l="0" t="0" r="0" b="0"/>
                <wp:docPr id="4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56971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6841489" cy="3420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538.70pt;height:269.35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Добавление межведомственного запроса практически полностью аналогично добавлению документа. Необходимо на вкладке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Сведения по МВ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выбрать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СМЭВ 3</w:t>
      </w:r>
      <w:r>
        <w:rPr>
          <w:rFonts w:ascii="Times New Roman" w:hAnsi="Times New Roman"/>
          <w:sz w:val="28"/>
        </w:rPr>
        <w:t xml:space="preserve">» (примен</w:t>
      </w:r>
      <w:r>
        <w:rPr>
          <w:rFonts w:ascii="Times New Roman" w:hAnsi="Times New Roman"/>
          <w:sz w:val="28"/>
          <w:szCs w:val="28"/>
          <w:highlight w:val="none"/>
        </w:rPr>
        <w:t xml:space="preserve">имо для большинства запросов) и при помощи кнопки </w:t>
      </w:r>
      <w:r>
        <w:rPr>
          <w:rFonts w:ascii="Times New Roman" w:hAnsi="Times New Roman"/>
          <w:sz w:val="28"/>
        </w:rPr>
        <w:t xml:space="preserve">«Добавить виды сведений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выбрать необходимый межведомственный запрос. Рекомендовано добавлять запросы, зарегистрированные в продуктовой среде. Запросы без участия СМЭВ добавляются аналогичным образом на вкладке </w:t>
      </w:r>
      <w:r>
        <w:rPr>
          <w:rFonts w:ascii="Times New Roman" w:hAnsi="Times New Roman"/>
          <w:sz w:val="28"/>
        </w:rPr>
        <w:t xml:space="preserve">«Без СМЭВ</w:t>
      </w:r>
      <w:r>
        <w:rPr>
          <w:rFonts w:ascii="Times New Roman" w:hAnsi="Times New Roman"/>
          <w:sz w:val="28"/>
        </w:rPr>
        <w:t xml:space="preserve">».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06566"/>
                <wp:effectExtent l="0" t="0" r="0" b="0"/>
                <wp:docPr id="4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57723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841489" cy="1806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538.70pt;height:142.25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каждого межведомственного информационного запроса необходимо ввести общие настройки, а также настроить атрибуты запроса, атрибуты ответа, критерии принятия решения и административные процедуры.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общих настройках необходимо указать основание для направления информационного запроса, срок направления запроса, срок получения ответа на запрос и систему-инициатор запроса.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518827"/>
                <wp:effectExtent l="0" t="0" r="0" b="0"/>
                <wp:docPr id="4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62035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6841489" cy="2518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538.70pt;height:198.33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Для запросов без участия СМЭВ необходимо дополнительно указать способ взаимодействия (способ запросов).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При настройке атрибутов запроса необходимо выбрать сведения, содержащиеся в межведомственном информационном запросе.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37367"/>
                <wp:effectExtent l="0" t="0" r="0" b="0"/>
                <wp:docPr id="4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61492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841489" cy="1837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538.70pt;height:144.67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При настройке атрибутов ответа необходимо выбрать сведения, содержащиеся в ответе на межведомственный информационный запрос.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609419"/>
                <wp:effectExtent l="0" t="0" r="0" b="0"/>
                <wp:docPr id="4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66599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6841489" cy="36094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538.70pt;height:284.21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К видам сведений следует добавить один или несколько критериев принятия решения, для которых требуется настроить тип принимаемого решения, субъект проверки критерия. При необходимости устанавливается общее основание для отказа/приостановления.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4101810"/>
                <wp:effectExtent l="0" t="0" r="0" b="0"/>
                <wp:docPr id="4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35889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841489" cy="4101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538.70pt;height:322.98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административных процедур, связанных с видом сведений, необходимо указать срок их осуществления. Административные процедуры, в которых вид сведений не используется, можно выключить.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64448"/>
                <wp:effectExtent l="0" t="0" r="0" b="0"/>
                <wp:docPr id="5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38408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6841489" cy="1864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538.70pt;height:146.81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старт профилирования целесообразно добавлять сведения для запроса, необходимые документы или межведомственные информационные запросы, которые потребуются всегда независимо от признаков заявителя.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2.2.3.3. Формирование запроса о предоставлении услуги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Заявление (запрос) о предоставлении услуги не является отдельным документ</w:t>
      </w:r>
      <w:r>
        <w:rPr>
          <w:rFonts w:ascii="Times New Roman" w:hAnsi="Times New Roman"/>
          <w:sz w:val="28"/>
          <w:highlight w:val="none"/>
        </w:rPr>
        <w:t xml:space="preserve">ом в логике КЦР, а формируется в системе автоматически на основе сведений, которые добавляются к ответам на вопросы профилирования и в старт профилирования. Заявление (запрос) о предоставлении услуги формируется для каждого варианта предоставления услуги.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Для добавления сведений к старту профилирования или ответу на вопрос профилирования, необходимо нажать на настройку блока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5419" cy="241508"/>
                <wp:effectExtent l="0" t="0" r="0" b="0"/>
                <wp:docPr id="5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22123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 flipH="0" flipV="0">
                          <a:off x="0" y="0"/>
                          <a:ext cx="285418" cy="24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22.47pt;height:19.02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  <w:t xml:space="preserve">), нажать на кнопку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+Добавить сведения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либо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+Сведения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, при помощи поисковой строки найти и добавить необходимое сведение.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953416"/>
                <wp:effectExtent l="0" t="0" r="0" b="0"/>
                <wp:docPr id="5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9599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6841489" cy="39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538.70pt;height:311.29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Каждый тип сведения, добавленный в заявление (запрос) о предоставлении услуги, необходимо настроить: выбрать обязатель</w:t>
      </w:r>
      <w:r>
        <w:rPr>
          <w:rFonts w:ascii="Times New Roman" w:hAnsi="Times New Roman"/>
          <w:sz w:val="28"/>
          <w:highlight w:val="none"/>
        </w:rPr>
        <w:t xml:space="preserve">н</w:t>
      </w:r>
      <w:r>
        <w:rPr>
          <w:rFonts w:ascii="Times New Roman" w:hAnsi="Times New Roman"/>
          <w:sz w:val="28"/>
          <w:highlight w:val="none"/>
        </w:rPr>
        <w:t xml:space="preserve">о</w:t>
      </w:r>
      <w:r>
        <w:rPr>
          <w:rFonts w:ascii="Times New Roman" w:hAnsi="Times New Roman"/>
          <w:sz w:val="28"/>
          <w:highlight w:val="none"/>
        </w:rPr>
        <w:t xml:space="preserve">сть или необязательность его предоставления, указать атрибуты и цели, критерии принятия решения и административные процедуры. Настройка данных параметров соответствует настройке аналогичных параметров при добавлении документа или межведомственного запроса.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При формировании печатной формы ЦР в приложение добавятся формы заявлений (запросов) о предоставлении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05054" cy="4777511"/>
                <wp:effectExtent l="0" t="0" r="0" b="0"/>
                <wp:docPr id="5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02771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 flipH="0" flipV="0">
                          <a:off x="0" y="0"/>
                          <a:ext cx="4505054" cy="47775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54.73pt;height:376.18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2.2.3.4. Настройка оплаты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детальной настройки оплаты необходимо в старте профилирования (в случае, если плата за предоставление услуги одинакова для всех) передвинуть соответствующий ползунок вправо.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00660" cy="1583714"/>
                <wp:effectExtent l="0" t="0" r="0" b="0"/>
                <wp:docPr id="5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69927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 flipH="0" flipV="0">
                          <a:off x="0" y="0"/>
                          <a:ext cx="6700659" cy="15837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527.61pt;height:124.70pt;mso-wrap-distance-left:0.00pt;mso-wrap-distance-top:0.00pt;mso-wrap-distance-right:0.00pt;mso-wrap-distance-bottom:0.00pt;" stroked="false">
                <v:path textboxrect="0,0,0,0"/>
                <v:imagedata r:id="rId6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На вкладке </w:t>
      </w:r>
      <w:r>
        <w:rPr>
          <w:rFonts w:ascii="Times New Roman" w:hAnsi="Times New Roman"/>
          <w:sz w:val="28"/>
        </w:rPr>
        <w:t xml:space="preserve">«Оплата</w:t>
      </w:r>
      <w:r>
        <w:rPr>
          <w:rFonts w:ascii="Times New Roman" w:hAnsi="Times New Roman"/>
          <w:sz w:val="28"/>
        </w:rPr>
        <w:t xml:space="preserve">» необходимо настроить блоки </w:t>
      </w:r>
      <w:r>
        <w:rPr>
          <w:rFonts w:ascii="Times New Roman" w:hAnsi="Times New Roman"/>
          <w:sz w:val="28"/>
        </w:rPr>
        <w:t xml:space="preserve">«Порядок оплаты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и </w:t>
      </w:r>
      <w:r>
        <w:rPr>
          <w:rFonts w:ascii="Times New Roman" w:hAnsi="Times New Roman"/>
          <w:sz w:val="28"/>
        </w:rPr>
        <w:t xml:space="preserve">«Способ оплаты</w:t>
      </w:r>
      <w:r>
        <w:rPr>
          <w:rFonts w:ascii="Times New Roman" w:hAnsi="Times New Roman"/>
          <w:sz w:val="28"/>
        </w:rPr>
        <w:t xml:space="preserve">».</w:t>
      </w:r>
      <w:r>
        <w:rPr>
          <w:rFonts w:ascii="Times New Roman" w:hAnsi="Times New Roman"/>
          <w:sz w:val="28"/>
          <w:szCs w:val="28"/>
          <w:highlight w:val="none"/>
        </w:rPr>
        <w:t xml:space="preserve"> В </w:t>
      </w:r>
      <w:r>
        <w:rPr>
          <w:rFonts w:ascii="Times New Roman" w:hAnsi="Times New Roman"/>
          <w:sz w:val="28"/>
        </w:rPr>
        <w:t xml:space="preserve">блоке </w:t>
      </w:r>
      <w:r>
        <w:rPr>
          <w:rFonts w:ascii="Times New Roman" w:hAnsi="Times New Roman"/>
          <w:sz w:val="28"/>
        </w:rPr>
        <w:t xml:space="preserve">«Порядок оплаты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можно настроить фиксированный, рассчитываемый и комбинированный платежи.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настройки фиксированного платежа необходимо указать его на</w:t>
      </w:r>
      <w:r>
        <w:rPr>
          <w:rFonts w:ascii="Times New Roman" w:hAnsi="Times New Roman"/>
          <w:sz w:val="28"/>
          <w:szCs w:val="28"/>
          <w:highlight w:val="none"/>
        </w:rPr>
        <w:t xml:space="preserve">име</w:t>
      </w:r>
      <w:r>
        <w:rPr>
          <w:rFonts w:ascii="Times New Roman" w:hAnsi="Times New Roman"/>
          <w:sz w:val="28"/>
          <w:szCs w:val="28"/>
          <w:highlight w:val="none"/>
        </w:rPr>
        <w:t xml:space="preserve">нование, тип (пошлина, сбор, иное) и сумму. В случае, если оплату необходимо совершить до подачи заявления (запроса) о предоставлении услуги, то требуется передвинуть соответствующий ползунок (в иных случаях требуется настроить административные процедуры).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566665"/>
                <wp:effectExtent l="0" t="0" r="0" b="0"/>
                <wp:docPr id="5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84290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6841489" cy="2566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538.70pt;height:202.10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233277"/>
                <wp:effectExtent l="0" t="0" r="0" b="0"/>
                <wp:docPr id="5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05430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841489" cy="32332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538.70pt;height:254.59pt;mso-wrap-distance-left:0.00pt;mso-wrap-distance-top:0.00pt;mso-wrap-distance-right:0.00pt;mso-wrap-distance-bottom:0.00pt;" stroked="false">
                <v:path textboxrect="0,0,0,0"/>
                <v:imagedata r:id="rId6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настройки рассчитываемого платежа необходимо нажать соответствующую кнопку и по аналогии с фиксированным платежом указать наименование и тип. Также необходимо указать тип расчета.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Платеж становится комбинированным, когда одновременно настраивается фиксированный и рассчитываемый платежи.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блоке </w:t>
      </w:r>
      <w:r>
        <w:rPr>
          <w:rFonts w:ascii="Times New Roman" w:hAnsi="Times New Roman"/>
          <w:sz w:val="28"/>
        </w:rPr>
        <w:t xml:space="preserve">«Способ оплаты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необходимо добавить способы, которыми заявитель может оплатить государственную пошлину, сбор или иную плату.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317031"/>
                <wp:effectExtent l="0" t="0" r="0" b="0"/>
                <wp:docPr id="5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0585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841489" cy="1317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538.70pt;height:103.70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2.2.4. Подраздел</w:t>
      </w:r>
      <w:r>
        <w:rPr>
          <w:rFonts w:ascii="Times New Roman" w:hAnsi="Times New Roman"/>
          <w:b/>
          <w:bCs/>
          <w:sz w:val="28"/>
          <w:highlight w:val="none"/>
        </w:rPr>
        <w:t xml:space="preserve"> </w:t>
      </w:r>
      <w:r>
        <w:rPr>
          <w:rFonts w:ascii="Times New Roman" w:hAnsi="Times New Roman"/>
          <w:b/>
          <w:bCs/>
          <w:sz w:val="28"/>
        </w:rPr>
        <w:t xml:space="preserve">«Административные процедуры и действия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Процесс предоставления услуги строится из последовательности административных действий, которые необходимо добавлять в зоны ответственности, соединять между собой и настраивать.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Чтобы перейти к созданию схемы административных процедур и действий, нажмите на </w:t>
      </w:r>
      <w:r>
        <w:rPr>
          <w:rFonts w:ascii="Times New Roman" w:hAnsi="Times New Roman"/>
          <w:sz w:val="28"/>
        </w:rPr>
        <w:t xml:space="preserve">кнопку «</w:t>
      </w:r>
      <w:r>
        <w:rPr>
          <w:rFonts w:ascii="Times New Roman" w:hAnsi="Times New Roman"/>
          <w:sz w:val="28"/>
          <w:szCs w:val="28"/>
          <w:highlight w:val="none"/>
        </w:rPr>
        <w:t xml:space="preserve">Редактировать схему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в правом нижнем углу; откроется пустой лист с боковым меню.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2999409</wp:posOffset>
                </wp:positionV>
                <wp:extent cx="439610" cy="1966242"/>
                <wp:effectExtent l="0" t="0" r="0" b="0"/>
                <wp:wrapSquare wrapText="bothSides"/>
                <wp:docPr id="5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07238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rcRect l="0" t="41182" r="0" b="1661"/>
                        <a:stretch/>
                      </pic:blipFill>
                      <pic:spPr bwMode="auto">
                        <a:xfrm flipH="0" flipV="0">
                          <a:off x="0" y="0"/>
                          <a:ext cx="439609" cy="19662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position:absolute;z-index:74752;o:allowoverlap:true;o:allowincell:true;mso-position-horizontal-relative:text;margin-left:0.00pt;mso-position-horizontal:absolute;mso-position-vertical-relative:text;margin-top:236.17pt;mso-position-vertical:absolute;width:34.61pt;height:154.82pt;mso-wrap-distance-left:9.07pt;mso-wrap-distance-top:0.00pt;mso-wrap-distance-right:9.07pt;mso-wrap-distance-bottom:0.00pt;" stroked="false">
                <v:path textboxrect="0,0,0,0"/>
                <w10:wrap type="square"/>
                <v:imagedata r:id="rId71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34930" cy="2927301"/>
                <wp:effectExtent l="0" t="0" r="0" b="0"/>
                <wp:docPr id="5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91465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 flipH="0" flipV="0">
                          <a:off x="0" y="0"/>
                          <a:ext cx="6734930" cy="29273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530.31pt;height:230.50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Стартовое событие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Конечное событие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Добавить административное действие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Добавить шлюз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Добавить шлюз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ИЛИ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Добавить зону ответственности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Для построения схемы административных процедур и действий необходимо: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1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добавить зоны ответственности;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1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добавить в каждую зону ответственности административные действия и соединить их;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1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настроить административные действия и процедуры.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3"/>
        <w:rPr>
          <w:rFonts w:ascii="Times New Roman" w:hAnsi="Times New Roman"/>
          <w:sz w:val="28"/>
          <w:szCs w:val="28"/>
          <w:highlight w:val="none"/>
        </w:rPr>
      </w:pPr>
      <w:r>
        <w:rPr>
          <w:rStyle w:val="864"/>
          <w:rFonts w:ascii="Times New Roman" w:hAnsi="Times New Roman"/>
          <w:sz w:val="28"/>
          <w:szCs w:val="22"/>
        </w:rPr>
        <w:t xml:space="preserve">2.2.4.1. Добавление и настройка зон ответственности.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Добавление зон ответственности осуществляется с помощью раннее обозначенной кнопки бокового меню (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9109" cy="232591"/>
                <wp:effectExtent l="0" t="0" r="0" b="0"/>
                <wp:docPr id="6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00157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 flipH="0" flipV="0">
                          <a:off x="0" y="0"/>
                          <a:ext cx="279108" cy="232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21.98pt;height:18.31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  <w:t xml:space="preserve">). Щелкните по кнопке добавления зоны, затем по листу редактора; произойдет создание зоны.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348348"/>
                <wp:effectExtent l="0" t="0" r="0" b="0"/>
                <wp:docPr id="6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55096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6841489" cy="3348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538.70pt;height:263.65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Необходимо отметить, что </w:t>
      </w:r>
      <w:r>
        <w:rPr>
          <w:rFonts w:ascii="Times New Roman" w:hAnsi="Times New Roman"/>
          <w:sz w:val="28"/>
          <w:szCs w:val="28"/>
          <w:highlight w:val="none"/>
        </w:rPr>
        <w:t xml:space="preserve">количество зон ответственности и их названия должны соответствовать способам обращения и получения результатов</w:t>
      </w:r>
      <w:r>
        <w:rPr>
          <w:rFonts w:ascii="Times New Roman" w:hAnsi="Times New Roman"/>
          <w:sz w:val="28"/>
          <w:szCs w:val="28"/>
          <w:highlight w:val="none"/>
        </w:rPr>
        <w:t xml:space="preserve">. Зона ответственности не сохранится без выбора названия справа от неё.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272645"/>
                <wp:effectExtent l="0" t="0" r="0" b="0"/>
                <wp:docPr id="6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07316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6841489" cy="3272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538.70pt;height:257.69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3"/>
        <w:rPr>
          <w:rFonts w:ascii="Times New Roman" w:hAnsi="Times New Roman"/>
          <w:sz w:val="28"/>
          <w:szCs w:val="28"/>
          <w:highlight w:val="none"/>
        </w:rPr>
      </w:pPr>
      <w:r>
        <w:rPr>
          <w:rStyle w:val="864"/>
          <w:rFonts w:ascii="Times New Roman" w:hAnsi="Times New Roman"/>
          <w:sz w:val="28"/>
          <w:szCs w:val="22"/>
        </w:rPr>
        <w:t xml:space="preserve">2.2.4.2. Добавление и настройка административных действий.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Первоначально необходимо добавить начало процесса (Стартовое событие) в зону ответственности, после чего перейти к добавлению необходимого количества административных действий и их соединению стрелками.</w:t>
      </w:r>
      <w:r>
        <w:rPr>
          <w:rFonts w:ascii="Times New Roman" w:hAnsi="Times New Roman"/>
          <w:sz w:val="28"/>
          <w:szCs w:val="28"/>
          <w:highlight w:val="none"/>
        </w:rPr>
        <w:t xml:space="preserve"> Стартовое событие ставится в каждой зоне ответственности, в которой начинается процесс предоставления услуги.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Действия, касающиеся сбора информации о заявителе, должны быть перед действиями, касающимися принятия решения.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Обязательными </w:t>
      </w:r>
      <w:r>
        <w:rPr>
          <w:rFonts w:ascii="Times New Roman" w:hAnsi="Times New Roman"/>
          <w:sz w:val="28"/>
          <w:szCs w:val="28"/>
          <w:highlight w:val="none"/>
        </w:rPr>
        <w:t xml:space="preserve">действиями являются Профилирование (после стартового события), Регистрация заявления (запроса, уведомления) в соответствующих зонах ответственности. 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shd w:val="clear" w:color="fef2cb" w:themeColor="accent4" w:themeTint="33" w:fill="fef2cb" w:themeFill="accent4" w:themeFillTint="3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Профилирование и </w:t>
      </w:r>
      <w:r>
        <w:rPr>
          <w:rFonts w:ascii="Times New Roman" w:hAnsi="Times New Roman"/>
          <w:sz w:val="28"/>
          <w:szCs w:val="28"/>
          <w:highlight w:val="none"/>
        </w:rPr>
        <w:t xml:space="preserve">Регистрация заявления (запроса, уведомления)</w:t>
      </w:r>
      <w:r>
        <w:rPr>
          <w:rFonts w:ascii="Times New Roman" w:hAnsi="Times New Roman"/>
          <w:sz w:val="28"/>
          <w:szCs w:val="28"/>
          <w:highlight w:val="none"/>
        </w:rPr>
        <w:t xml:space="preserve"> добавляются в те зоны ответственности, в которых они действительно осуществляются (Орган, МФЦ, Единый портал, Региональный портал). Добавление данных действий в зоны с электронной почтой и почтовой связью считается нецелесообразным.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в общей информации о подуслуге были заполнены блоки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Оценка заявителя» и (или)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Распределение результата услуги»</w:t>
      </w:r>
      <w:r>
        <w:rPr>
          <w:rFonts w:ascii="Times New Roman" w:hAnsi="Times New Roman"/>
          <w:sz w:val="28"/>
          <w:szCs w:val="28"/>
          <w:highlight w:val="none"/>
        </w:rPr>
        <w:t xml:space="preserve">, то необходимо отразить соответствующие адми</w:t>
      </w:r>
      <w:r>
        <w:rPr>
          <w:rFonts w:ascii="Times New Roman" w:hAnsi="Times New Roman"/>
          <w:sz w:val="28"/>
          <w:szCs w:val="28"/>
          <w:highlight w:val="none"/>
        </w:rPr>
        <w:t xml:space="preserve">нистративные действия на схеме. Если к ответу на вопрос профилирования был добавлен информационный запрос СМЭВ, то на схеме необходимо отразить административные действия по направлению межведомственного информационного запроса и получению ответа на него.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срок регистрации обращения заявителя отличается в зависимости от способа его подачи, то необходимо добавить административное действие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Регистрация заявления (запроса, уведомления)</w:t>
      </w:r>
      <w:r>
        <w:rPr>
          <w:rFonts w:ascii="Times New Roman" w:hAnsi="Times New Roman"/>
          <w:sz w:val="28"/>
        </w:rPr>
        <w:t xml:space="preserve">» в разные зоны ответственности, указав в них разные сроки.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shd w:val="clear" w:color="fef2cb" w:themeColor="accent4" w:themeTint="33" w:fill="fef2cb" w:themeFill="accent4" w:themeFillTint="3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Отображение в печатной версии ЦР срока регистрации 2 рабочих дня для МФЦ считается допустимым.</w:t>
      </w:r>
      <w:r>
        <w:rPr>
          <w:rFonts w:ascii="Times New Roman" w:hAnsi="Times New Roman"/>
          <w:sz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После добавления административного действия укажите его наименование и настройте его в меню справа: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проверьте счетчик экземпляра;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укажите орган, участвующий в административном действии;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укажите </w:t>
      </w:r>
      <w:r>
        <w:rPr>
          <w:rFonts w:ascii="Times New Roman" w:hAnsi="Times New Roman"/>
          <w:sz w:val="28"/>
          <w:szCs w:val="28"/>
          <w:highlight w:val="none"/>
        </w:rPr>
        <w:t xml:space="preserve">статусы, которые отражаются при предоставлении услуги в органе и на Едином портале;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укажите </w:t>
      </w:r>
      <w:r>
        <w:rPr>
          <w:rFonts w:ascii="Times New Roman" w:hAnsi="Times New Roman"/>
          <w:sz w:val="28"/>
          <w:szCs w:val="28"/>
          <w:highlight w:val="none"/>
        </w:rPr>
        <w:t xml:space="preserve">субъект, выполняющий действие;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определите наличие действия в ПГС;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определите </w:t>
      </w:r>
      <w:r>
        <w:rPr>
          <w:rFonts w:ascii="Times New Roman" w:hAnsi="Times New Roman"/>
          <w:sz w:val="28"/>
          <w:szCs w:val="28"/>
          <w:highlight w:val="none"/>
        </w:rPr>
        <w:t xml:space="preserve">необходимость приостановления предоставления услуги при совершении административного действия;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определите </w:t>
      </w:r>
      <w:r>
        <w:rPr>
          <w:rFonts w:ascii="Times New Roman" w:hAnsi="Times New Roman"/>
          <w:sz w:val="28"/>
          <w:szCs w:val="28"/>
          <w:highlight w:val="none"/>
        </w:rPr>
        <w:t xml:space="preserve">влияние срока выполнения административного действия на общий срок предоставления услуги;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3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укажите </w:t>
      </w:r>
      <w:r>
        <w:rPr>
          <w:rFonts w:ascii="Times New Roman" w:hAnsi="Times New Roman"/>
          <w:sz w:val="28"/>
          <w:szCs w:val="28"/>
          <w:highlight w:val="none"/>
        </w:rPr>
        <w:t xml:space="preserve">срок выполнения административного действия.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Счетчик экземпляра административного действия необходим для определения последовательности административных процедур. Все административные действия, относящиеся к одной процедуре, должны обозначаться одной цифрой.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Перечень административных действий открытый. Для добавления административного действия, которого нет в справочнике, можно направить запрос на добавление.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28131" cy="4888418"/>
                <wp:effectExtent l="0" t="0" r="0" b="0"/>
                <wp:docPr id="6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60538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 flipH="0" flipV="0">
                          <a:off x="0" y="0"/>
                          <a:ext cx="5228131" cy="48884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11.66pt;height:384.91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Все действия, включаемые в зоны ответственности, должны быть соединены между собой с помощью стрелок, шлюза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(действия выполняются одновременно, параллельно), шлюза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ИЛИ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(выполняется одно из действий).</w:t>
      </w:r>
      <w:r>
        <w:rPr>
          <w:rFonts w:ascii="Times New Roman" w:hAnsi="Times New Roman"/>
          <w:sz w:val="28"/>
          <w:szCs w:val="28"/>
          <w:highlight w:val="none"/>
        </w:rPr>
        <w:t xml:space="preserve"> Например, после рассмотрения принятых заявления и документов ведомство может принять решение о предоставлении услуги либо об отказе в её предоставлении (</w:t>
      </w:r>
      <w:r>
        <w:rPr>
          <w:rFonts w:ascii="Times New Roman" w:hAnsi="Times New Roman"/>
          <w:sz w:val="28"/>
          <w:szCs w:val="28"/>
          <w:highlight w:val="none"/>
        </w:rPr>
        <w:t xml:space="preserve">шлюз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ИЛИ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); рассмотрение документов осуществляется одновременно с направлением межведомственных информационных запросов (</w:t>
      </w:r>
      <w:r>
        <w:rPr>
          <w:rFonts w:ascii="Times New Roman" w:hAnsi="Times New Roman"/>
          <w:sz w:val="28"/>
          <w:szCs w:val="28"/>
          <w:highlight w:val="none"/>
        </w:rPr>
        <w:t xml:space="preserve">шлюз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szCs w:val="28"/>
          <w:highlight w:val="none"/>
        </w:rPr>
        <w:t xml:space="preserve">И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).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Конечное событие ставится в каждой зоне ответственности после административного действия, на котором завершается процесс предоставления услуги.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856058"/>
                <wp:effectExtent l="0" t="0" r="0" b="0"/>
                <wp:docPr id="6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77821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6841488" cy="285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538.70pt;height:224.89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3"/>
        <w:rPr>
          <w:rFonts w:ascii="Times New Roman" w:hAnsi="Times New Roman"/>
          <w:sz w:val="28"/>
          <w:szCs w:val="28"/>
          <w:highlight w:val="none"/>
        </w:rPr>
      </w:pPr>
      <w:r>
        <w:rPr>
          <w:rStyle w:val="864"/>
          <w:rFonts w:ascii="Times New Roman" w:hAnsi="Times New Roman"/>
          <w:sz w:val="28"/>
          <w:szCs w:val="22"/>
        </w:rPr>
        <w:t xml:space="preserve">2.2.4.3. Добавление и настройка административных процедур.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КЦР предусмотрен следующий исчерпывающий перечень административных процедур: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Профилирование;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Прием запроса и документов и (или) информации, необходимых для предоставления Услуги;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Рассмотрение запроса и документов и (или) информации, необходимых для предоставления Услуги</w:t>
      </w:r>
      <w:r>
        <w:rPr>
          <w:rFonts w:ascii="Times New Roman" w:hAnsi="Times New Roman"/>
          <w:sz w:val="28"/>
          <w:highlight w:val="none"/>
        </w:rPr>
        <w:t xml:space="preserve">;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Межведомственное информационное взаимодействие;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Оценка заявителя (объекта, принадлежащего заявителю);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Получение дополнительных сведений от заявителя;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Принятие решения о предоставлении Услуги;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Приостановление предоставления Услуги;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Предоставление результата Услуги;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1"/>
        </w:num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Распределение результата Услуги.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Добавление иных административных процедур не предусмотрено.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Обращаем внимание на следующие особенности: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2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сроки административных процедур (1) и (2) не должны включаться в общий срок предоставления услуги;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2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сроки административных процедур (3)-(10) по умолчанию включаются в общий срок предоставления услуги;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2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срок административной процедуры (3) не учитывается при расчете срока варианта предоставления услуги.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shd w:val="clear" w:color="fef2cb" w:themeColor="accent4" w:themeTint="33" w:fill="fef2cb" w:themeFill="accent4" w:themeFillTint="33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Срок административной процедуры (2) не включается в общие срок предоставления услуги, вместе с этим срок административного действия 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Регистрация заявления (запроса, уведомления)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включается.</w:t>
      </w:r>
      <w:r>
        <w:rPr>
          <w:rFonts w:ascii="Times New Roman" w:hAnsi="Times New Roman"/>
          <w:sz w:val="28"/>
          <w:highlight w:val="none"/>
        </w:rPr>
      </w:r>
    </w:p>
    <w:p>
      <w:pPr>
        <w:ind w:left="0" w:firstLine="0"/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Для настройки административных процедур необходимо перейти на вкладку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Настройки»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669976"/>
                <wp:effectExtent l="0" t="0" r="0" b="0"/>
                <wp:docPr id="6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03454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6841489" cy="669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538.70pt;height:52.75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Проверьте последовательность администр</w:t>
      </w:r>
      <w:r>
        <w:rPr>
          <w:rFonts w:ascii="Times New Roman" w:hAnsi="Times New Roman"/>
          <w:sz w:val="28"/>
          <w:szCs w:val="28"/>
          <w:highlight w:val="none"/>
        </w:rPr>
        <w:t xml:space="preserve">ативных процедур, их номера (зависят от экземпляра счетчика административного действия), перечень входящий в них состав административных действий и переключатель по влиянию на срок предоставления услуги. При необходимости внесите соответствующие изменения.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494840"/>
                <wp:effectExtent l="0" t="0" r="0" b="0"/>
                <wp:docPr id="6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5414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6841489" cy="3494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538.70pt;height:275.18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Рассчитайте сроки выполнения административных процедур с помощью кнопки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Рассчитать сроки АП». Проверьте автоматически рассчитанные сроки и при </w:t>
      </w:r>
      <w:r>
        <w:rPr>
          <w:rFonts w:ascii="Times New Roman" w:hAnsi="Times New Roman"/>
          <w:sz w:val="28"/>
          <w:szCs w:val="28"/>
          <w:highlight w:val="none"/>
        </w:rPr>
        <w:t xml:space="preserve">необходимости внесите соответствующие изменения</w:t>
      </w:r>
      <w:r>
        <w:rPr>
          <w:rFonts w:ascii="Times New Roman" w:hAnsi="Times New Roman"/>
          <w:sz w:val="28"/>
          <w:szCs w:val="28"/>
          <w:highlight w:val="none"/>
        </w:rPr>
        <w:t xml:space="preserve"> в настройку административных действий.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519420"/>
                <wp:effectExtent l="0" t="0" r="0" b="0"/>
                <wp:docPr id="6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40250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6841489" cy="3519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538.70pt;height:277.12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Необходимо отметить, что сроки административных процедур, которые были указаны при настройке документов в профилировании, должны совпадать с общими сроками административных процедур в данном подразделе.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6"/>
        <w:rPr>
          <w:rFonts w:ascii="Times New Roman" w:hAnsi="Times New Roman"/>
          <w:b/>
          <w:bCs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  <w:t xml:space="preserve">2.3. Раздел </w:t>
      </w:r>
      <w:r>
        <w:rPr>
          <w:rFonts w:ascii="Times New Roman" w:hAnsi="Times New Roman"/>
          <w:b/>
          <w:bCs/>
          <w:sz w:val="28"/>
        </w:rPr>
        <w:t xml:space="preserve">«Прочие настройки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Данный раздел предназначен для проведения оценки клиентоцентричности проекта ЦР и в настоящее время является необязательным.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Необходимо </w:t>
      </w:r>
      <w:r>
        <w:rPr>
          <w:rFonts w:ascii="Times New Roman" w:hAnsi="Times New Roman"/>
          <w:sz w:val="28"/>
          <w:szCs w:val="28"/>
          <w:highlight w:val="none"/>
        </w:rPr>
        <w:t xml:space="preserve">провести оценку по листу самопроверки и приложить файл</w:t>
      </w:r>
      <w:r>
        <w:rPr>
          <w:rFonts w:ascii="Times New Roman" w:hAnsi="Times New Roman"/>
          <w:sz w:val="28"/>
          <w:szCs w:val="28"/>
          <w:highlight w:val="none"/>
        </w:rPr>
        <w:t xml:space="preserve">, в котором отражены результаты такой оценки.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6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2.4. Раздел </w:t>
      </w:r>
      <w:r>
        <w:rPr>
          <w:rFonts w:ascii="Times New Roman" w:hAnsi="Times New Roman"/>
          <w:b/>
          <w:bCs/>
          <w:sz w:val="28"/>
        </w:rPr>
        <w:t xml:space="preserve">«Печатная форма АР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Данный раздел предназначен для настройки печатной формы ЦР: форм заявлений и иных документов.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Если форма заявления утверждена актом Президента Российской Федерации, Правит</w:t>
      </w:r>
      <w:r>
        <w:rPr>
          <w:rFonts w:ascii="Times New Roman" w:hAnsi="Times New Roman"/>
          <w:sz w:val="28"/>
          <w:szCs w:val="28"/>
          <w:highlight w:val="none"/>
        </w:rPr>
        <w:t xml:space="preserve">ельства Российской Федерации </w:t>
      </w:r>
      <w:r>
        <w:rPr>
          <w:rFonts w:ascii="Times New Roman" w:hAnsi="Times New Roman"/>
          <w:sz w:val="28"/>
          <w:szCs w:val="28"/>
          <w:highlight w:val="none"/>
        </w:rPr>
        <w:t xml:space="preserve">или иным вышестоящим органом, то необходимо внести сведения, которые содержатся в заявлении, в старт профилирования и (или) ответы на вопросы профилирования, настроить такие сведения. Далее при настройке печатной формы необходимо передвинуть 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Форма заявления (уведомления, запроса, ходатайства) утверждена Указом Президента РФ или постановлением Правительства РФ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в положение </w:t>
      </w:r>
      <w:r>
        <w:rPr>
          <w:rFonts w:ascii="Times New Roman" w:hAnsi="Times New Roman"/>
          <w:sz w:val="28"/>
        </w:rPr>
        <w:t xml:space="preserve">«да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и заполнить соответствующие поля.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таком случае форма заявления не будет приведена в приложении к ЦР, а в описании административных процедур появится отсылочная норма к утверждающему НПА.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00700" cy="1333500"/>
                <wp:effectExtent l="0" t="0" r="0" b="0"/>
                <wp:docPr id="6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41598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600699" cy="1333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41.00pt;height:105.00pt;mso-wrap-distance-left:0.00pt;mso-wrap-distance-top:0.00pt;mso-wrap-distance-right:0.00pt;mso-wrap-distance-bottom:0.00pt;" stroked="false">
                <v:path textboxrect="0,0,0,0"/>
                <v:imagedata r:id="rId8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Если в печатной форме ЦР необходимо отобразить шапку заявления (уведомления, запроса, ходатайства), то </w:t>
      </w:r>
      <w:r>
        <w:rPr>
          <w:rFonts w:ascii="Times New Roman" w:hAnsi="Times New Roman"/>
          <w:sz w:val="28"/>
          <w:szCs w:val="28"/>
          <w:highlight w:val="none"/>
        </w:rPr>
        <w:t xml:space="preserve">необходимо передвинуть соответствующий переключатель </w:t>
      </w:r>
      <w:r>
        <w:rPr>
          <w:rFonts w:ascii="Times New Roman" w:hAnsi="Times New Roman"/>
          <w:sz w:val="28"/>
          <w:szCs w:val="28"/>
          <w:highlight w:val="none"/>
        </w:rPr>
        <w:t xml:space="preserve">в положение </w:t>
      </w:r>
      <w:r>
        <w:rPr>
          <w:rFonts w:ascii="Times New Roman" w:hAnsi="Times New Roman"/>
          <w:sz w:val="28"/>
        </w:rPr>
        <w:t xml:space="preserve">«да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и заполнить соответствующие поля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05266" cy="3460136"/>
                <wp:effectExtent l="0" t="0" r="0" b="0"/>
                <wp:docPr id="6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79607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 flipH="0" flipV="0">
                          <a:off x="0" y="0"/>
                          <a:ext cx="4305265" cy="3460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339.00pt;height:272.45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Если в </w:t>
      </w:r>
      <w:r>
        <w:rPr>
          <w:rFonts w:ascii="Times New Roman" w:hAnsi="Times New Roman"/>
          <w:sz w:val="28"/>
          <w:highlight w:val="none"/>
        </w:rPr>
        <w:t xml:space="preserve">отраслевом законодательстве Российской Федерации предусмотрено другое наименование заявления (уведомления, запроса, ходатайства) о предоставлении услуги</w:t>
      </w:r>
      <w:r>
        <w:rPr>
          <w:rFonts w:ascii="Times New Roman" w:hAnsi="Times New Roman"/>
          <w:sz w:val="28"/>
          <w:highlight w:val="none"/>
        </w:rPr>
        <w:t xml:space="preserve">, то </w:t>
      </w:r>
      <w:r>
        <w:rPr>
          <w:rFonts w:ascii="Times New Roman" w:hAnsi="Times New Roman"/>
          <w:sz w:val="28"/>
          <w:szCs w:val="28"/>
          <w:highlight w:val="none"/>
        </w:rPr>
        <w:t xml:space="preserve">необходимо передвинуть соответствующий переключатель </w:t>
      </w:r>
      <w:r>
        <w:rPr>
          <w:rFonts w:ascii="Times New Roman" w:hAnsi="Times New Roman"/>
          <w:sz w:val="28"/>
          <w:szCs w:val="28"/>
          <w:highlight w:val="none"/>
        </w:rPr>
        <w:t xml:space="preserve">в положение </w:t>
      </w:r>
      <w:r>
        <w:rPr>
          <w:rFonts w:ascii="Times New Roman" w:hAnsi="Times New Roman"/>
          <w:sz w:val="28"/>
        </w:rPr>
        <w:t xml:space="preserve">«да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и заполнить соответствующие поля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00452" cy="1431393"/>
                <wp:effectExtent l="0" t="0" r="0" b="0"/>
                <wp:docPr id="7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87309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 flipH="0" flipV="0">
                          <a:off x="0" y="0"/>
                          <a:ext cx="4500452" cy="14313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354.37pt;height:112.71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При необходимости можно добавить документы, формы которых отражаются в приложениях к ЦР (например, формы положительных и отрицательных решений).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 данном разделе </w:t>
      </w:r>
      <w:r>
        <w:rPr>
          <w:rFonts w:ascii="Times New Roman" w:hAnsi="Times New Roman"/>
          <w:sz w:val="28"/>
          <w:highlight w:val="none"/>
        </w:rPr>
        <w:t xml:space="preserve">также присутствует возможность скачать проект ЦР в формате docx. Рекомендуем скачивать и вычитывать проект ЦР регулярно для выявления </w:t>
      </w:r>
      <w:r>
        <w:rPr>
          <w:rFonts w:ascii="Times New Roman" w:hAnsi="Times New Roman"/>
          <w:b w:val="0"/>
          <w:bCs w:val="0"/>
          <w:sz w:val="28"/>
        </w:rPr>
        <w:t xml:space="preserve">«пробелов</w:t>
      </w:r>
      <w:r>
        <w:rPr>
          <w:rFonts w:ascii="Times New Roman" w:hAnsi="Times New Roman"/>
          <w:b w:val="0"/>
          <w:bCs w:val="0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оперативного внесения изменений.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При необходимости в текст печатной формы ЦР можно добавить сноски. </w:t>
      </w:r>
      <w:r>
        <w:rPr>
          <w:rFonts w:ascii="Times New Roman" w:hAnsi="Times New Roman"/>
          <w:sz w:val="28"/>
          <w:szCs w:val="28"/>
          <w:highlight w:val="none"/>
        </w:rPr>
        <w:t xml:space="preserve">Сноски и примечания в НПА не должны содержать предписаний нормативно-правового характера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54567"/>
                <wp:effectExtent l="0" t="0" r="0" b="0"/>
                <wp:docPr id="7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15012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6841489" cy="1854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538.70pt;height:146.03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Печатная форма может не выгружаться по нескольким причинам: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8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заполнены не все обязательные поля;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8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слишком много вопросов профилирования либо есть несвязанные вопросы профилирования;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8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ответах на вопросы профилирования есть документы без категории либо в настройках документа не указаны сроки административных  процедур;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8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на схеме процесса предоставления услуги есть несвязанные административные действия;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8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в настройках схемы процесса предоставления услуги не указаны сроки административных процедур.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6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2.5. Раздел </w:t>
      </w:r>
      <w:r>
        <w:rPr>
          <w:rFonts w:ascii="Times New Roman" w:hAnsi="Times New Roman"/>
          <w:b/>
          <w:bCs/>
          <w:sz w:val="28"/>
        </w:rPr>
        <w:t xml:space="preserve">«Жизненный цикл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b/>
          <w:bCs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После заполнения необходимых разделов, проверки ЦР на ошибки и чтения печатной формы, необходимо завершить редактирование ЦР (кнопки </w:t>
      </w:r>
      <w:r>
        <w:rPr>
          <w:rFonts w:ascii="Times New Roman" w:hAnsi="Times New Roman"/>
          <w:sz w:val="28"/>
          <w:szCs w:val="28"/>
          <w:highlight w:val="none"/>
        </w:rPr>
        <w:t xml:space="preserve">«Опубликовать»</w:t>
      </w:r>
      <w:r>
        <w:rPr>
          <w:rFonts w:ascii="Times New Roman" w:hAnsi="Times New Roman"/>
          <w:sz w:val="28"/>
          <w:szCs w:val="28"/>
          <w:highlight w:val="none"/>
        </w:rPr>
        <w:t xml:space="preserve"> либо </w:t>
      </w:r>
      <w:r>
        <w:rPr>
          <w:rFonts w:ascii="Times New Roman" w:hAnsi="Times New Roman"/>
          <w:sz w:val="28"/>
          <w:szCs w:val="28"/>
          <w:highlight w:val="none"/>
        </w:rPr>
        <w:t xml:space="preserve">«Завершить редактирование»</w:t>
      </w:r>
      <w:r>
        <w:rPr>
          <w:rFonts w:ascii="Times New Roman" w:hAnsi="Times New Roman"/>
          <w:sz w:val="28"/>
          <w:szCs w:val="28"/>
          <w:highlight w:val="none"/>
        </w:rPr>
        <w:t xml:space="preserve">) и перейти к настройке жизненного цикла (листа согласования).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При прохождении маршрута жизненного цикла создаются версии листа согласования</w:t>
      </w:r>
      <w:r>
        <w:rPr>
          <w:rFonts w:ascii="Times New Roman" w:hAnsi="Times New Roman"/>
          <w:sz w:val="28"/>
          <w:highlight w:val="none"/>
        </w:rPr>
        <w:t xml:space="preserve">, которые проходят следующие этапы (*обязательно)</w:t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настройка листа согласования (*);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внутриведомственное согласование (*);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независимая антикоррупционная экспертиза (*);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межведомственное согласование (рекомендуется для муниципальных услуг);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клиентоцентричность;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проведение необходимых экспертиз (*);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подписание (*);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правовая и антикоррупционная экспертиза;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государственная регистрация;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публикация;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6"/>
        <w:numPr>
          <w:ilvl w:val="0"/>
          <w:numId w:val="29"/>
        </w:num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вступление в силу (*).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756620"/>
                <wp:effectExtent l="0" t="0" r="0" b="0"/>
                <wp:docPr id="7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62876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6841489" cy="756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538.70pt;height:59.58pt;mso-wrap-distance-left:0.00pt;mso-wrap-distance-top:0.00pt;mso-wrap-distance-right:0.00pt;mso-wrap-distance-bottom:0.00pt;" stroked="false">
                <v:path textboxrect="0,0,0,0"/>
                <v:imagedata r:id="rId8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1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2.5.1. Настройка листа согласования.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На этапе настройки листа согласования добавляются и удаляются этапы согласования, определяются ведомства для этапов жизненного цикла ЦР.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Запуск настроенного листа согласования происходит нажатием на кнопку «Запустить согласование»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В результате согласования версия ЦР может быть одобрена или отклонена.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После получения замечаний версия ЦР отправляется на доработку. После внесения исправлений создаётся новая версия листа согласования и запускается новый процесс согласования.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2.5.2. Внутриведомственное согласование.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На этапе внутриведомственного согласования необходимо добавить не менее двух специалистов, ответственных за согласование ЦР внутри ведомства, в форме «Внутриведомственное согласование».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Настройка структуры согласования и назначение согласующих происходит нажатием на «Настроить структуру согласования» и далее на блок-схеме добавляются ответственные и согласующие, в соответствии со структурой согласования.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После настройки структуры согласования запускается согласование нажатием на «Запустить согласование»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4263125"/>
                <wp:effectExtent l="0" t="0" r="0" b="0"/>
                <wp:docPr id="7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32913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6841489" cy="4263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538.70pt;height:335.68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933579"/>
                <wp:effectExtent l="0" t="0" r="0" b="0"/>
                <wp:docPr id="7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00173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6841489" cy="1933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538.70pt;height:152.25pt;mso-wrap-distance-left:0.00pt;mso-wrap-distance-top:0.00pt;mso-wrap-distance-right:0.00pt;mso-wrap-distance-bottom:0.00pt;" stroked="false">
                <v:path textboxrect="0,0,0,0"/>
                <v:imagedata r:id="rId8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  <w:t xml:space="preserve">После настройки структуры согласования и запуска согласования появляется вкладка </w:t>
      </w:r>
      <w:r>
        <w:rPr>
          <w:rFonts w:ascii="Times New Roman" w:hAnsi="Times New Roman"/>
          <w:sz w:val="28"/>
          <w:highlight w:val="none"/>
        </w:rPr>
        <w:t xml:space="preserve">«Задачи согласования»</w:t>
      </w:r>
      <w:r>
        <w:rPr>
          <w:rFonts w:ascii="Times New Roman" w:hAnsi="Times New Roman"/>
          <w:sz w:val="28"/>
          <w:highlight w:val="none"/>
        </w:rPr>
        <w:t xml:space="preserve">, где ответственному сотруднику  необходимо согласовать проект ЦР либо отказать в его согласовании с указанием причин и прикреплением (при необходимости) дополнительных файлов.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2.5.3. Независимая антикоррупционная экспертиза.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На этапе независимой антикоррупционной экспертизы</w:t>
      </w:r>
      <w:r>
        <w:rPr>
          <w:rFonts w:ascii="Times New Roman" w:hAnsi="Times New Roman"/>
          <w:sz w:val="28"/>
          <w:szCs w:val="28"/>
          <w:highlight w:val="none"/>
        </w:rPr>
        <w:t xml:space="preserve"> необходимо определить ответственного сотрудника, указать даты начала и окончания проведения экспертизы, ссылку на сайт и результат. </w:t>
      </w:r>
      <w:r>
        <w:rPr>
          <w:rFonts w:ascii="Times New Roman" w:hAnsi="Times New Roman"/>
          <w:sz w:val="28"/>
          <w:szCs w:val="28"/>
          <w:highlight w:val="none"/>
        </w:rPr>
        <w:t xml:space="preserve">После заполнения и нажатия кнопки «Сохранить» введенные данные сохраняются, статус согласования меняется на «Согласовано» и ЦР уходит на следующий этап согласования.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708975"/>
                <wp:effectExtent l="0" t="0" r="0" b="0"/>
                <wp:docPr id="7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54140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6841489" cy="2708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538.70pt;height:213.31pt;mso-wrap-distance-left:0.00pt;mso-wrap-distance-top:0.00pt;mso-wrap-distance-right:0.00pt;mso-wrap-distance-bottom:0.00pt;" stroked="false">
                <v:path textboxrect="0,0,0,0"/>
                <v:imagedata r:id="rId88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2.5.4. Межведомственное согласование.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На этапе межведомственного согласования согласование происходит при участии внешних ведомств, имеющих отношение к услуге. </w:t>
      </w:r>
      <w:r>
        <w:rPr>
          <w:rFonts w:ascii="Times New Roman" w:hAnsi="Times New Roman"/>
          <w:sz w:val="28"/>
          <w:szCs w:val="28"/>
          <w:highlight w:val="none"/>
        </w:rPr>
        <w:t xml:space="preserve">ЦР поступает ответственному за распределение специалисту внешнего ведомства, который самостоятельно назначает согласующих исполнителей в своем</w:t>
      </w:r>
      <w:r>
        <w:rPr>
          <w:rFonts w:ascii="Times New Roman" w:hAnsi="Times New Roman"/>
          <w:sz w:val="28"/>
          <w:szCs w:val="28"/>
          <w:highlight w:val="none"/>
        </w:rPr>
        <w:t xml:space="preserve"> ведомстве. Этап межведомственного согласования является необязательным, но рекомендуется для муниципальных услуг с назначением в качестве согласующих </w:t>
      </w:r>
      <w:r>
        <w:rPr>
          <w:rFonts w:ascii="Times New Roman" w:hAnsi="Times New Roman"/>
          <w:sz w:val="28"/>
          <w:szCs w:val="28"/>
          <w:highlight w:val="none"/>
        </w:rPr>
        <w:t xml:space="preserve">Минэкономразвития</w:t>
      </w:r>
      <w:r>
        <w:rPr>
          <w:rFonts w:ascii="Times New Roman" w:hAnsi="Times New Roman"/>
          <w:sz w:val="28"/>
          <w:szCs w:val="28"/>
          <w:highlight w:val="none"/>
        </w:rPr>
        <w:t xml:space="preserve"> Камчатского края и </w:t>
      </w:r>
      <w:r>
        <w:rPr>
          <w:rFonts w:ascii="Times New Roman" w:hAnsi="Times New Roman"/>
          <w:sz w:val="28"/>
          <w:szCs w:val="28"/>
          <w:highlight w:val="none"/>
        </w:rPr>
        <w:t xml:space="preserve">Минцифры </w:t>
      </w:r>
      <w:r>
        <w:rPr>
          <w:rFonts w:ascii="Times New Roman" w:hAnsi="Times New Roman"/>
          <w:sz w:val="28"/>
          <w:szCs w:val="28"/>
          <w:highlight w:val="none"/>
        </w:rPr>
        <w:t xml:space="preserve">Камчатского края.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Проинформируйте Минэкономразвития Камчатского края по раннее указанному адресу электронной почты о направлении проекта ЦР на согласование.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Для каждого ведомства этапа межведомственного согласования настройка структуры согласования происходит аналогично внутриведомственному согласованию.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83658"/>
                <wp:effectExtent l="0" t="0" r="0" b="0"/>
                <wp:docPr id="7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54902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6841489" cy="18836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538.70pt;height:148.32pt;mso-wrap-distance-left:0.00pt;mso-wrap-distance-top:0.00pt;mso-wrap-distance-right:0.00pt;mso-wrap-distance-bottom:0.00pt;" stroked="false">
                <v:path textboxrect="0,0,0,0"/>
                <v:imagedata r:id="rId8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2.5.5. Клиентоцентричность.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На этапе «Клиентоцентричность» можно приложить файл</w:t>
      </w:r>
      <w:r>
        <w:rPr>
          <w:rFonts w:ascii="Times New Roman" w:hAnsi="Times New Roman"/>
          <w:sz w:val="28"/>
          <w:szCs w:val="28"/>
          <w:highlight w:val="none"/>
        </w:rPr>
        <w:t xml:space="preserve">, в котором отражены результаты оценки ЦР.</w:t>
      </w:r>
      <w:r>
        <w:rPr>
          <w:rFonts w:ascii="Times New Roman" w:hAnsi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/>
          <w:sz w:val="28"/>
          <w:szCs w:val="28"/>
          <w:highlight w:val="none"/>
        </w:rPr>
        <w:t xml:space="preserve">Для запуска этапа необходимо выбрать ответственного за этап и нажать «Запустить этап клиентоцентричности»</w:t>
      </w:r>
      <w:r>
        <w:rPr>
          <w:rFonts w:ascii="Times New Roman" w:hAnsi="Times New Roman"/>
          <w:sz w:val="28"/>
          <w:szCs w:val="28"/>
          <w:highlight w:val="none"/>
        </w:rPr>
        <w:t xml:space="preserve">. Завершить этап необходимо с помощью кнопки </w:t>
      </w:r>
      <w:r>
        <w:rPr>
          <w:rFonts w:ascii="Times New Roman" w:hAnsi="Times New Roman"/>
          <w:sz w:val="28"/>
          <w:szCs w:val="28"/>
          <w:highlight w:val="none"/>
        </w:rPr>
        <w:t xml:space="preserve">«Подтвердить завершение»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06496" behindDoc="0" locked="0" layoutInCell="1" allowOverlap="1">
                <wp:simplePos x="0" y="0"/>
                <wp:positionH relativeFrom="column">
                  <wp:posOffset>209068</wp:posOffset>
                </wp:positionH>
                <wp:positionV relativeFrom="paragraph">
                  <wp:posOffset>1356419</wp:posOffset>
                </wp:positionV>
                <wp:extent cx="1371600" cy="142875"/>
                <wp:effectExtent l="6350" t="6350" r="6350" b="6350"/>
                <wp:wrapNone/>
                <wp:docPr id="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371599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76" o:spid="_x0000_s76" o:spt="1" type="#_x0000_t1" style="position:absolute;z-index:106496;o:allowoverlap:true;o:allowincell:true;mso-position-horizontal-relative:text;margin-left:16.46pt;mso-position-horizontal:absolute;mso-position-vertical-relative:text;margin-top:106.80pt;mso-position-vertical:absolute;width:108.00pt;height:11.25pt;mso-wrap-distance-left:9.07pt;mso-wrap-distance-top:0.00pt;mso-wrap-distance-right:9.07pt;mso-wrap-distance-bottom:0.00pt;v-text-anchor:middle;visibility:visible;" fillcolor="#FFFFFF" stroked="f" strokeweight="1.00pt">
                <v:stroke dashstyle="solid"/>
                <v:textbox inset="0,0,0,0">
                  <w:txbxContent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764564"/>
                <wp:effectExtent l="0" t="0" r="0" b="0"/>
                <wp:docPr id="7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57717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6841489" cy="27645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538.70pt;height:217.68pt;mso-wrap-distance-left:0.00pt;mso-wrap-distance-top:0.00pt;mso-wrap-distance-right:0.00pt;mso-wrap-distance-bottom:0.00pt;" stroked="false">
                <v:path textboxrect="0,0,0,0"/>
                <v:imagedata r:id="rId9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2.5.6. Проведение необходимых экспертиз.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Для проведения согласования ЦР требуется проведение необходимых экспертиз. ЦР направляется ответственному за распределение сотруднику ведомства, который самостоятельно назначает согласующих исполнителей в своем ведомстве.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092294"/>
                <wp:effectExtent l="0" t="0" r="0" b="0"/>
                <wp:docPr id="7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75933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6841489" cy="1092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538.70pt;height:86.01pt;mso-wrap-distance-left:0.00pt;mso-wrap-distance-top:0.00pt;mso-wrap-distance-right:0.00pt;mso-wrap-distance-bottom:0.00pt;" stroked="false">
                <v:path textboxrect="0,0,0,0"/>
                <v:imagedata r:id="rId9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Ответственным ведомством за проведение </w:t>
      </w:r>
      <w:r>
        <w:rPr>
          <w:rFonts w:ascii="Times New Roman" w:hAnsi="Times New Roman"/>
          <w:sz w:val="28"/>
          <w:szCs w:val="28"/>
          <w:highlight w:val="none"/>
        </w:rPr>
        <w:t xml:space="preserve">экспертизы на предмет соответствия законодательству о госуслугах</w:t>
      </w:r>
      <w:r>
        <w:rPr>
          <w:rFonts w:ascii="Times New Roman" w:hAnsi="Times New Roman"/>
          <w:sz w:val="28"/>
          <w:szCs w:val="28"/>
          <w:highlight w:val="none"/>
        </w:rPr>
        <w:t xml:space="preserve"> в отношении государственных услуг является Министерство экономического развития Камчатского края, за проведение экспертизы </w:t>
      </w:r>
      <w:r>
        <w:rPr>
          <w:rFonts w:ascii="Times New Roman" w:hAnsi="Times New Roman"/>
          <w:sz w:val="28"/>
          <w:szCs w:val="28"/>
          <w:highlight w:val="none"/>
        </w:rPr>
        <w:t xml:space="preserve">на предмет соответствия требованиям информационной инфраструктуры</w:t>
      </w:r>
      <w:r>
        <w:rPr>
          <w:rFonts w:ascii="Times New Roman" w:hAnsi="Times New Roman"/>
          <w:sz w:val="28"/>
          <w:szCs w:val="28"/>
          <w:highlight w:val="none"/>
        </w:rPr>
        <w:t xml:space="preserve"> – Министерство цифрового развития Камчатского края, при необходимости можно добавить экспертизу прокуратуры.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Проинформируйте Минэкономразвития Камчатского края </w:t>
      </w:r>
      <w:r>
        <w:rPr>
          <w:rFonts w:ascii="Times New Roman" w:hAnsi="Times New Roman"/>
          <w:sz w:val="28"/>
          <w:szCs w:val="28"/>
          <w:highlight w:val="none"/>
        </w:rPr>
        <w:t xml:space="preserve">по раннее указанному адресу электронной почты</w:t>
      </w:r>
      <w:r>
        <w:rPr>
          <w:rFonts w:ascii="Times New Roman" w:hAnsi="Times New Roman"/>
          <w:sz w:val="28"/>
          <w:szCs w:val="28"/>
          <w:highlight w:val="none"/>
        </w:rPr>
        <w:t xml:space="preserve"> о направлении проекта ЦР на экспертизу.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Проведение необходимых экспертиз в отношении муниципальных услуг производится уполномоченным органом местного самоуправления.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Для каждого ведомства этапа проведения необходимых экспертиз настройка структуры согласования происходит аналогично внутриведомственному согласованию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2.5.7. Подписание.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После успешного прохождения всех шагов этапа необходимых экспертиз версия ЦР переходит на этап «Подписание».</w:t>
      </w:r>
      <w:r>
        <w:rPr>
          <w:rFonts w:ascii="Times New Roman" w:hAnsi="Times New Roman"/>
          <w:sz w:val="28"/>
          <w:highlight w:val="none"/>
        </w:rPr>
        <w:t xml:space="preserve"> </w:t>
      </w:r>
      <w:r>
        <w:rPr>
          <w:rFonts w:ascii="Times New Roman" w:hAnsi="Times New Roman"/>
          <w:sz w:val="28"/>
          <w:highlight w:val="none"/>
        </w:rPr>
        <w:t xml:space="preserve">Версия ЦР поступает на утверждение и подписание пользователю, назначенному ответственным за этап.</w:t>
      </w:r>
      <w:r>
        <w:rPr>
          <w:rFonts w:ascii="Times New Roman" w:hAnsi="Times New Roman"/>
          <w:sz w:val="28"/>
          <w:highlight w:val="none"/>
        </w:rPr>
        <w:t xml:space="preserve"> Необходимо указать реквизиты НПА, утверждающего регламент, нажать </w:t>
      </w:r>
      <w:r>
        <w:rPr>
          <w:rFonts w:ascii="Times New Roman" w:hAnsi="Times New Roman"/>
          <w:sz w:val="28"/>
          <w:highlight w:val="none"/>
        </w:rPr>
        <w:t xml:space="preserve">«обновить и сохранить»</w:t>
      </w:r>
      <w:r>
        <w:rPr>
          <w:rFonts w:ascii="Times New Roman" w:hAnsi="Times New Roman"/>
          <w:sz w:val="28"/>
          <w:highlight w:val="none"/>
        </w:rPr>
        <w:t xml:space="preserve">, нажать </w:t>
      </w:r>
      <w:r>
        <w:rPr>
          <w:rFonts w:ascii="Times New Roman" w:hAnsi="Times New Roman"/>
          <w:sz w:val="28"/>
          <w:highlight w:val="none"/>
        </w:rPr>
        <w:t xml:space="preserve">«Подписать»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420745"/>
                <wp:effectExtent l="0" t="0" r="0" b="0"/>
                <wp:docPr id="8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98250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6841489" cy="3420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538.70pt;height:269.35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После утверждения и официального опубликования НПА об утверждении административного регламента рекомендуем информировать</w:t>
      </w:r>
      <w:r>
        <w:rPr>
          <w:rFonts w:ascii="Times New Roman" w:hAnsi="Times New Roman"/>
          <w:sz w:val="28"/>
          <w:szCs w:val="28"/>
          <w:highlight w:val="none"/>
        </w:rPr>
        <w:t xml:space="preserve"> Минэкономразвития Камчатского края о завершении цикла разработки ЦР </w:t>
      </w:r>
      <w:r>
        <w:rPr>
          <w:rFonts w:ascii="Times New Roman" w:hAnsi="Times New Roman"/>
          <w:sz w:val="28"/>
          <w:szCs w:val="28"/>
          <w:highlight w:val="none"/>
        </w:rPr>
        <w:t xml:space="preserve">по раннее указанному адресу электронной почты</w:t>
      </w:r>
      <w:r>
        <w:rPr>
          <w:rFonts w:ascii="Times New Roman" w:hAnsi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2.5.8. Правовая и антикоррупционная экспертиза, Государственная регистрация, Публикация.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Данные этапы являются необязательными и предназначены, как правило, для государственных услуг, предоставляемых федеральными органами исполнительной власти.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772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  <w:t xml:space="preserve">2.5.9. Вступление в силу.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На данном этапе отображается дата вступления в силу опубликованного административного регламента.</w: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312958"/>
                <wp:effectExtent l="0" t="0" r="0" b="0"/>
                <wp:docPr id="8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1976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6841489" cy="1312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538.70pt;height:103.38pt;mso-wrap-distance-left:0.00pt;mso-wrap-distance-top:0.00pt;mso-wrap-distance-right:0.00pt;mso-wrap-distance-bottom:0.00pt;" stroked="false">
                <v:path textboxrect="0,0,0,0"/>
                <v:imagedata r:id="rId93" o:title=""/>
              </v:shape>
            </w:pict>
          </mc:Fallback>
        </mc:AlternateContent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866"/>
        <w:rPr>
          <w:rFonts w:ascii="Times New Roman" w:hAnsi="Times New Roman"/>
          <w:highlight w:val="none"/>
        </w:rPr>
      </w:pPr>
      <w:r>
        <w:rPr>
          <w:rFonts w:ascii="Times New Roman" w:hAnsi="Times New Roman"/>
          <w:b/>
          <w:bCs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highlight w:val="none"/>
        </w:rPr>
        <w:t xml:space="preserve">2.6. Раздел </w:t>
      </w:r>
      <w:r>
        <w:rPr>
          <w:rFonts w:ascii="Times New Roman" w:hAnsi="Times New Roman"/>
          <w:b/>
          <w:bCs/>
          <w:sz w:val="28"/>
        </w:rPr>
        <w:t xml:space="preserve">«Приказы и акты ЦР</w:t>
      </w:r>
      <w:r>
        <w:rPr>
          <w:rFonts w:ascii="Times New Roman" w:hAnsi="Times New Roman"/>
          <w:b/>
          <w:bCs/>
          <w:sz w:val="28"/>
        </w:rPr>
        <w:t xml:space="preserve">»</w:t>
      </w:r>
      <w:r>
        <w:rPr>
          <w:rFonts w:ascii="Times New Roman" w:hAnsi="Times New Roman"/>
          <w:b/>
          <w:bCs/>
          <w:sz w:val="28"/>
          <w:highlight w:val="none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Данный раздел необходим для формирования НПА об утверждении административного регламента. Требуется выбрать тип утверждающего акта (приказ, постановление и др.) 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Тип утверждающего акта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, указать наименование акта 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Наименование утверждающего акта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 Также необходимо указать ведомство, утверждающее административный регламент, фамилию, имя, отчество (последнее – при наличии) и должность лица, подписывающее административный регламент.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2352567"/>
                <wp:effectExtent l="0" t="0" r="0" b="0"/>
                <wp:docPr id="8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66377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6841488" cy="2352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538.70pt;height:185.24pt;mso-wrap-distance-left:0.00pt;mso-wrap-distance-top:0.00pt;mso-wrap-distance-right:0.00pt;mso-wrap-distance-bottom:0.00pt;" stroked="false">
                <v:path textboxrect="0,0,0,0"/>
                <v:imagedata r:id="rId9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  <w:t xml:space="preserve">В случае, если одновременно с разработкой административного регламента предполагается признание утратившим силу действующего административного регламента (и вносимых в него изменений), то необходимо передвинуть 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  <w:highlight w:val="none"/>
        </w:rPr>
        <w:t xml:space="preserve">Имеются ли акты (которыми утв. АР и изменения в него), которые необходимо признать утратившими силу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указать соответствующие НПА. НПА необходимо указывать отдельно друг от друга, нажимая после каждого Enter.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3308422"/>
                <wp:effectExtent l="0" t="0" r="0" b="0"/>
                <wp:docPr id="8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81783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6841488" cy="3308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538.70pt;height:260.51pt;mso-wrap-distance-left:0.00pt;mso-wrap-distance-top:0.00pt;mso-wrap-distance-right:0.00pt;mso-wrap-distance-bottom:0.00pt;" stroked="false">
                <v:path textboxrect="0,0,0,0"/>
                <v:imagedata r:id="rId9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Далее необходимо указать место утверждения административного регламента в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Место утверждения акта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szCs w:val="28"/>
          <w:highlight w:val="none"/>
        </w:rPr>
        <w:t xml:space="preserve"> и </w:t>
      </w:r>
      <w:r>
        <w:rPr>
          <w:rFonts w:ascii="Times New Roman" w:hAnsi="Times New Roman"/>
          <w:sz w:val="28"/>
          <w:highlight w:val="none"/>
        </w:rPr>
        <w:t xml:space="preserve">заполните поле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Содержание преамбулы акта, утверждающего административный регламент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590424"/>
                <wp:effectExtent l="0" t="0" r="0" b="0"/>
                <wp:docPr id="8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80277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6841488" cy="15904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538.70pt;height:125.23pt;mso-wrap-distance-left:0.00pt;mso-wrap-distance-top:0.00pt;mso-wrap-distance-right:0.00pt;mso-wrap-distance-bottom:0.00pt;" stroked="false">
                <v:path textboxrect="0,0,0,0"/>
                <v:imagedata r:id="rId9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В случае, если НПА об утверждении административного регламента вступает в силу не после дня официального опубликования, то необходимо передвинуть 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Предусмотрен ли особый порядок вступления в силу административного регламента?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указать соответствующие сведения (количество дней после дня официального опубликования или конкретную дату).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47647"/>
                <wp:effectExtent l="0" t="0" r="0" b="0"/>
                <wp:docPr id="8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94976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6841488" cy="1847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538.70pt;height:145.48pt;mso-wrap-distance-left:0.00pt;mso-wrap-distance-top:0.00pt;mso-wrap-distance-right:0.00pt;mso-wrap-distance-bottom:0.00pt;" stroked="false">
                <v:path textboxrect="0,0,0,0"/>
                <v:imagedata r:id="rId9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868568"/>
                <wp:effectExtent l="0" t="0" r="0" b="0"/>
                <wp:docPr id="8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86831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6841488" cy="1868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538.70pt;height:147.13pt;mso-wrap-distance-left:0.00pt;mso-wrap-distance-top:0.00pt;mso-wrap-distance-right:0.00pt;mso-wrap-distance-bottom:0.00pt;" stroked="false">
                <v:path textboxrect="0,0,0,0"/>
                <v:imagedata r:id="rId9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highlight w:val="none"/>
        </w:rPr>
        <w:t xml:space="preserve">В случае, если НПА об утверждении административного регламента имеет дополнительные части (помимо утверждения и признания утратившим силу), то необходимо передвинуть переключатель </w:t>
      </w:r>
      <w:r>
        <w:rPr>
          <w:rFonts w:ascii="Times New Roman" w:hAnsi="Times New Roman"/>
          <w:sz w:val="28"/>
        </w:rPr>
        <w:t xml:space="preserve">«</w:t>
      </w:r>
      <w:r>
        <w:rPr>
          <w:rFonts w:ascii="Times New Roman" w:hAnsi="Times New Roman"/>
          <w:sz w:val="28"/>
        </w:rPr>
        <w:t xml:space="preserve">Предусмотрен дополнительный пункт приказной части?</w:t>
      </w:r>
      <w:r>
        <w:rPr>
          <w:rFonts w:ascii="Times New Roman" w:hAnsi="Times New Roman"/>
          <w:sz w:val="28"/>
        </w:rPr>
        <w:t xml:space="preserve">»</w:t>
      </w:r>
      <w:r>
        <w:rPr>
          <w:rFonts w:ascii="Times New Roman" w:hAnsi="Times New Roman"/>
          <w:sz w:val="28"/>
          <w:highlight w:val="none"/>
        </w:rPr>
        <w:t xml:space="preserve"> и заполнить содержание дополнительной части.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1490" cy="1664146"/>
                <wp:effectExtent l="0" t="0" r="0" b="0"/>
                <wp:docPr id="8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56136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6841488" cy="1664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538.70pt;height:131.04pt;mso-wrap-distance-left:0.00pt;mso-wrap-distance-top:0.00pt;mso-wrap-distance-right:0.00pt;mso-wrap-distance-bottom:0.00pt;" stroked="false">
                <v:path textboxrect="0,0,0,0"/>
                <v:imagedata r:id="rId9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both"/>
        <w:spacing w:line="240" w:lineRule="auto"/>
      </w:pPr>
      <w:r>
        <w:rPr>
          <w:rFonts w:ascii="Times New Roman" w:hAnsi="Times New Roman"/>
          <w:sz w:val="28"/>
          <w:szCs w:val="28"/>
          <w:highlight w:val="none"/>
        </w:rPr>
        <w:t xml:space="preserve">В результате заполнения данного блока в печатной версии АР сформируется НПА об утверждении административного регламента.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jc w:val="center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62604" cy="3929522"/>
                <wp:effectExtent l="0" t="0" r="0" b="0"/>
                <wp:docPr id="8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58828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 flipH="0" flipV="0">
                          <a:off x="0" y="0"/>
                          <a:ext cx="2862603" cy="39295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225.40pt;height:309.41pt;mso-wrap-distance-left:0.00pt;mso-wrap-distance-top:0.00pt;mso-wrap-distance-right:0.00pt;mso-wrap-distance-bottom:0.00pt;" stroked="false">
                <v:path textboxrect="0,0,0,0"/>
                <v:imagedata r:id="rId100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74813" cy="3916894"/>
                <wp:effectExtent l="0" t="0" r="0" b="0"/>
                <wp:docPr id="8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70106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1"/>
                        <a:stretch/>
                      </pic:blipFill>
                      <pic:spPr bwMode="auto">
                        <a:xfrm flipH="0" flipV="0">
                          <a:off x="0" y="0"/>
                          <a:ext cx="3174813" cy="39168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249.99pt;height:308.42pt;mso-wrap-distance-left:0.00pt;mso-wrap-distance-top:0.00pt;mso-wrap-distance-right:0.00pt;mso-wrap-distance-bottom:0.00pt;" stroked="false">
                <v:path textboxrect="0,0,0,0"/>
                <v:imagedata r:id="rId10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sectPr>
      <w:headerReference w:type="default" r:id="rId9"/>
      <w:headerReference w:type="first" r:id="rId10"/>
      <w:footerReference w:type="first" r:id="rId11"/>
      <w:footnotePr/>
      <w:endnotePr/>
      <w:type w:val="nextPage"/>
      <w:pgSz w:w="11908" w:h="16848" w:orient="portrait"/>
      <w:pgMar w:top="567" w:right="567" w:bottom="567" w:left="567" w:header="709" w:footer="709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XO Thames">
    <w:panose1 w:val="05040102010807070707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framePr w:wrap="around" w:vAnchor="text" w:hAnchor="margin" w:xAlign="center" w:y="1"/>
    </w:pPr>
    <w:r>
      <w:fldChar w:fldCharType="begin"/>
    </w:r>
    <w:r>
      <w:instrText xml:space="preserve">PAGE \* Arabic</w:instrText>
    </w:r>
    <w:r>
      <w:fldChar w:fldCharType="separate"/>
    </w:r>
    <w:r>
      <w:fldChar w:fldCharType="end"/>
    </w:r>
    <w:r/>
  </w:p>
  <w:p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)"/>
      <w:lvlJc w:val="left"/>
      <w:pPr>
        <w:ind w:left="1069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429" w:hanging="360"/>
      </w:pPr>
    </w:lvl>
    <w:lvl w:ilvl="3">
      <w:start w:val="1"/>
      <w:numFmt w:val="decimal"/>
      <w:isLgl w:val="false"/>
      <w:suff w:val="tab"/>
      <w:lvlText w:val="%4)"/>
      <w:lvlJc w:val="left"/>
      <w:pPr>
        <w:ind w:left="1789" w:hanging="360"/>
      </w:pPr>
    </w:lvl>
    <w:lvl w:ilvl="4">
      <w:start w:val="1"/>
      <w:numFmt w:val="lowerLetter"/>
      <w:isLgl w:val="false"/>
      <w:suff w:val="tab"/>
      <w:lvlText w:val="%5)"/>
      <w:lvlJc w:val="left"/>
      <w:pPr>
        <w:ind w:left="2149" w:hanging="360"/>
      </w:pPr>
    </w:lvl>
    <w:lvl w:ilvl="5">
      <w:start w:val="1"/>
      <w:numFmt w:val="lowerRoman"/>
      <w:isLgl w:val="false"/>
      <w:suff w:val="tab"/>
      <w:lvlText w:val="%6)"/>
      <w:lvlJc w:val="left"/>
      <w:pPr>
        <w:ind w:left="2509" w:hanging="360"/>
      </w:pPr>
    </w:lvl>
    <w:lvl w:ilvl="6">
      <w:start w:val="1"/>
      <w:numFmt w:val="decimal"/>
      <w:isLgl w:val="false"/>
      <w:suff w:val="tab"/>
      <w:lvlText w:val="%7)"/>
      <w:lvlJc w:val="left"/>
      <w:pPr>
        <w:ind w:left="2869" w:hanging="360"/>
      </w:pPr>
    </w:lvl>
    <w:lvl w:ilvl="7">
      <w:start w:val="1"/>
      <w:numFmt w:val="lowerLetter"/>
      <w:isLgl w:val="false"/>
      <w:suff w:val="tab"/>
      <w:lvlText w:val="%8)"/>
      <w:lvlJc w:val="left"/>
      <w:pPr>
        <w:ind w:left="3229" w:hanging="360"/>
      </w:pPr>
    </w:lvl>
    <w:lvl w:ilvl="8">
      <w:start w:val="1"/>
      <w:numFmt w:val="lowerRoman"/>
      <w:isLgl w:val="false"/>
      <w:suff w:val="tab"/>
      <w:lvlText w:val="%9)"/>
      <w:lvlJc w:val="left"/>
      <w:pPr>
        <w:ind w:left="3589" w:hanging="36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decimal"/>
      <w:isLgl w:val="false"/>
      <w:suff w:val="tab"/>
      <w:lvlText w:val="%2."/>
      <w:lvlJc w:val="righ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069" w:hanging="360"/>
      </w:pPr>
      <w:rPr>
        <w:rFonts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069" w:hanging="360"/>
      </w:pPr>
      <w:rPr>
        <w:rFonts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50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22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66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8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829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069" w:hanging="360"/>
      </w:pPr>
      <w:rPr>
        <w:rFonts w:ascii="Arial" w:hAnsi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eastAsia="Times New Roman" w:cs="Times New Roman" w:asciiTheme="minorAscii" w:hAnsiTheme="minorHAnsi"/>
        <w:color w:val="000000"/>
        <w:sz w:val="22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5">
    <w:name w:val="footnote text"/>
    <w:basedOn w:val="758"/>
    <w:link w:val="756"/>
    <w:uiPriority w:val="99"/>
    <w:semiHidden/>
    <w:unhideWhenUsed/>
    <w:pPr>
      <w:spacing w:after="40" w:line="240" w:lineRule="auto"/>
    </w:pPr>
    <w:rPr>
      <w:sz w:val="18"/>
    </w:rPr>
  </w:style>
  <w:style w:type="character" w:styleId="756">
    <w:name w:val="Footnote Text Char"/>
    <w:link w:val="755"/>
    <w:uiPriority w:val="99"/>
    <w:rPr>
      <w:sz w:val="18"/>
    </w:rPr>
  </w:style>
  <w:style w:type="paragraph" w:styleId="757" w:default="1">
    <w:name w:val="Normal"/>
    <w:link w:val="758"/>
    <w:uiPriority w:val="0"/>
    <w:qFormat/>
  </w:style>
  <w:style w:type="character" w:styleId="758" w:default="1">
    <w:name w:val="Normal"/>
    <w:link w:val="757"/>
  </w:style>
  <w:style w:type="paragraph" w:styleId="759">
    <w:name w:val="toc 2"/>
    <w:basedOn w:val="757"/>
    <w:next w:val="757"/>
    <w:link w:val="760"/>
    <w:uiPriority w:val="39"/>
    <w:pPr>
      <w:ind w:left="283" w:right="0" w:firstLine="0"/>
      <w:spacing w:after="57"/>
    </w:pPr>
  </w:style>
  <w:style w:type="character" w:styleId="760">
    <w:name w:val="toc 2"/>
    <w:basedOn w:val="758"/>
    <w:link w:val="759"/>
  </w:style>
  <w:style w:type="paragraph" w:styleId="761">
    <w:name w:val="toc 4"/>
    <w:basedOn w:val="757"/>
    <w:next w:val="757"/>
    <w:link w:val="762"/>
    <w:uiPriority w:val="39"/>
    <w:pPr>
      <w:ind w:left="850" w:right="0" w:firstLine="0"/>
      <w:spacing w:after="57"/>
    </w:pPr>
  </w:style>
  <w:style w:type="character" w:styleId="762">
    <w:name w:val="toc 4"/>
    <w:basedOn w:val="758"/>
    <w:link w:val="761"/>
  </w:style>
  <w:style w:type="paragraph" w:styleId="763">
    <w:name w:val="Heading 7"/>
    <w:basedOn w:val="757"/>
    <w:next w:val="757"/>
    <w:link w:val="764"/>
    <w:uiPriority w:val="9"/>
    <w:qFormat/>
    <w:pPr>
      <w:keepLines/>
      <w:keepNext/>
      <w:spacing w:before="320" w:after="200"/>
      <w:outlineLvl w:val="6"/>
    </w:pPr>
    <w:rPr>
      <w:rFonts w:ascii="Arial" w:hAnsi="Arial"/>
      <w:b/>
      <w:i/>
      <w:sz w:val="22"/>
    </w:rPr>
  </w:style>
  <w:style w:type="character" w:styleId="764">
    <w:name w:val="Heading 7"/>
    <w:basedOn w:val="758"/>
    <w:link w:val="763"/>
    <w:rPr>
      <w:rFonts w:ascii="Arial" w:hAnsi="Arial"/>
      <w:b/>
      <w:i/>
      <w:sz w:val="22"/>
    </w:rPr>
  </w:style>
  <w:style w:type="paragraph" w:styleId="765">
    <w:name w:val="toc 6"/>
    <w:basedOn w:val="757"/>
    <w:next w:val="757"/>
    <w:link w:val="766"/>
    <w:uiPriority w:val="39"/>
    <w:pPr>
      <w:ind w:left="1417" w:right="0" w:firstLine="0"/>
      <w:spacing w:after="57"/>
    </w:pPr>
  </w:style>
  <w:style w:type="character" w:styleId="766">
    <w:name w:val="toc 6"/>
    <w:basedOn w:val="758"/>
    <w:link w:val="765"/>
  </w:style>
  <w:style w:type="paragraph" w:styleId="767">
    <w:name w:val="toc 7"/>
    <w:basedOn w:val="757"/>
    <w:next w:val="757"/>
    <w:link w:val="768"/>
    <w:uiPriority w:val="39"/>
    <w:pPr>
      <w:ind w:left="1701" w:right="0" w:firstLine="0"/>
      <w:spacing w:after="57"/>
    </w:pPr>
  </w:style>
  <w:style w:type="character" w:styleId="768">
    <w:name w:val="toc 7"/>
    <w:basedOn w:val="758"/>
    <w:link w:val="767"/>
  </w:style>
  <w:style w:type="paragraph" w:styleId="769">
    <w:name w:val="Heading 3 Char"/>
    <w:basedOn w:val="845"/>
    <w:link w:val="770"/>
    <w:rPr>
      <w:rFonts w:ascii="Arial" w:hAnsi="Arial"/>
      <w:sz w:val="30"/>
    </w:rPr>
  </w:style>
  <w:style w:type="character" w:styleId="770">
    <w:name w:val="Heading 3 Char"/>
    <w:basedOn w:val="846"/>
    <w:link w:val="769"/>
    <w:rPr>
      <w:rFonts w:ascii="Arial" w:hAnsi="Arial"/>
      <w:sz w:val="30"/>
    </w:rPr>
  </w:style>
  <w:style w:type="paragraph" w:styleId="771">
    <w:name w:val="Heading 3"/>
    <w:basedOn w:val="757"/>
    <w:next w:val="757"/>
    <w:link w:val="772"/>
    <w:uiPriority w:val="9"/>
    <w:qFormat/>
    <w:pPr>
      <w:keepLines/>
      <w:keepNext/>
      <w:spacing w:before="320" w:after="200"/>
      <w:outlineLvl w:val="2"/>
    </w:pPr>
    <w:rPr>
      <w:rFonts w:ascii="Arial" w:hAnsi="Arial"/>
      <w:sz w:val="30"/>
    </w:rPr>
  </w:style>
  <w:style w:type="character" w:styleId="772">
    <w:name w:val="Heading 3"/>
    <w:basedOn w:val="758"/>
    <w:link w:val="771"/>
    <w:rPr>
      <w:rFonts w:ascii="Arial" w:hAnsi="Arial"/>
      <w:sz w:val="30"/>
    </w:rPr>
  </w:style>
  <w:style w:type="paragraph" w:styleId="773">
    <w:name w:val="Quote Char"/>
    <w:link w:val="774"/>
    <w:rPr>
      <w:i/>
    </w:rPr>
  </w:style>
  <w:style w:type="character" w:styleId="774">
    <w:name w:val="Quote Char"/>
    <w:link w:val="773"/>
    <w:rPr>
      <w:i/>
    </w:rPr>
  </w:style>
  <w:style w:type="paragraph" w:styleId="775">
    <w:name w:val="List Paragraph"/>
    <w:basedOn w:val="757"/>
    <w:link w:val="776"/>
    <w:pPr>
      <w:contextualSpacing/>
      <w:ind w:left="720" w:firstLine="0"/>
    </w:pPr>
  </w:style>
  <w:style w:type="character" w:styleId="776">
    <w:name w:val="List Paragraph"/>
    <w:basedOn w:val="758"/>
    <w:link w:val="775"/>
  </w:style>
  <w:style w:type="paragraph" w:styleId="777">
    <w:name w:val="Caption Char"/>
    <w:basedOn w:val="781"/>
    <w:link w:val="778"/>
  </w:style>
  <w:style w:type="character" w:styleId="778">
    <w:name w:val="Caption Char"/>
    <w:basedOn w:val="782"/>
    <w:link w:val="777"/>
  </w:style>
  <w:style w:type="paragraph" w:styleId="779">
    <w:name w:val="Heading 9"/>
    <w:basedOn w:val="757"/>
    <w:next w:val="757"/>
    <w:link w:val="780"/>
    <w:uiPriority w:val="9"/>
    <w:qFormat/>
    <w:pPr>
      <w:keepLines/>
      <w:keepNext/>
      <w:spacing w:before="320" w:after="200"/>
      <w:outlineLvl w:val="8"/>
    </w:pPr>
    <w:rPr>
      <w:rFonts w:ascii="Arial" w:hAnsi="Arial"/>
      <w:i/>
      <w:sz w:val="21"/>
    </w:rPr>
  </w:style>
  <w:style w:type="character" w:styleId="780">
    <w:name w:val="Heading 9"/>
    <w:basedOn w:val="758"/>
    <w:link w:val="779"/>
    <w:rPr>
      <w:rFonts w:ascii="Arial" w:hAnsi="Arial"/>
      <w:i/>
      <w:sz w:val="21"/>
    </w:rPr>
  </w:style>
  <w:style w:type="paragraph" w:styleId="781">
    <w:name w:val="Caption"/>
    <w:basedOn w:val="757"/>
    <w:next w:val="757"/>
    <w:link w:val="782"/>
    <w:pPr>
      <w:spacing w:line="276" w:lineRule="auto"/>
    </w:pPr>
    <w:rPr>
      <w:b/>
      <w:color w:val="5b9bd5" w:themeColor="accent1"/>
      <w:sz w:val="18"/>
    </w:rPr>
  </w:style>
  <w:style w:type="character" w:styleId="782">
    <w:name w:val="Caption"/>
    <w:basedOn w:val="758"/>
    <w:link w:val="781"/>
    <w:rPr>
      <w:b/>
      <w:color w:val="5b9bd5" w:themeColor="accent1"/>
      <w:sz w:val="18"/>
    </w:rPr>
  </w:style>
  <w:style w:type="paragraph" w:styleId="783">
    <w:name w:val="Heading 4 Char"/>
    <w:basedOn w:val="845"/>
    <w:link w:val="784"/>
    <w:rPr>
      <w:rFonts w:ascii="Arial" w:hAnsi="Arial"/>
      <w:b/>
      <w:sz w:val="26"/>
    </w:rPr>
  </w:style>
  <w:style w:type="character" w:styleId="784">
    <w:name w:val="Heading 4 Char"/>
    <w:basedOn w:val="846"/>
    <w:link w:val="783"/>
    <w:rPr>
      <w:rFonts w:ascii="Arial" w:hAnsi="Arial"/>
      <w:b/>
      <w:sz w:val="26"/>
    </w:rPr>
  </w:style>
  <w:style w:type="paragraph" w:styleId="785">
    <w:name w:val="Title Char"/>
    <w:basedOn w:val="845"/>
    <w:link w:val="786"/>
    <w:rPr>
      <w:sz w:val="48"/>
    </w:rPr>
  </w:style>
  <w:style w:type="character" w:styleId="786">
    <w:name w:val="Title Char"/>
    <w:basedOn w:val="846"/>
    <w:link w:val="785"/>
    <w:rPr>
      <w:sz w:val="48"/>
    </w:rPr>
  </w:style>
  <w:style w:type="paragraph" w:styleId="787">
    <w:name w:val="toc 3"/>
    <w:basedOn w:val="757"/>
    <w:next w:val="757"/>
    <w:link w:val="788"/>
    <w:uiPriority w:val="39"/>
    <w:pPr>
      <w:ind w:left="567" w:right="0" w:firstLine="0"/>
      <w:spacing w:after="57"/>
    </w:pPr>
  </w:style>
  <w:style w:type="character" w:styleId="788">
    <w:name w:val="toc 3"/>
    <w:basedOn w:val="758"/>
    <w:link w:val="787"/>
  </w:style>
  <w:style w:type="paragraph" w:styleId="789">
    <w:name w:val="Heading 9 Char"/>
    <w:basedOn w:val="845"/>
    <w:link w:val="790"/>
    <w:rPr>
      <w:rFonts w:ascii="Arial" w:hAnsi="Arial"/>
      <w:i/>
      <w:sz w:val="21"/>
    </w:rPr>
  </w:style>
  <w:style w:type="character" w:styleId="790">
    <w:name w:val="Heading 9 Char"/>
    <w:basedOn w:val="846"/>
    <w:link w:val="789"/>
    <w:rPr>
      <w:rFonts w:ascii="Arial" w:hAnsi="Arial"/>
      <w:i/>
      <w:sz w:val="21"/>
    </w:rPr>
  </w:style>
  <w:style w:type="paragraph" w:styleId="791">
    <w:name w:val="Intense Quote Char"/>
    <w:link w:val="792"/>
    <w:rPr>
      <w:i/>
    </w:rPr>
  </w:style>
  <w:style w:type="character" w:styleId="792">
    <w:name w:val="Intense Quote Char"/>
    <w:link w:val="791"/>
    <w:rPr>
      <w:i/>
    </w:rPr>
  </w:style>
  <w:style w:type="paragraph" w:styleId="793">
    <w:name w:val="Scroll List Bullet"/>
    <w:link w:val="794"/>
    <w:pPr>
      <w:numPr>
        <w:ilvl w:val="0"/>
        <w:numId w:val="0"/>
      </w:numPr>
      <w:contextualSpacing w:val="0"/>
      <w:ind w:left="1080" w:right="0" w:hanging="360"/>
      <w:jc w:val="left"/>
      <w:keepLines w:val="0"/>
      <w:keepNext w:val="0"/>
      <w:pageBreakBefore w:val="0"/>
      <w:spacing w:before="0" w:after="0" w:line="360" w:lineRule="auto"/>
      <w:widowControl/>
    </w:pPr>
    <w:rPr>
      <w:rFonts w:ascii="Times New Roman" w:hAnsi="Times New Roman"/>
      <w:color w:val="000000"/>
      <w:spacing w:val="0"/>
      <w:sz w:val="24"/>
      <w:u w:val="single"/>
    </w:rPr>
  </w:style>
  <w:style w:type="character" w:styleId="794">
    <w:name w:val="Scroll List Bullet"/>
    <w:link w:val="793"/>
    <w:rPr>
      <w:rFonts w:ascii="Times New Roman" w:hAnsi="Times New Roman"/>
      <w:color w:val="000000"/>
      <w:spacing w:val="0"/>
      <w:sz w:val="24"/>
      <w:u w:val="single"/>
    </w:rPr>
  </w:style>
  <w:style w:type="paragraph" w:styleId="795">
    <w:name w:val="Heading 5 Char"/>
    <w:basedOn w:val="845"/>
    <w:link w:val="796"/>
    <w:rPr>
      <w:rFonts w:ascii="Arial" w:hAnsi="Arial"/>
      <w:b/>
      <w:sz w:val="24"/>
    </w:rPr>
  </w:style>
  <w:style w:type="character" w:styleId="796">
    <w:name w:val="Heading 5 Char"/>
    <w:basedOn w:val="846"/>
    <w:link w:val="795"/>
    <w:rPr>
      <w:rFonts w:ascii="Arial" w:hAnsi="Arial"/>
      <w:b/>
      <w:sz w:val="24"/>
    </w:rPr>
  </w:style>
  <w:style w:type="paragraph" w:styleId="797">
    <w:name w:val="Footnote"/>
    <w:basedOn w:val="757"/>
    <w:link w:val="798"/>
    <w:pPr>
      <w:spacing w:after="40" w:line="240" w:lineRule="auto"/>
    </w:pPr>
    <w:rPr>
      <w:sz w:val="18"/>
    </w:rPr>
  </w:style>
  <w:style w:type="character" w:styleId="798">
    <w:name w:val="Footnote"/>
    <w:basedOn w:val="758"/>
    <w:link w:val="797"/>
    <w:rPr>
      <w:sz w:val="18"/>
    </w:rPr>
  </w:style>
  <w:style w:type="paragraph" w:styleId="799">
    <w:name w:val="footnote reference"/>
    <w:link w:val="800"/>
    <w:rPr>
      <w:vertAlign w:val="superscript"/>
    </w:rPr>
  </w:style>
  <w:style w:type="character" w:styleId="800">
    <w:name w:val="footnote reference"/>
    <w:link w:val="799"/>
    <w:rPr>
      <w:vertAlign w:val="superscript"/>
    </w:rPr>
  </w:style>
  <w:style w:type="paragraph" w:styleId="801">
    <w:name w:val="endnote reference"/>
    <w:link w:val="802"/>
    <w:rPr>
      <w:vertAlign w:val="superscript"/>
    </w:rPr>
  </w:style>
  <w:style w:type="character" w:styleId="802">
    <w:name w:val="endnote reference"/>
    <w:link w:val="801"/>
    <w:rPr>
      <w:vertAlign w:val="superscript"/>
    </w:rPr>
  </w:style>
  <w:style w:type="paragraph" w:styleId="803">
    <w:name w:val="Heading 8 Char"/>
    <w:basedOn w:val="845"/>
    <w:link w:val="804"/>
    <w:rPr>
      <w:rFonts w:ascii="Arial" w:hAnsi="Arial"/>
      <w:i/>
      <w:sz w:val="22"/>
    </w:rPr>
  </w:style>
  <w:style w:type="character" w:styleId="804">
    <w:name w:val="Heading 8 Char"/>
    <w:basedOn w:val="846"/>
    <w:link w:val="803"/>
    <w:rPr>
      <w:rFonts w:ascii="Arial" w:hAnsi="Arial"/>
      <w:i/>
      <w:sz w:val="22"/>
    </w:rPr>
  </w:style>
  <w:style w:type="paragraph" w:styleId="805">
    <w:name w:val="Heading 5"/>
    <w:basedOn w:val="757"/>
    <w:next w:val="757"/>
    <w:link w:val="806"/>
    <w:uiPriority w:val="9"/>
    <w:qFormat/>
    <w:pPr>
      <w:keepLines/>
      <w:keepNext/>
      <w:spacing w:before="320" w:after="200"/>
      <w:outlineLvl w:val="4"/>
    </w:pPr>
    <w:rPr>
      <w:rFonts w:ascii="Arial" w:hAnsi="Arial"/>
      <w:b/>
      <w:sz w:val="24"/>
    </w:rPr>
  </w:style>
  <w:style w:type="character" w:styleId="806">
    <w:name w:val="Heading 5"/>
    <w:basedOn w:val="758"/>
    <w:link w:val="805"/>
    <w:rPr>
      <w:rFonts w:ascii="Arial" w:hAnsi="Arial"/>
      <w:b/>
      <w:sz w:val="24"/>
    </w:rPr>
  </w:style>
  <w:style w:type="paragraph" w:styleId="807">
    <w:name w:val="endnote text"/>
    <w:basedOn w:val="757"/>
    <w:link w:val="808"/>
    <w:pPr>
      <w:spacing w:after="0" w:line="240" w:lineRule="auto"/>
    </w:pPr>
    <w:rPr>
      <w:sz w:val="20"/>
    </w:rPr>
  </w:style>
  <w:style w:type="character" w:styleId="808">
    <w:name w:val="endnote text"/>
    <w:basedOn w:val="758"/>
    <w:link w:val="807"/>
    <w:rPr>
      <w:sz w:val="20"/>
    </w:rPr>
  </w:style>
  <w:style w:type="paragraph" w:styleId="809">
    <w:name w:val="Heading 1"/>
    <w:basedOn w:val="757"/>
    <w:next w:val="757"/>
    <w:link w:val="810"/>
    <w:uiPriority w:val="9"/>
    <w:qFormat/>
    <w:pPr>
      <w:keepLines/>
      <w:keepNext/>
      <w:spacing w:before="480" w:after="200"/>
      <w:outlineLvl w:val="0"/>
    </w:pPr>
    <w:rPr>
      <w:rFonts w:ascii="Arial" w:hAnsi="Arial"/>
      <w:sz w:val="40"/>
    </w:rPr>
  </w:style>
  <w:style w:type="character" w:styleId="810">
    <w:name w:val="Heading 1"/>
    <w:basedOn w:val="758"/>
    <w:link w:val="809"/>
    <w:rPr>
      <w:rFonts w:ascii="Arial" w:hAnsi="Arial"/>
      <w:sz w:val="40"/>
    </w:rPr>
  </w:style>
  <w:style w:type="paragraph" w:styleId="811">
    <w:name w:val="TOC Heading"/>
    <w:link w:val="812"/>
  </w:style>
  <w:style w:type="character" w:styleId="812">
    <w:name w:val="TOC Heading"/>
    <w:link w:val="811"/>
  </w:style>
  <w:style w:type="paragraph" w:styleId="813">
    <w:name w:val="Quote"/>
    <w:basedOn w:val="757"/>
    <w:next w:val="757"/>
    <w:link w:val="814"/>
    <w:pPr>
      <w:ind w:left="720" w:right="720" w:firstLine="0"/>
    </w:pPr>
    <w:rPr>
      <w:i/>
    </w:rPr>
  </w:style>
  <w:style w:type="character" w:styleId="814">
    <w:name w:val="Quote"/>
    <w:basedOn w:val="758"/>
    <w:link w:val="813"/>
    <w:rPr>
      <w:i/>
    </w:rPr>
  </w:style>
  <w:style w:type="paragraph" w:styleId="815">
    <w:name w:val="Subtitle Char"/>
    <w:basedOn w:val="845"/>
    <w:link w:val="816"/>
    <w:rPr>
      <w:sz w:val="24"/>
    </w:rPr>
  </w:style>
  <w:style w:type="character" w:styleId="816">
    <w:name w:val="Subtitle Char"/>
    <w:basedOn w:val="846"/>
    <w:link w:val="815"/>
    <w:rPr>
      <w:sz w:val="24"/>
    </w:rPr>
  </w:style>
  <w:style w:type="paragraph" w:styleId="817">
    <w:name w:val="Hyperlink"/>
    <w:link w:val="818"/>
    <w:rPr>
      <w:color w:val="0563c1" w:themeColor="hyperlink"/>
      <w:u w:val="single"/>
    </w:rPr>
  </w:style>
  <w:style w:type="character" w:styleId="818">
    <w:name w:val="Hyperlink"/>
    <w:link w:val="817"/>
    <w:rPr>
      <w:color w:val="0563c1" w:themeColor="hyperlink"/>
      <w:u w:val="single"/>
    </w:rPr>
  </w:style>
  <w:style w:type="paragraph" w:styleId="819">
    <w:name w:val="Footnote"/>
    <w:basedOn w:val="757"/>
    <w:link w:val="820"/>
    <w:pPr>
      <w:spacing w:after="40" w:line="240" w:lineRule="auto"/>
    </w:pPr>
    <w:rPr>
      <w:sz w:val="18"/>
    </w:rPr>
  </w:style>
  <w:style w:type="character" w:styleId="820">
    <w:name w:val="Footnote"/>
    <w:basedOn w:val="758"/>
    <w:link w:val="819"/>
    <w:rPr>
      <w:sz w:val="18"/>
    </w:rPr>
  </w:style>
  <w:style w:type="paragraph" w:styleId="821">
    <w:name w:val="Heading 8"/>
    <w:basedOn w:val="757"/>
    <w:next w:val="757"/>
    <w:link w:val="822"/>
    <w:uiPriority w:val="9"/>
    <w:qFormat/>
    <w:pPr>
      <w:keepLines/>
      <w:keepNext/>
      <w:spacing w:before="320" w:after="200"/>
      <w:outlineLvl w:val="7"/>
    </w:pPr>
    <w:rPr>
      <w:rFonts w:ascii="Arial" w:hAnsi="Arial"/>
      <w:i/>
      <w:sz w:val="22"/>
    </w:rPr>
  </w:style>
  <w:style w:type="character" w:styleId="822">
    <w:name w:val="Heading 8"/>
    <w:basedOn w:val="758"/>
    <w:link w:val="821"/>
    <w:rPr>
      <w:rFonts w:ascii="Arial" w:hAnsi="Arial"/>
      <w:i/>
      <w:sz w:val="22"/>
    </w:rPr>
  </w:style>
  <w:style w:type="paragraph" w:styleId="823">
    <w:name w:val="Footer"/>
    <w:basedOn w:val="757"/>
    <w:link w:val="824"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24">
    <w:name w:val="Footer"/>
    <w:basedOn w:val="758"/>
    <w:link w:val="823"/>
  </w:style>
  <w:style w:type="paragraph" w:styleId="825">
    <w:name w:val="toc 1"/>
    <w:basedOn w:val="757"/>
    <w:next w:val="757"/>
    <w:link w:val="826"/>
    <w:uiPriority w:val="39"/>
    <w:pPr>
      <w:ind w:left="0" w:right="0" w:firstLine="0"/>
      <w:spacing w:after="57"/>
    </w:pPr>
  </w:style>
  <w:style w:type="character" w:styleId="826">
    <w:name w:val="toc 1"/>
    <w:basedOn w:val="758"/>
    <w:link w:val="825"/>
  </w:style>
  <w:style w:type="paragraph" w:styleId="827">
    <w:name w:val="Header and Footer"/>
    <w:link w:val="828"/>
    <w:pPr>
      <w:jc w:val="both"/>
      <w:spacing w:line="240" w:lineRule="auto"/>
    </w:pPr>
    <w:rPr>
      <w:rFonts w:ascii="XO Thames" w:hAnsi="XO Thames"/>
      <w:sz w:val="20"/>
    </w:rPr>
  </w:style>
  <w:style w:type="character" w:styleId="828">
    <w:name w:val="Header and Footer"/>
    <w:link w:val="827"/>
    <w:rPr>
      <w:rFonts w:ascii="XO Thames" w:hAnsi="XO Thames"/>
      <w:sz w:val="20"/>
    </w:rPr>
  </w:style>
  <w:style w:type="paragraph" w:styleId="829">
    <w:name w:val="Heading 1 Char"/>
    <w:basedOn w:val="845"/>
    <w:link w:val="830"/>
    <w:rPr>
      <w:rFonts w:ascii="Arial" w:hAnsi="Arial"/>
      <w:sz w:val="40"/>
    </w:rPr>
  </w:style>
  <w:style w:type="character" w:styleId="830">
    <w:name w:val="Heading 1 Char"/>
    <w:basedOn w:val="846"/>
    <w:link w:val="829"/>
    <w:rPr>
      <w:rFonts w:ascii="Arial" w:hAnsi="Arial"/>
      <w:sz w:val="40"/>
    </w:rPr>
  </w:style>
  <w:style w:type="paragraph" w:styleId="831">
    <w:name w:val="toc 9"/>
    <w:basedOn w:val="757"/>
    <w:next w:val="757"/>
    <w:link w:val="832"/>
    <w:uiPriority w:val="39"/>
    <w:pPr>
      <w:ind w:left="2268" w:right="0" w:firstLine="0"/>
      <w:spacing w:after="57"/>
    </w:pPr>
  </w:style>
  <w:style w:type="character" w:styleId="832">
    <w:name w:val="toc 9"/>
    <w:basedOn w:val="758"/>
    <w:link w:val="831"/>
  </w:style>
  <w:style w:type="paragraph" w:styleId="833">
    <w:name w:val="Heading 2 Char"/>
    <w:basedOn w:val="845"/>
    <w:link w:val="834"/>
    <w:rPr>
      <w:rFonts w:ascii="Arial" w:hAnsi="Arial"/>
      <w:sz w:val="34"/>
    </w:rPr>
  </w:style>
  <w:style w:type="character" w:styleId="834">
    <w:name w:val="Heading 2 Char"/>
    <w:basedOn w:val="846"/>
    <w:link w:val="833"/>
    <w:rPr>
      <w:rFonts w:ascii="Arial" w:hAnsi="Arial"/>
      <w:sz w:val="34"/>
    </w:rPr>
  </w:style>
  <w:style w:type="paragraph" w:styleId="835">
    <w:name w:val="Endnote Text Char"/>
    <w:link w:val="836"/>
    <w:rPr>
      <w:sz w:val="20"/>
    </w:rPr>
  </w:style>
  <w:style w:type="character" w:styleId="836">
    <w:name w:val="Endnote Text Char"/>
    <w:link w:val="835"/>
    <w:rPr>
      <w:sz w:val="20"/>
    </w:rPr>
  </w:style>
  <w:style w:type="paragraph" w:styleId="837">
    <w:name w:val="No Spacing"/>
    <w:basedOn w:val="757"/>
    <w:link w:val="838"/>
    <w:pPr>
      <w:spacing w:after="0" w:line="240" w:lineRule="auto"/>
    </w:pPr>
  </w:style>
  <w:style w:type="character" w:styleId="838">
    <w:name w:val="No Spacing"/>
    <w:basedOn w:val="758"/>
    <w:link w:val="837"/>
  </w:style>
  <w:style w:type="paragraph" w:styleId="839">
    <w:name w:val="Heading 6 Char"/>
    <w:basedOn w:val="845"/>
    <w:link w:val="840"/>
    <w:rPr>
      <w:rFonts w:ascii="Arial" w:hAnsi="Arial"/>
      <w:b/>
      <w:sz w:val="22"/>
    </w:rPr>
  </w:style>
  <w:style w:type="character" w:styleId="840">
    <w:name w:val="Heading 6 Char"/>
    <w:basedOn w:val="846"/>
    <w:link w:val="839"/>
    <w:rPr>
      <w:rFonts w:ascii="Arial" w:hAnsi="Arial"/>
      <w:b/>
      <w:sz w:val="22"/>
    </w:rPr>
  </w:style>
  <w:style w:type="paragraph" w:styleId="841">
    <w:name w:val="toc 8"/>
    <w:basedOn w:val="757"/>
    <w:next w:val="757"/>
    <w:link w:val="842"/>
    <w:uiPriority w:val="39"/>
    <w:pPr>
      <w:ind w:left="1984" w:right="0" w:firstLine="0"/>
      <w:spacing w:after="57"/>
    </w:pPr>
  </w:style>
  <w:style w:type="character" w:styleId="842">
    <w:name w:val="toc 8"/>
    <w:basedOn w:val="758"/>
    <w:link w:val="841"/>
  </w:style>
  <w:style w:type="paragraph" w:styleId="843">
    <w:name w:val="Header"/>
    <w:basedOn w:val="757"/>
    <w:link w:val="844"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44">
    <w:name w:val="Header"/>
    <w:basedOn w:val="758"/>
    <w:link w:val="843"/>
  </w:style>
  <w:style w:type="paragraph" w:styleId="845">
    <w:name w:val="Default Paragraph Font"/>
    <w:link w:val="846"/>
  </w:style>
  <w:style w:type="character" w:styleId="846">
    <w:name w:val="Default Paragraph Font"/>
    <w:link w:val="845"/>
  </w:style>
  <w:style w:type="paragraph" w:styleId="847">
    <w:name w:val="Intense Quote"/>
    <w:basedOn w:val="757"/>
    <w:next w:val="757"/>
    <w:link w:val="848"/>
    <w:pPr>
      <w:contextualSpacing w:val="0"/>
      <w:ind w:left="720" w:right="720" w:firstLine="0"/>
    </w:pPr>
    <w:rPr>
      <w:i/>
    </w:rPr>
  </w:style>
  <w:style w:type="character" w:styleId="848">
    <w:name w:val="Intense Quote"/>
    <w:basedOn w:val="758"/>
    <w:link w:val="847"/>
    <w:rPr>
      <w:i/>
    </w:rPr>
  </w:style>
  <w:style w:type="paragraph" w:styleId="849">
    <w:name w:val="Footer Char"/>
    <w:link w:val="850"/>
  </w:style>
  <w:style w:type="character" w:styleId="850">
    <w:name w:val="Footer Char"/>
    <w:link w:val="849"/>
  </w:style>
  <w:style w:type="paragraph" w:styleId="851">
    <w:name w:val="toc 5"/>
    <w:basedOn w:val="757"/>
    <w:next w:val="757"/>
    <w:link w:val="852"/>
    <w:uiPriority w:val="39"/>
    <w:pPr>
      <w:ind w:left="1134" w:right="0" w:firstLine="0"/>
      <w:spacing w:after="57"/>
    </w:pPr>
  </w:style>
  <w:style w:type="character" w:styleId="852">
    <w:name w:val="toc 5"/>
    <w:basedOn w:val="758"/>
    <w:link w:val="851"/>
  </w:style>
  <w:style w:type="paragraph" w:styleId="853">
    <w:name w:val="Heading 7 Char"/>
    <w:basedOn w:val="845"/>
    <w:link w:val="854"/>
    <w:rPr>
      <w:rFonts w:ascii="Arial" w:hAnsi="Arial"/>
      <w:b/>
      <w:i/>
      <w:sz w:val="22"/>
    </w:rPr>
  </w:style>
  <w:style w:type="character" w:styleId="854">
    <w:name w:val="Heading 7 Char"/>
    <w:basedOn w:val="846"/>
    <w:link w:val="853"/>
    <w:rPr>
      <w:rFonts w:ascii="Arial" w:hAnsi="Arial"/>
      <w:b/>
      <w:i/>
      <w:sz w:val="22"/>
    </w:rPr>
  </w:style>
  <w:style w:type="paragraph" w:styleId="855">
    <w:name w:val="Header Char"/>
    <w:basedOn w:val="845"/>
    <w:link w:val="856"/>
  </w:style>
  <w:style w:type="character" w:styleId="856">
    <w:name w:val="Header Char"/>
    <w:basedOn w:val="846"/>
    <w:link w:val="855"/>
  </w:style>
  <w:style w:type="paragraph" w:styleId="857">
    <w:name w:val="table of figures"/>
    <w:basedOn w:val="757"/>
    <w:next w:val="757"/>
    <w:link w:val="858"/>
    <w:pPr>
      <w:spacing w:after="0"/>
    </w:pPr>
  </w:style>
  <w:style w:type="character" w:styleId="858">
    <w:name w:val="table of figures"/>
    <w:basedOn w:val="758"/>
    <w:link w:val="857"/>
  </w:style>
  <w:style w:type="paragraph" w:styleId="859">
    <w:name w:val="Subtitle"/>
    <w:basedOn w:val="757"/>
    <w:next w:val="757"/>
    <w:link w:val="860"/>
    <w:uiPriority w:val="11"/>
    <w:qFormat/>
    <w:pPr>
      <w:spacing w:before="200" w:after="200"/>
    </w:pPr>
    <w:rPr>
      <w:sz w:val="24"/>
    </w:rPr>
  </w:style>
  <w:style w:type="character" w:styleId="860">
    <w:name w:val="Subtitle"/>
    <w:basedOn w:val="758"/>
    <w:link w:val="859"/>
    <w:rPr>
      <w:sz w:val="24"/>
    </w:rPr>
  </w:style>
  <w:style w:type="paragraph" w:styleId="861">
    <w:name w:val="Title"/>
    <w:basedOn w:val="757"/>
    <w:next w:val="757"/>
    <w:link w:val="862"/>
    <w:uiPriority w:val="10"/>
    <w:qFormat/>
    <w:pPr>
      <w:contextualSpacing/>
      <w:spacing w:before="300" w:after="200"/>
    </w:pPr>
    <w:rPr>
      <w:sz w:val="48"/>
    </w:rPr>
  </w:style>
  <w:style w:type="character" w:styleId="862">
    <w:name w:val="Title"/>
    <w:basedOn w:val="758"/>
    <w:link w:val="861"/>
    <w:rPr>
      <w:sz w:val="48"/>
    </w:rPr>
  </w:style>
  <w:style w:type="paragraph" w:styleId="863">
    <w:name w:val="Heading 4"/>
    <w:basedOn w:val="757"/>
    <w:next w:val="757"/>
    <w:link w:val="864"/>
    <w:uiPriority w:val="9"/>
    <w:qFormat/>
    <w:pPr>
      <w:keepLines/>
      <w:keepNext/>
      <w:spacing w:before="320" w:after="200"/>
      <w:outlineLvl w:val="3"/>
    </w:pPr>
    <w:rPr>
      <w:rFonts w:ascii="Arial" w:hAnsi="Arial"/>
      <w:b/>
      <w:sz w:val="26"/>
    </w:rPr>
  </w:style>
  <w:style w:type="character" w:styleId="864">
    <w:name w:val="Heading 4"/>
    <w:basedOn w:val="758"/>
    <w:link w:val="863"/>
    <w:rPr>
      <w:rFonts w:ascii="Arial" w:hAnsi="Arial"/>
      <w:b/>
      <w:sz w:val="26"/>
    </w:rPr>
  </w:style>
  <w:style w:type="paragraph" w:styleId="865">
    <w:name w:val="Heading 2"/>
    <w:basedOn w:val="757"/>
    <w:next w:val="757"/>
    <w:link w:val="866"/>
    <w:uiPriority w:val="9"/>
    <w:qFormat/>
    <w:pPr>
      <w:keepLines/>
      <w:keepNext/>
      <w:spacing w:before="360" w:after="200"/>
      <w:outlineLvl w:val="1"/>
    </w:pPr>
    <w:rPr>
      <w:rFonts w:ascii="Arial" w:hAnsi="Arial"/>
      <w:sz w:val="34"/>
    </w:rPr>
  </w:style>
  <w:style w:type="character" w:styleId="866">
    <w:name w:val="Heading 2"/>
    <w:basedOn w:val="758"/>
    <w:link w:val="865"/>
    <w:rPr>
      <w:rFonts w:ascii="Arial" w:hAnsi="Arial"/>
      <w:sz w:val="34"/>
    </w:rPr>
  </w:style>
  <w:style w:type="paragraph" w:styleId="867">
    <w:name w:val="Heading 6"/>
    <w:basedOn w:val="757"/>
    <w:next w:val="757"/>
    <w:link w:val="868"/>
    <w:uiPriority w:val="9"/>
    <w:qFormat/>
    <w:pPr>
      <w:keepLines/>
      <w:keepNext/>
      <w:spacing w:before="320" w:after="200"/>
      <w:outlineLvl w:val="5"/>
    </w:pPr>
    <w:rPr>
      <w:rFonts w:ascii="Arial" w:hAnsi="Arial"/>
      <w:b/>
      <w:sz w:val="22"/>
    </w:rPr>
  </w:style>
  <w:style w:type="character" w:styleId="868">
    <w:name w:val="Heading 6"/>
    <w:basedOn w:val="758"/>
    <w:link w:val="867"/>
    <w:rPr>
      <w:rFonts w:ascii="Arial" w:hAnsi="Arial"/>
      <w:b/>
      <w:sz w:val="22"/>
    </w:rPr>
  </w:style>
  <w:style w:type="table" w:styleId="869">
    <w:name w:val="Grid Table 7 Colorful - Accent 6"/>
    <w:basedOn w:val="877"/>
    <w:pPr>
      <w:spacing w:after="0" w:line="240" w:lineRule="auto"/>
    </w:pPr>
    <w:tblPr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</w:style>
  <w:style w:type="table" w:styleId="870">
    <w:name w:val="Grid Table 4 - Accent 4"/>
    <w:basedOn w:val="877"/>
    <w:pPr>
      <w:spacing w:after="0" w:line="240" w:lineRule="auto"/>
    </w:pPr>
    <w:tblPr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</w:style>
  <w:style w:type="table" w:styleId="871">
    <w:name w:val="Bordered - Accent 3"/>
    <w:basedOn w:val="877"/>
    <w:pPr>
      <w:spacing w:after="0" w:line="240" w:lineRule="auto"/>
    </w:pPr>
    <w:tblPr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</w:style>
  <w:style w:type="table" w:styleId="872">
    <w:name w:val="Grid Table 7 Colorful - Accent 3"/>
    <w:basedOn w:val="877"/>
    <w:pPr>
      <w:spacing w:after="0" w:line="240" w:lineRule="auto"/>
    </w:pPr>
    <w:tblPr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</w:style>
  <w:style w:type="table" w:styleId="873">
    <w:name w:val="Plain Table 1"/>
    <w:basedOn w:val="877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74">
    <w:name w:val="Grid Table 1 Light - Accent 3"/>
    <w:basedOn w:val="877"/>
    <w:pPr>
      <w:spacing w:after="0" w:line="240" w:lineRule="auto"/>
    </w:pPr>
    <w:tblPr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</w:style>
  <w:style w:type="table" w:styleId="875">
    <w:name w:val="Grid Table 6 Colorful - Accent 1"/>
    <w:basedOn w:val="877"/>
    <w:pPr>
      <w:spacing w:after="0" w:line="240" w:lineRule="auto"/>
    </w:pPr>
    <w:tblPr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</w:style>
  <w:style w:type="table" w:styleId="876">
    <w:name w:val="Grid Table 3 - Accent 5"/>
    <w:basedOn w:val="877"/>
    <w:pPr>
      <w:spacing w:after="0" w:line="240" w:lineRule="auto"/>
    </w:pPr>
    <w:tblPr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</w:style>
  <w:style w:type="table" w:styleId="877" w:default="1">
    <w:name w:val="Normal Table"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878">
    <w:name w:val="Table Grid"/>
    <w:basedOn w:val="877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79">
    <w:name w:val="List Table 4 - Accent 3"/>
    <w:basedOn w:val="877"/>
    <w:pPr>
      <w:spacing w:after="0" w:line="240" w:lineRule="auto"/>
    </w:pPr>
    <w:tblPr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</w:style>
  <w:style w:type="table" w:styleId="880">
    <w:name w:val="Bordered &amp; Lined - Accent 1"/>
    <w:basedOn w:val="87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</w:style>
  <w:style w:type="table" w:styleId="881">
    <w:name w:val="List Table 3 - Accent 3"/>
    <w:basedOn w:val="877"/>
    <w:pPr>
      <w:spacing w:after="0" w:line="240" w:lineRule="auto"/>
    </w:pPr>
    <w:tblPr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</w:style>
  <w:style w:type="table" w:styleId="882">
    <w:name w:val="List Table 3 - Accent 6"/>
    <w:basedOn w:val="877"/>
    <w:pPr>
      <w:spacing w:after="0" w:line="240" w:lineRule="auto"/>
    </w:pPr>
    <w:tblPr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</w:style>
  <w:style w:type="table" w:styleId="883">
    <w:name w:val="List Table 2 - Accent 5"/>
    <w:basedOn w:val="877"/>
    <w:pPr>
      <w:spacing w:after="0" w:line="240" w:lineRule="auto"/>
    </w:pPr>
    <w:tblPr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</w:style>
  <w:style w:type="table" w:styleId="884">
    <w:name w:val="Grid Table 5 Dark- Accent 4"/>
    <w:basedOn w:val="87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885">
    <w:name w:val="Grid Table 5 Dark"/>
    <w:basedOn w:val="87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886">
    <w:name w:val="Bordered - Accent 1"/>
    <w:basedOn w:val="877"/>
    <w:pPr>
      <w:spacing w:after="0" w:line="240" w:lineRule="auto"/>
    </w:pPr>
    <w:tblPr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</w:style>
  <w:style w:type="table" w:styleId="887">
    <w:name w:val="Bordered &amp; Lined - Accent 4"/>
    <w:basedOn w:val="87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</w:style>
  <w:style w:type="table" w:styleId="888">
    <w:name w:val="Grid Table 4"/>
    <w:basedOn w:val="877"/>
    <w:pPr>
      <w:spacing w:after="0" w:line="240" w:lineRule="auto"/>
    </w:pPr>
    <w:tblPr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</w:style>
  <w:style w:type="table" w:styleId="889">
    <w:name w:val="List Table 2 - Accent 6"/>
    <w:basedOn w:val="877"/>
    <w:pPr>
      <w:spacing w:after="0" w:line="240" w:lineRule="auto"/>
    </w:pPr>
    <w:tblPr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</w:style>
  <w:style w:type="table" w:styleId="890">
    <w:name w:val="Lined - Accent 6"/>
    <w:basedOn w:val="877"/>
    <w:pPr>
      <w:spacing w:after="0" w:line="240" w:lineRule="auto"/>
    </w:pPr>
    <w:rPr>
      <w:color w:val="404040"/>
    </w:rPr>
    <w:tblPr>
      <w:tblInd w:w="0" w:type="dxa"/>
    </w:tblPr>
  </w:style>
  <w:style w:type="table" w:styleId="891">
    <w:name w:val="Grid Table 4 - Accent 2"/>
    <w:basedOn w:val="877"/>
    <w:pPr>
      <w:spacing w:after="0" w:line="240" w:lineRule="auto"/>
    </w:pPr>
    <w:tblPr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</w:style>
  <w:style w:type="table" w:styleId="892">
    <w:name w:val="Grid Table 2 - Accent 1"/>
    <w:basedOn w:val="877"/>
    <w:pPr>
      <w:spacing w:after="0" w:line="240" w:lineRule="auto"/>
    </w:pPr>
    <w:tblPr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</w:style>
  <w:style w:type="table" w:styleId="893">
    <w:name w:val="Grid Table 5 Dark- Accent 1"/>
    <w:basedOn w:val="87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894">
    <w:name w:val="List Table 5 Dark - Accent 1"/>
    <w:basedOn w:val="877"/>
    <w:pPr>
      <w:spacing w:after="0" w:line="240" w:lineRule="auto"/>
    </w:pPr>
    <w:tblPr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</w:tblPr>
  </w:style>
  <w:style w:type="table" w:styleId="895">
    <w:name w:val="Grid Table 3"/>
    <w:basedOn w:val="877"/>
    <w:pPr>
      <w:spacing w:after="0" w:line="240" w:lineRule="auto"/>
    </w:pPr>
    <w:tblPr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</w:style>
  <w:style w:type="table" w:styleId="896">
    <w:name w:val="List Table 4 - Accent 1"/>
    <w:basedOn w:val="877"/>
    <w:pPr>
      <w:spacing w:after="0" w:line="240" w:lineRule="auto"/>
    </w:pPr>
    <w:tblPr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</w:style>
  <w:style w:type="table" w:styleId="897">
    <w:name w:val="Grid Table 6 Colorful - Accent 3"/>
    <w:basedOn w:val="877"/>
    <w:pPr>
      <w:spacing w:after="0" w:line="240" w:lineRule="auto"/>
    </w:pPr>
    <w:tblPr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</w:style>
  <w:style w:type="table" w:styleId="898">
    <w:name w:val="Lined - Accent 2"/>
    <w:basedOn w:val="877"/>
    <w:pPr>
      <w:spacing w:after="0" w:line="240" w:lineRule="auto"/>
    </w:pPr>
    <w:rPr>
      <w:color w:val="404040"/>
    </w:rPr>
    <w:tblPr>
      <w:tblInd w:w="0" w:type="dxa"/>
    </w:tblPr>
  </w:style>
  <w:style w:type="table" w:styleId="899">
    <w:name w:val="Grid Table 2 - Accent 6"/>
    <w:basedOn w:val="877"/>
    <w:pPr>
      <w:spacing w:after="0" w:line="240" w:lineRule="auto"/>
    </w:pPr>
    <w:tblPr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</w:style>
  <w:style w:type="table" w:styleId="900">
    <w:name w:val="List Table 1 Light - Accent 1"/>
    <w:basedOn w:val="877"/>
    <w:pPr>
      <w:spacing w:after="0" w:line="240" w:lineRule="auto"/>
    </w:pPr>
    <w:tblPr>
      <w:tblInd w:w="0" w:type="dxa"/>
    </w:tblPr>
  </w:style>
  <w:style w:type="table" w:styleId="901">
    <w:name w:val="List Table 7 Colorful - Accent 1"/>
    <w:basedOn w:val="877"/>
    <w:pPr>
      <w:spacing w:after="0" w:line="240" w:lineRule="auto"/>
    </w:pPr>
    <w:tblPr>
      <w:tblInd w:w="0" w:type="dxa"/>
      <w:tblBorders>
        <w:right w:val="single" w:color="000000" w:themeColor="accent1" w:sz="4" w:space="0"/>
      </w:tblBorders>
    </w:tblPr>
  </w:style>
  <w:style w:type="table" w:styleId="902">
    <w:name w:val="Grid Table 3 - Accent 4"/>
    <w:basedOn w:val="877"/>
    <w:pPr>
      <w:spacing w:after="0" w:line="240" w:lineRule="auto"/>
    </w:pPr>
    <w:tblPr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</w:style>
  <w:style w:type="table" w:styleId="903">
    <w:name w:val="List Table 1 Light - Accent 6"/>
    <w:basedOn w:val="877"/>
    <w:pPr>
      <w:spacing w:after="0" w:line="240" w:lineRule="auto"/>
    </w:pPr>
    <w:tblPr>
      <w:tblInd w:w="0" w:type="dxa"/>
    </w:tblPr>
  </w:style>
  <w:style w:type="table" w:styleId="904">
    <w:name w:val="Grid Table 1 Light - Accent 5"/>
    <w:basedOn w:val="877"/>
    <w:pPr>
      <w:spacing w:after="0" w:line="240" w:lineRule="auto"/>
    </w:pPr>
    <w:tblPr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</w:style>
  <w:style w:type="table" w:styleId="905">
    <w:name w:val="List Table 4 - Accent 5"/>
    <w:basedOn w:val="877"/>
    <w:pPr>
      <w:spacing w:after="0" w:line="240" w:lineRule="auto"/>
    </w:pPr>
    <w:tblPr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</w:style>
  <w:style w:type="table" w:styleId="906">
    <w:name w:val="Grid Table 5 Dark - Accent 2"/>
    <w:basedOn w:val="87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907">
    <w:name w:val="Grid Table 2 - Accent 4"/>
    <w:basedOn w:val="877"/>
    <w:pPr>
      <w:spacing w:after="0" w:line="240" w:lineRule="auto"/>
    </w:pPr>
    <w:tblPr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</w:style>
  <w:style w:type="table" w:styleId="908">
    <w:name w:val="Bordered &amp; Lined - Accent 2"/>
    <w:basedOn w:val="87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</w:style>
  <w:style w:type="table" w:styleId="909">
    <w:name w:val="Grid Table 3 - Accent 1"/>
    <w:basedOn w:val="877"/>
    <w:pPr>
      <w:spacing w:after="0" w:line="240" w:lineRule="auto"/>
    </w:pPr>
    <w:tblPr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</w:style>
  <w:style w:type="table" w:styleId="910">
    <w:name w:val="List Table 3 - Accent 1"/>
    <w:basedOn w:val="877"/>
    <w:pPr>
      <w:spacing w:after="0" w:line="240" w:lineRule="auto"/>
    </w:pPr>
    <w:tblPr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</w:style>
  <w:style w:type="table" w:styleId="911">
    <w:name w:val="List Table 4 - Accent 2"/>
    <w:basedOn w:val="877"/>
    <w:pPr>
      <w:spacing w:after="0" w:line="240" w:lineRule="auto"/>
    </w:pPr>
    <w:tblPr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</w:style>
  <w:style w:type="table" w:styleId="912">
    <w:name w:val="Lined - Accent 4"/>
    <w:basedOn w:val="877"/>
    <w:pPr>
      <w:spacing w:after="0" w:line="240" w:lineRule="auto"/>
    </w:pPr>
    <w:rPr>
      <w:color w:val="404040"/>
    </w:rPr>
    <w:tblPr>
      <w:tblInd w:w="0" w:type="dxa"/>
    </w:tblPr>
  </w:style>
  <w:style w:type="table" w:styleId="913">
    <w:name w:val="Grid Table 1 Light - Accent 6"/>
    <w:basedOn w:val="877"/>
    <w:pPr>
      <w:spacing w:after="0" w:line="240" w:lineRule="auto"/>
    </w:pPr>
    <w:tblPr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</w:style>
  <w:style w:type="table" w:styleId="914">
    <w:name w:val="Grid Table 4 - Accent 3"/>
    <w:basedOn w:val="877"/>
    <w:pPr>
      <w:spacing w:after="0" w:line="240" w:lineRule="auto"/>
    </w:pPr>
    <w:tblPr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</w:style>
  <w:style w:type="table" w:styleId="915">
    <w:name w:val="Bordered &amp; Lined - Accent"/>
    <w:basedOn w:val="87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</w:style>
  <w:style w:type="table" w:styleId="916">
    <w:name w:val="List Table 7 Colorful - Accent 2"/>
    <w:basedOn w:val="877"/>
    <w:pPr>
      <w:spacing w:after="0" w:line="240" w:lineRule="auto"/>
    </w:pPr>
    <w:tblPr>
      <w:tblInd w:w="0" w:type="dxa"/>
      <w:tblBorders>
        <w:right w:val="single" w:color="000000" w:themeColor="accent2" w:themeTint="97" w:sz="4" w:space="0"/>
      </w:tblBorders>
    </w:tblPr>
  </w:style>
  <w:style w:type="table" w:styleId="917">
    <w:name w:val="Lined - Accent 3"/>
    <w:basedOn w:val="877"/>
    <w:pPr>
      <w:spacing w:after="0" w:line="240" w:lineRule="auto"/>
    </w:pPr>
    <w:rPr>
      <w:color w:val="404040"/>
    </w:rPr>
    <w:tblPr>
      <w:tblInd w:w="0" w:type="dxa"/>
    </w:tblPr>
  </w:style>
  <w:style w:type="table" w:styleId="918">
    <w:name w:val="Grid Table 2 - Accent 3"/>
    <w:basedOn w:val="877"/>
    <w:pPr>
      <w:spacing w:after="0" w:line="240" w:lineRule="auto"/>
    </w:pPr>
    <w:tblPr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</w:style>
  <w:style w:type="table" w:styleId="919">
    <w:name w:val="List Table 5 Dark - Accent 2"/>
    <w:basedOn w:val="877"/>
    <w:pPr>
      <w:spacing w:after="0" w:line="240" w:lineRule="auto"/>
    </w:pPr>
    <w:tblPr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</w:tblPr>
  </w:style>
  <w:style w:type="table" w:styleId="920">
    <w:name w:val="Grid Table 6 Colorful - Accent 6"/>
    <w:basedOn w:val="877"/>
    <w:pPr>
      <w:spacing w:after="0" w:line="240" w:lineRule="auto"/>
    </w:pPr>
    <w:tblPr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</w:style>
  <w:style w:type="table" w:styleId="921">
    <w:name w:val="Grid Table 3 - Accent 2"/>
    <w:basedOn w:val="877"/>
    <w:pPr>
      <w:spacing w:after="0" w:line="240" w:lineRule="auto"/>
    </w:pPr>
    <w:tblPr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</w:style>
  <w:style w:type="table" w:styleId="922">
    <w:name w:val="Plain Table 2"/>
    <w:basedOn w:val="877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23">
    <w:name w:val="List Table 6 Colorful - Accent 2"/>
    <w:basedOn w:val="877"/>
    <w:pPr>
      <w:spacing w:after="0" w:line="240" w:lineRule="auto"/>
    </w:pPr>
    <w:tblPr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</w:style>
  <w:style w:type="table" w:styleId="924">
    <w:name w:val="Bordered &amp; Lined - Accent 3"/>
    <w:basedOn w:val="87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</w:style>
  <w:style w:type="table" w:styleId="925">
    <w:name w:val="List Table 1 Light - Accent 2"/>
    <w:basedOn w:val="877"/>
    <w:pPr>
      <w:spacing w:after="0" w:line="240" w:lineRule="auto"/>
    </w:pPr>
    <w:tblPr>
      <w:tblInd w:w="0" w:type="dxa"/>
    </w:tblPr>
  </w:style>
  <w:style w:type="table" w:styleId="926">
    <w:name w:val="Bordered"/>
    <w:basedOn w:val="877"/>
    <w:pPr>
      <w:spacing w:after="0" w:line="240" w:lineRule="auto"/>
    </w:pPr>
    <w:tblPr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</w:style>
  <w:style w:type="table" w:styleId="927">
    <w:name w:val="List Table 4 - Accent 6"/>
    <w:basedOn w:val="877"/>
    <w:pPr>
      <w:spacing w:after="0" w:line="240" w:lineRule="auto"/>
    </w:pPr>
    <w:tblPr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</w:style>
  <w:style w:type="table" w:styleId="928">
    <w:name w:val="List Table 1 Light - Accent 5"/>
    <w:basedOn w:val="877"/>
    <w:pPr>
      <w:spacing w:after="0" w:line="240" w:lineRule="auto"/>
    </w:pPr>
    <w:tblPr>
      <w:tblInd w:w="0" w:type="dxa"/>
    </w:tblPr>
  </w:style>
  <w:style w:type="table" w:styleId="929">
    <w:name w:val="List Table 6 Colorful - Accent 6"/>
    <w:basedOn w:val="877"/>
    <w:pPr>
      <w:spacing w:after="0" w:line="240" w:lineRule="auto"/>
    </w:pPr>
    <w:tblPr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</w:style>
  <w:style w:type="table" w:styleId="930">
    <w:name w:val="Bordered - Accent 4"/>
    <w:basedOn w:val="877"/>
    <w:pPr>
      <w:spacing w:after="0" w:line="240" w:lineRule="auto"/>
    </w:pPr>
    <w:tblPr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</w:style>
  <w:style w:type="table" w:styleId="931">
    <w:name w:val="Grid Table 1 Light"/>
    <w:basedOn w:val="877"/>
    <w:pPr>
      <w:spacing w:after="0" w:line="240" w:lineRule="auto"/>
    </w:pPr>
    <w:tblPr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</w:style>
  <w:style w:type="table" w:styleId="932">
    <w:name w:val="List Table 1 Light"/>
    <w:basedOn w:val="877"/>
    <w:pPr>
      <w:spacing w:after="0" w:line="240" w:lineRule="auto"/>
    </w:pPr>
    <w:tblPr>
      <w:tblInd w:w="0" w:type="dxa"/>
    </w:tblPr>
  </w:style>
  <w:style w:type="table" w:styleId="933">
    <w:name w:val="List Table 6 Colorful"/>
    <w:basedOn w:val="877"/>
    <w:pPr>
      <w:spacing w:after="0" w:line="240" w:lineRule="auto"/>
    </w:pPr>
    <w:tblPr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</w:style>
  <w:style w:type="table" w:styleId="934">
    <w:name w:val="List Table 1 Light - Accent 4"/>
    <w:basedOn w:val="877"/>
    <w:pPr>
      <w:spacing w:after="0" w:line="240" w:lineRule="auto"/>
    </w:pPr>
    <w:tblPr>
      <w:tblInd w:w="0" w:type="dxa"/>
    </w:tblPr>
  </w:style>
  <w:style w:type="table" w:styleId="935">
    <w:name w:val="Plain Table 5"/>
    <w:basedOn w:val="877"/>
    <w:pPr>
      <w:spacing w:after="0" w:line="240" w:lineRule="auto"/>
    </w:pPr>
    <w:tblPr>
      <w:tblInd w:w="0" w:type="dxa"/>
    </w:tblPr>
  </w:style>
  <w:style w:type="table" w:styleId="936">
    <w:name w:val="Bordered - Accent 5"/>
    <w:basedOn w:val="877"/>
    <w:pPr>
      <w:spacing w:after="0" w:line="240" w:lineRule="auto"/>
    </w:pPr>
    <w:tblPr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</w:style>
  <w:style w:type="table" w:styleId="937">
    <w:name w:val="Grid Table 1 Light - Accent 1"/>
    <w:basedOn w:val="877"/>
    <w:pPr>
      <w:spacing w:after="0" w:line="240" w:lineRule="auto"/>
    </w:pPr>
    <w:tblPr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</w:style>
  <w:style w:type="table" w:styleId="938">
    <w:name w:val="Grid Table 5 Dark - Accent 3"/>
    <w:basedOn w:val="87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939">
    <w:name w:val="List Table 7 Colorful - Accent 5"/>
    <w:basedOn w:val="877"/>
    <w:pPr>
      <w:spacing w:after="0" w:line="240" w:lineRule="auto"/>
    </w:pPr>
    <w:tblPr>
      <w:tblInd w:w="0" w:type="dxa"/>
      <w:tblBorders>
        <w:right w:val="single" w:color="000000" w:themeColor="accent5" w:themeTint="9A" w:sz="4" w:space="0"/>
      </w:tblBorders>
    </w:tblPr>
  </w:style>
  <w:style w:type="table" w:styleId="940">
    <w:name w:val="List Table 2 - Accent 4"/>
    <w:basedOn w:val="877"/>
    <w:pPr>
      <w:spacing w:after="0" w:line="240" w:lineRule="auto"/>
    </w:pPr>
    <w:tblPr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</w:style>
  <w:style w:type="table" w:styleId="941">
    <w:name w:val="List Table 7 Colorful - Accent 4"/>
    <w:basedOn w:val="877"/>
    <w:pPr>
      <w:spacing w:after="0" w:line="240" w:lineRule="auto"/>
    </w:pPr>
    <w:tblPr>
      <w:tblInd w:w="0" w:type="dxa"/>
      <w:tblBorders>
        <w:right w:val="single" w:color="000000" w:themeColor="accent4" w:themeTint="9A" w:sz="4" w:space="0"/>
      </w:tblBorders>
    </w:tblPr>
  </w:style>
  <w:style w:type="table" w:styleId="942">
    <w:name w:val="List Table 5 Dark - Accent 5"/>
    <w:basedOn w:val="877"/>
    <w:pPr>
      <w:spacing w:after="0" w:line="240" w:lineRule="auto"/>
    </w:pPr>
    <w:tblPr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</w:tblPr>
  </w:style>
  <w:style w:type="table" w:styleId="943">
    <w:name w:val="Grid Table 4 - Accent 6"/>
    <w:basedOn w:val="877"/>
    <w:pPr>
      <w:spacing w:after="0" w:line="240" w:lineRule="auto"/>
    </w:pPr>
    <w:tblPr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</w:style>
  <w:style w:type="table" w:styleId="944">
    <w:name w:val="List Table 5 Dark - Accent 4"/>
    <w:basedOn w:val="877"/>
    <w:pPr>
      <w:spacing w:after="0" w:line="240" w:lineRule="auto"/>
    </w:pPr>
    <w:tblPr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</w:tblPr>
  </w:style>
  <w:style w:type="table" w:styleId="945">
    <w:name w:val="Plain Table 3"/>
    <w:basedOn w:val="877"/>
    <w:pPr>
      <w:spacing w:after="0" w:line="240" w:lineRule="auto"/>
    </w:pPr>
    <w:tblPr>
      <w:tblInd w:w="0" w:type="dxa"/>
    </w:tblPr>
  </w:style>
  <w:style w:type="table" w:styleId="946">
    <w:name w:val="Grid Table 3 - Accent 6"/>
    <w:basedOn w:val="877"/>
    <w:pPr>
      <w:spacing w:after="0" w:line="240" w:lineRule="auto"/>
    </w:pPr>
    <w:tblPr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</w:style>
  <w:style w:type="table" w:styleId="947">
    <w:name w:val="List Table 6 Colorful - Accent 5"/>
    <w:basedOn w:val="877"/>
    <w:pPr>
      <w:spacing w:after="0" w:line="240" w:lineRule="auto"/>
    </w:pPr>
    <w:tblPr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</w:style>
  <w:style w:type="table" w:styleId="948">
    <w:name w:val="Bordered &amp; Lined - Accent 6"/>
    <w:basedOn w:val="87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</w:style>
  <w:style w:type="table" w:styleId="949">
    <w:name w:val="List Table 3 - Accent 2"/>
    <w:basedOn w:val="877"/>
    <w:pPr>
      <w:spacing w:after="0" w:line="240" w:lineRule="auto"/>
    </w:pPr>
    <w:tblPr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</w:style>
  <w:style w:type="table" w:styleId="950">
    <w:name w:val="List Table 1 Light - Accent 3"/>
    <w:basedOn w:val="877"/>
    <w:pPr>
      <w:spacing w:after="0" w:line="240" w:lineRule="auto"/>
    </w:pPr>
    <w:tblPr>
      <w:tblInd w:w="0" w:type="dxa"/>
    </w:tblPr>
  </w:style>
  <w:style w:type="table" w:styleId="951">
    <w:name w:val="List Table 5 Dark - Accent 3"/>
    <w:basedOn w:val="877"/>
    <w:pPr>
      <w:spacing w:after="0" w:line="240" w:lineRule="auto"/>
    </w:pPr>
    <w:tblPr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</w:tblPr>
  </w:style>
  <w:style w:type="table" w:styleId="952">
    <w:name w:val="List Table 7 Colorful - Accent 6"/>
    <w:basedOn w:val="877"/>
    <w:pPr>
      <w:spacing w:after="0" w:line="240" w:lineRule="auto"/>
    </w:pPr>
    <w:tblPr>
      <w:tblInd w:w="0" w:type="dxa"/>
      <w:tblBorders>
        <w:right w:val="single" w:color="000000" w:themeColor="accent6" w:themeTint="98" w:sz="4" w:space="0"/>
      </w:tblBorders>
    </w:tblPr>
  </w:style>
  <w:style w:type="table" w:styleId="953">
    <w:name w:val="Grid Table 1 Light - Accent 2"/>
    <w:basedOn w:val="877"/>
    <w:pPr>
      <w:spacing w:after="0" w:line="240" w:lineRule="auto"/>
    </w:pPr>
    <w:tblPr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</w:style>
  <w:style w:type="table" w:styleId="954">
    <w:name w:val="Grid Table 5 Dark - Accent 5"/>
    <w:basedOn w:val="87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955">
    <w:name w:val="List Table 4"/>
    <w:basedOn w:val="877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</w:style>
  <w:style w:type="table" w:styleId="956">
    <w:name w:val="List Table 7 Colorful"/>
    <w:basedOn w:val="877"/>
    <w:pPr>
      <w:spacing w:after="0" w:line="240" w:lineRule="auto"/>
    </w:pPr>
    <w:tblPr>
      <w:tblInd w:w="0" w:type="dxa"/>
      <w:tblBorders>
        <w:right w:val="single" w:color="000000" w:themeColor="text1" w:themeTint="80" w:sz="4" w:space="0"/>
      </w:tblBorders>
    </w:tblPr>
  </w:style>
  <w:style w:type="table" w:styleId="957">
    <w:name w:val="Grid Table 7 Colorful - Accent 2"/>
    <w:basedOn w:val="877"/>
    <w:pPr>
      <w:spacing w:after="0" w:line="240" w:lineRule="auto"/>
    </w:pPr>
    <w:tblPr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</w:style>
  <w:style w:type="table" w:styleId="958">
    <w:name w:val="List Table 6 Colorful - Accent 4"/>
    <w:basedOn w:val="877"/>
    <w:pPr>
      <w:spacing w:after="0" w:line="240" w:lineRule="auto"/>
    </w:pPr>
    <w:tblPr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</w:style>
  <w:style w:type="table" w:styleId="959">
    <w:name w:val="List Table 4 - Accent 4"/>
    <w:basedOn w:val="877"/>
    <w:pPr>
      <w:spacing w:after="0" w:line="240" w:lineRule="auto"/>
    </w:pPr>
    <w:tblPr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</w:style>
  <w:style w:type="table" w:styleId="960">
    <w:name w:val="Plain Table 4"/>
    <w:basedOn w:val="877"/>
    <w:pPr>
      <w:spacing w:after="0" w:line="240" w:lineRule="auto"/>
    </w:pPr>
    <w:tblPr>
      <w:tblInd w:w="0" w:type="dxa"/>
    </w:tblPr>
  </w:style>
  <w:style w:type="table" w:styleId="961">
    <w:name w:val="List Table 2 - Accent 1"/>
    <w:basedOn w:val="877"/>
    <w:pPr>
      <w:spacing w:after="0" w:line="240" w:lineRule="auto"/>
    </w:pPr>
    <w:tblPr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</w:style>
  <w:style w:type="table" w:styleId="962">
    <w:name w:val="Grid Table 6 Colorful - Accent 2"/>
    <w:basedOn w:val="877"/>
    <w:pPr>
      <w:spacing w:after="0" w:line="240" w:lineRule="auto"/>
    </w:pPr>
    <w:tblPr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</w:style>
  <w:style w:type="table" w:styleId="963">
    <w:name w:val="Grid Table 1 Light - Accent 4"/>
    <w:basedOn w:val="877"/>
    <w:pPr>
      <w:spacing w:after="0" w:line="240" w:lineRule="auto"/>
    </w:pPr>
    <w:tblPr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</w:style>
  <w:style w:type="table" w:styleId="964">
    <w:name w:val="Bordered - Accent 2"/>
    <w:basedOn w:val="877"/>
    <w:pPr>
      <w:spacing w:after="0" w:line="240" w:lineRule="auto"/>
    </w:pPr>
    <w:tblPr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</w:style>
  <w:style w:type="table" w:styleId="965">
    <w:name w:val="List Table 3 - Accent 4"/>
    <w:basedOn w:val="877"/>
    <w:pPr>
      <w:spacing w:after="0" w:line="240" w:lineRule="auto"/>
    </w:pPr>
    <w:tblPr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</w:style>
  <w:style w:type="table" w:styleId="966">
    <w:name w:val="List Table 2"/>
    <w:basedOn w:val="877"/>
    <w:pPr>
      <w:spacing w:after="0" w:line="240" w:lineRule="auto"/>
    </w:pPr>
    <w:tblPr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</w:style>
  <w:style w:type="table" w:styleId="967">
    <w:name w:val="Bordered &amp; Lined - Accent 5"/>
    <w:basedOn w:val="877"/>
    <w:pPr>
      <w:spacing w:after="0" w:line="240" w:lineRule="auto"/>
    </w:pPr>
    <w:rPr>
      <w:color w:val="404040"/>
    </w:rPr>
    <w:tblPr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</w:style>
  <w:style w:type="table" w:styleId="968">
    <w:name w:val="Grid Table 6 Colorful"/>
    <w:basedOn w:val="877"/>
    <w:pPr>
      <w:spacing w:after="0" w:line="240" w:lineRule="auto"/>
    </w:pPr>
    <w:tblPr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</w:style>
  <w:style w:type="table" w:styleId="969">
    <w:name w:val="List Table 5 Dark"/>
    <w:basedOn w:val="877"/>
    <w:pPr>
      <w:spacing w:after="0" w:line="240" w:lineRule="auto"/>
    </w:pPr>
    <w:tblPr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</w:tblPr>
  </w:style>
  <w:style w:type="table" w:styleId="970">
    <w:name w:val="Grid Table 4 - Accent 5"/>
    <w:basedOn w:val="877"/>
    <w:pPr>
      <w:spacing w:after="0" w:line="240" w:lineRule="auto"/>
    </w:pPr>
    <w:tblPr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</w:style>
  <w:style w:type="table" w:styleId="971">
    <w:name w:val="Grid Table 6 Colorful - Accent 4"/>
    <w:basedOn w:val="877"/>
    <w:pPr>
      <w:spacing w:after="0" w:line="240" w:lineRule="auto"/>
    </w:pPr>
    <w:tblPr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</w:style>
  <w:style w:type="table" w:styleId="972">
    <w:name w:val="Lined - Accent 5"/>
    <w:basedOn w:val="877"/>
    <w:pPr>
      <w:spacing w:after="0" w:line="240" w:lineRule="auto"/>
    </w:pPr>
    <w:rPr>
      <w:color w:val="404040"/>
    </w:rPr>
    <w:tblPr>
      <w:tblInd w:w="0" w:type="dxa"/>
    </w:tblPr>
  </w:style>
  <w:style w:type="table" w:styleId="973">
    <w:name w:val="Grid Table 7 Colorful - Accent 1"/>
    <w:basedOn w:val="877"/>
    <w:pPr>
      <w:spacing w:after="0" w:line="240" w:lineRule="auto"/>
    </w:pPr>
    <w:tblPr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</w:style>
  <w:style w:type="table" w:styleId="974">
    <w:name w:val="List Table 7 Colorful - Accent 3"/>
    <w:basedOn w:val="877"/>
    <w:pPr>
      <w:spacing w:after="0" w:line="240" w:lineRule="auto"/>
    </w:pPr>
    <w:tblPr>
      <w:tblInd w:w="0" w:type="dxa"/>
      <w:tblBorders>
        <w:right w:val="single" w:color="000000" w:themeColor="accent3" w:themeTint="98" w:sz="4" w:space="0"/>
      </w:tblBorders>
    </w:tblPr>
  </w:style>
  <w:style w:type="table" w:styleId="975">
    <w:name w:val="Table Grid Light"/>
    <w:basedOn w:val="877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76">
    <w:name w:val="Grid Table 2 - Accent 5"/>
    <w:basedOn w:val="877"/>
    <w:pPr>
      <w:spacing w:after="0" w:line="240" w:lineRule="auto"/>
    </w:pPr>
    <w:tblPr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</w:style>
  <w:style w:type="table" w:styleId="977">
    <w:name w:val="List Table 2 - Accent 3"/>
    <w:basedOn w:val="877"/>
    <w:pPr>
      <w:spacing w:after="0" w:line="240" w:lineRule="auto"/>
    </w:pPr>
    <w:tblPr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</w:style>
  <w:style w:type="table" w:styleId="978">
    <w:name w:val="Grid Table 7 Colorful - Accent 4"/>
    <w:basedOn w:val="877"/>
    <w:pPr>
      <w:spacing w:after="0" w:line="240" w:lineRule="auto"/>
    </w:pPr>
    <w:tblPr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</w:style>
  <w:style w:type="table" w:styleId="979">
    <w:name w:val="Lined - Accent"/>
    <w:basedOn w:val="877"/>
    <w:pPr>
      <w:spacing w:after="0" w:line="240" w:lineRule="auto"/>
    </w:pPr>
    <w:rPr>
      <w:color w:val="404040"/>
    </w:rPr>
    <w:tblPr>
      <w:tblInd w:w="0" w:type="dxa"/>
    </w:tblPr>
  </w:style>
  <w:style w:type="table" w:styleId="980">
    <w:name w:val="Grid Table 4 - Accent 1"/>
    <w:basedOn w:val="877"/>
    <w:pPr>
      <w:spacing w:after="0" w:line="240" w:lineRule="auto"/>
    </w:pPr>
    <w:tblPr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</w:style>
  <w:style w:type="table" w:styleId="981">
    <w:name w:val="Grid Table 6 Colorful - Accent 5"/>
    <w:basedOn w:val="877"/>
    <w:pPr>
      <w:spacing w:after="0" w:line="240" w:lineRule="auto"/>
    </w:pPr>
    <w:tblPr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</w:style>
  <w:style w:type="table" w:styleId="982">
    <w:name w:val="Lined - Accent 1"/>
    <w:basedOn w:val="877"/>
    <w:pPr>
      <w:spacing w:after="0" w:line="240" w:lineRule="auto"/>
    </w:pPr>
    <w:rPr>
      <w:color w:val="404040"/>
    </w:rPr>
    <w:tblPr>
      <w:tblInd w:w="0" w:type="dxa"/>
    </w:tblPr>
  </w:style>
  <w:style w:type="table" w:styleId="983">
    <w:name w:val="Grid Table 7 Colorful"/>
    <w:basedOn w:val="877"/>
    <w:pPr>
      <w:spacing w:after="0" w:line="240" w:lineRule="auto"/>
    </w:pPr>
    <w:tblPr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</w:style>
  <w:style w:type="table" w:styleId="984">
    <w:name w:val="List Table 5 Dark - Accent 6"/>
    <w:basedOn w:val="877"/>
    <w:pPr>
      <w:spacing w:after="0" w:line="240" w:lineRule="auto"/>
    </w:pPr>
    <w:tblPr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</w:tblPr>
  </w:style>
  <w:style w:type="table" w:styleId="985">
    <w:name w:val="List Table 3"/>
    <w:basedOn w:val="877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</w:style>
  <w:style w:type="table" w:styleId="986">
    <w:name w:val="List Table 2 - Accent 2"/>
    <w:basedOn w:val="877"/>
    <w:pPr>
      <w:spacing w:after="0" w:line="240" w:lineRule="auto"/>
    </w:pPr>
    <w:tblPr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</w:style>
  <w:style w:type="table" w:styleId="987">
    <w:name w:val="Grid Table 7 Colorful - Accent 5"/>
    <w:basedOn w:val="877"/>
    <w:pPr>
      <w:spacing w:after="0" w:line="240" w:lineRule="auto"/>
    </w:pPr>
    <w:tblPr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</w:style>
  <w:style w:type="table" w:styleId="988">
    <w:name w:val="List Table 3 - Accent 5"/>
    <w:basedOn w:val="877"/>
    <w:pPr>
      <w:spacing w:after="0" w:line="240" w:lineRule="auto"/>
    </w:pPr>
    <w:tblPr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</w:style>
  <w:style w:type="table" w:styleId="989">
    <w:name w:val="Bordered - Accent 6"/>
    <w:basedOn w:val="877"/>
    <w:pPr>
      <w:spacing w:after="0" w:line="240" w:lineRule="auto"/>
    </w:pPr>
    <w:tblPr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</w:style>
  <w:style w:type="table" w:styleId="990">
    <w:name w:val="List Table 6 Colorful - Accent 3"/>
    <w:basedOn w:val="877"/>
    <w:pPr>
      <w:spacing w:after="0" w:line="240" w:lineRule="auto"/>
    </w:pPr>
    <w:tblPr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</w:style>
  <w:style w:type="table" w:styleId="991">
    <w:name w:val="Grid Table 3 - Accent 3"/>
    <w:basedOn w:val="877"/>
    <w:pPr>
      <w:spacing w:after="0" w:line="240" w:lineRule="auto"/>
    </w:pPr>
    <w:tblPr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</w:style>
  <w:style w:type="table" w:styleId="992">
    <w:name w:val="List Table 6 Colorful - Accent 1"/>
    <w:basedOn w:val="877"/>
    <w:pPr>
      <w:spacing w:after="0" w:line="240" w:lineRule="auto"/>
    </w:pPr>
    <w:tblPr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</w:style>
  <w:style w:type="table" w:styleId="993">
    <w:name w:val="Grid Table 2 - Accent 2"/>
    <w:basedOn w:val="877"/>
    <w:pPr>
      <w:spacing w:after="0" w:line="240" w:lineRule="auto"/>
    </w:pPr>
    <w:tblPr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</w:style>
  <w:style w:type="table" w:styleId="994">
    <w:name w:val="Grid Table 5 Dark - Accent 6"/>
    <w:basedOn w:val="877"/>
    <w:pPr>
      <w:spacing w:after="0" w:line="240" w:lineRule="auto"/>
    </w:pPr>
    <w:tblPr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</w:style>
  <w:style w:type="table" w:styleId="995">
    <w:name w:val="Grid Table 2"/>
    <w:basedOn w:val="877"/>
    <w:pPr>
      <w:spacing w:after="0" w:line="240" w:lineRule="auto"/>
    </w:pPr>
    <w:tblPr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</w:style>
  <w:style w:type="numbering" w:styleId="996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yperlink" Target="https://www.kcrinfo.ru/faq.php?section=spravochniki" TargetMode="External"/><Relationship Id="rId13" Type="http://schemas.openxmlformats.org/officeDocument/2006/relationships/hyperlink" Target="http://gosuslugi@kamgov.ru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DocSecurity>0</DocSecurity>
  <ScaleCrop>false</ScaleCrop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Катерина Лобанова</cp:lastModifiedBy>
  <cp:revision>48</cp:revision>
  <dcterms:modified xsi:type="dcterms:W3CDTF">2023-10-25T05:36:39Z</dcterms:modified>
</cp:coreProperties>
</file>