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за январь-октябрь 2023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январе-октябре 2023 года динамику роста показали: объем инвестиций в основной капитал, промышленное производство, ввод в действие жилых домов, сельское хозяйство, объем платных услуг населению, оборот общественного питания, пассажирооборот и грузооборот автомобильного транспорта.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наблюдается снижение объема строительных работ, оборота  розничной и оптовой торговли.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Оборот организаций по всем видам экономической деятельности за январь-октябрь 2023 года составил 465 671,8 млн рублей, вырос на 12,5% к январю-октябрю 2022 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промышленного производства составил 134,2%. Рост в добывающей промышленности составил 35,8%, в обрабатывающих производствах – 41,0%, в деятельности организаций по обеспечению электрической энергией, газом и паром; кондиционированию воздуха – 2,3% к январю-октябрю 2022 года. Отрицательная динамика наблюдается в водоснабжении, водоотведении, организации сбора и утилизации отходов, ликвидации загрязнений (– 14,7%).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Предприятиями, осуществляющими добычу полезных ископаемых, отгружено продукции на 34 714,9 млн рублей (144,3% к январю-октябрю 2022 года в действующих ценах). Индекс производства составил 135,8%, что обусловлено ростом добычи металлических руд на 39,3% (золото и серебро).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обрабатывающих производствах отгружено товаров собственного производства на сумму 137 415,9 млн рублей или 130,7% по отношению к январю-октябрю 2022 года, индекс производства составил 141,0%.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144,0% к январю-октябрю 2022 года, объем отгруженной продукции составил 129 662,0 млн рублей (131,2% к январю-октябрю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Рыбы переработанной и консервированной, ракообразных и моллюсков произведено 1 163,0 тыс. тонн или 137,4% к январю-октябрю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Рыбодобывающими предприятиями Камчатского края выловлено 1 651,6 тыс. тонн рыбы и морепродуктов (134,8% к январю-октябрю 2022 года).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объемов вылова отмечается</w:t>
      </w:r>
      <w:r>
        <w:rPr>
          <w:rFonts w:ascii="Times New Roman" w:hAnsi="Times New Roman"/>
          <w:sz w:val="28"/>
          <w:shd w:fill="auto" w:val="clear"/>
        </w:rPr>
        <w:t xml:space="preserve"> по: крабам +32,3%, макрурусам +9,8%, минтаю +1,3%, кальмару +14,3%, камбале </w:t>
      </w:r>
      <w:r>
        <w:rPr>
          <w:rFonts w:ascii="Times New Roman" w:hAnsi="Times New Roman"/>
          <w:sz w:val="28"/>
        </w:rPr>
        <w:t>+6,0%, сардине иваси в 3,7 раза и тихоокеанским лососям в 3,6 раза.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секторе производства пищевых продуктов, ориентированных на региональный рынок (кроме рыбоперерабатывающей промышленности), отмечено увеличение производства полуфабрикатов мясных и мясосодержащих в 2,1 раза, сыров и творога на 5,3%, мяса и субпродуктов пищевой домашней птицы на 14,5%.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отмечалось в производстве колбасных изделий на 9,7%, хлебобулочных изделий на 8,9%, кондитерских изделий на 29,2% к январю-октябрю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Наблюдается рост производства по ремонту и монтажу машин и оборудования (судоремонт) на 42,6% к январю-октябрю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20 857,9 млн рублей, что составляет 114,2% к январю-октябрю 2022 года, индекс производства составил 102,3%. Производство электроэнергии увеличилось на 3,4% к январю-октябрю 2022 года и составило 1 695,8 млн кВт-ч. Отмечается рост потребления электрической энергии рыбоперерабатывающими заводами, организациями жилищно-коммунального хозяйства, населением. Производство тепловой энергии, пара и горячей воды увеличилось на 0,2% (произведено 2 717,5 тыс. Гкал.).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отгруженных товаров предприятиями водоснабжения; водоотведения, сбора и утилизации отходов составил 3 301,9 млн рублей (108,7% к январю-октябрю 2022 года), индекс производства составил 85,3%, в том числе индекс производства по забору, очистке и распределению воды составил 98,0%, по сбору и обработке сточных вод – 90,4%, по сбору, обработке и утилизации отходов; обработки вторичного сырья – 74,3%.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 продукции сельского хозяйства за январь-сентябрь 2023 года составило 11 326,5 млн рублей (100,4% к январю-сентябрю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январе-октябре 2023 года в сельскохозяйственных организациях Камчатского края ситуация в сфере животноводства и растениеводства сложилась следующим образом: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мяса составило 7,7 тыс. тонн (101,3% к январю-октябрю 2022 года);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яйца увеличилось на 9,7%, яйценоскость кур-несушек составила 102,1% к январю-октябрю 2022 года;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молока составило 18,9 тыс. тонн (96,7% к январю-октябрю 2022 года). Средний надой молока на одну корову увеличился на 0,3%;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валовой сбор картофеля составил 36,5 тыс. тонн (89,4% к январю-октябрю 2022 года);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валовой сбор овощей открытого и закрытого грунта составил 11,4 тыс. тонн (92,2% к январю-октябрю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Объём инвестиций в основной капитал за январь-сентябрь 2023 года составил 97 752,1 млн рублей или 197,7 % к январю-сентябрю 2022 года (в сопоставимой оценке).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Объём работ, выполненных по виду экономической деятельности «Строительство», в январе-октябре 2023 года составил 26 511,5 млн рублей, что в сопоставимой оценке составляет 75,2% относительно показателя за аналогичный период предыдущего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январь-октябрь 2023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69,6 тыс. кв. метров (109,9% к аналогичному периоду 2022 года).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Федеральной адресной инвестиционной программой на 2023 год и на плановый период 2024 и 2025 годов, утвержденной Президиумом Правительственной комиссии по региональному развитию в Российской Федерации от 8 декабря 2022 года (далее – ФАИП), на строительство и реконструкцию объектов государственной собственности, находящихся на территории Камчатского края, предусмотрено финансирование на 2023 год в объеме 8 598,9 млн рублей в том числе по направлениям: «здравоохранение» – 4 736,0 млн рублей; «морской транспорт» – 652,2; «коммунальное строительство» – 1 054,1 млн рублей; «центральные организации» – 0,089 млн рублей; «воздушный транспорт» – 2 156,6 млн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краевых инвестиционных мероприятий (объектов) утвержден постановлением Правительства Камчатского края от 28.11.2022 № 612-П «Об утверждении инвестиционной программы Камчатского края на 2023 год и на плановый период 2024-2025 годов и прогнозный период 2026-2027 годов» (далее – Инвестиционная программа).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на реализацию инвестиционных мероприятий предусмотрены ассигнования за счет всех источников финансирования в сумме 20 188,9 млн рублей, в том числе за счет средств федерального бюджета – 12 901,2 млн рублей (63,9%), краевого бюджета – 5 587,2 млн рублей (27,7%), Фонда развития территорий —1 613,4 млн рублей (8,0%).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камчатской краевой больницы, техническая готовность объекта на отчетную дату составила 55,9%, существует риск срыва завершения работ в декабре 2023 года;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строительство Фельдшерского здравпункта в с. Крутоберегово Усть-Камчатского муниципального района, мощность объекта – 70 кв.м/15 посещений в смену. Нарушены сроки строительства;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подъезда к проектируемому аэровокзалу в г. Елизово от автомобильной дороги А-401 «Подъездная дорога от морского порта Петропавловск-Камчатский к аэропорту Петропавловск-Камчатский на участке 34». Государственный контракт заключен с ООО «Устой-М». Заключено соглашение об установлении сервитута в отношении части земельного участка, выполнены работы по созданию геодезической разбивочной основы на объекте, работы по контракту выполняются в срок, техническая готовность – 54,0%;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автомобильной дороги общего пользования регионального значения Камчатского края «п. Термальный – туристский кластер «Три вулкана» протяженностью 32 км (этапы 1-3)». 17.10.2022 заключен государственный контракт № 48 Подрядчик ООО «Устой-М»;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продолжилось строительство комплекса многоквартирных жилых домов в жилом районе Приморский города Вилючинска, строительство поэтапное, в текущем году ведутся работы третьего этапа, мощность объекта – 270 квартир, техническая готовность 3-го этапа – 56%, общая готовность – 68,3%;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продолжилось строительство детского сада по ул. Вилюйская, 60 в г. Петропавловске-Камчатском на 160 мест, стоимость работ по контракту 611 949,9 тыс. рублей. Техническая готовность объекта – 90,4%;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Средней школы № 40 по ул. Вольского микрорайона «Северо-Восток» в г. Петропавловске-Камчатском на 500 мест, техническая готовность объекта 66,3%;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hd w:fill="auto" w:val="clear"/>
        </w:rPr>
        <w:t>строите</w:t>
      </w:r>
      <w:r>
        <w:rPr>
          <w:rFonts w:ascii="Times New Roman" w:hAnsi="Times New Roman"/>
          <w:sz w:val="28"/>
        </w:rPr>
        <w:t xml:space="preserve">льство Средней общеобразовательной школы в с. Кавалерское Усть-Большерецкого района на 90 мест. </w:t>
      </w:r>
      <w:r>
        <w:rPr>
          <w:rFonts w:ascii="Times New Roman" w:hAnsi="Times New Roman"/>
          <w:color w:val="000000"/>
          <w:sz w:val="28"/>
        </w:rPr>
        <w:t>Объект готовится к окончательной приемке выполненных работ. Риски отсутствую;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камчатского театра кукол г. Петропавловск-Камчатский на 350 мест, заключен контракт с единственным поставщиком ООО «Трест» от 29.04.2022 № 28/22-ГК на завершение строительства, срок выполнения работ 01.12.20</w:t>
      </w:r>
      <w:r>
        <w:rPr>
          <w:rFonts w:ascii="Times New Roman" w:hAnsi="Times New Roman"/>
          <w:sz w:val="28"/>
          <w:shd w:fill="auto" w:val="clear"/>
        </w:rPr>
        <w:t>24;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реализуется мероприятие «Реконструкция системы водоотведения Елизовского городского поселения. 1 Этап. Реконструкция КОС-29 км, строительство сливной станции», мощность объекта 1000 м</w:t>
      </w:r>
      <w:r>
        <w:rPr>
          <w:rFonts w:ascii="Times New Roman" w:hAnsi="Times New Roman"/>
          <w:sz w:val="28"/>
          <w:shd w:fill="auto" w:val="clear"/>
          <w:vertAlign w:val="superscript"/>
        </w:rPr>
        <w:t>3</w:t>
      </w:r>
      <w:r>
        <w:rPr>
          <w:rFonts w:ascii="Times New Roman" w:hAnsi="Times New Roman"/>
          <w:sz w:val="28"/>
          <w:shd w:fill="auto" w:val="clear"/>
        </w:rPr>
        <w:t>/сутки;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 xml:space="preserve">ведется строительство инженерной инфраструктуры на территории жилого района в Вулканном городском поселении Елизовского района Камчатского края, техническая готовность объекта 70,0%. </w:t>
      </w:r>
      <w:r>
        <w:rPr>
          <w:rFonts w:ascii="Times New Roman" w:hAnsi="Times New Roman"/>
          <w:color w:val="000000"/>
          <w:sz w:val="28"/>
          <w:shd w:fill="auto" w:val="clear"/>
        </w:rPr>
        <w:t>Нарушены сроки выполнения работ, в связи с удорожанием строительных материалов подрядчик предлагает увеличить цену контракта на 38 млн рублей;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завершены строительно-монтажные работы спортивного зала единоборств в городе Елизово. Получено разрешение на ввод объекта в эксплуатацию № RU 41-501102-267-2023 от 20.02.2023;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реализуется мероприятие регионального проекта «Чистая вода» по реконструкции водовода от водозабора до п. Палана и внутриплощадочных сетей водовода территории совхоза п. Палана Тигильского муниципального района;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  <w:shd w:fill="auto" w:val="clear"/>
        </w:rPr>
        <w:t>ведется реконструкция котельной № 20 (ул. Деркачева) с передачей нагрузок котель</w:t>
      </w:r>
      <w:r>
        <w:rPr>
          <w:rFonts w:ascii="Times New Roman" w:hAnsi="Times New Roman"/>
          <w:sz w:val="28"/>
        </w:rPr>
        <w:t xml:space="preserve">ной № 10 с учетом реконструкции тепловых сетей котельных. </w:t>
      </w:r>
      <w:r>
        <w:rPr>
          <w:rFonts w:ascii="Times New Roman" w:hAnsi="Times New Roman"/>
          <w:color w:val="000000"/>
          <w:sz w:val="28"/>
        </w:rPr>
        <w:t>Работы на объекте приостановлены по причине корректировки рабочей документации в рамках авторского надзора;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реконструкция автомобильной дороги Петропавловск-Камчатский - Мильково 40 км - Пиначево с подъездом к п. Раздольный и к базе с/х Заречный на участке км 1 - км 16,4. Работы выполняются в два этапа, заключены государственные контракты с ООО «Устой-М», техническая готовность соответственно — 19% и 28%;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ведется строительство Автомобильной дороги для резидента ООО «Соколиный центр «Камчатка», срок выполнения работ 30.04.2024, техническая готовность — 87%;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Фактический объем финансирования за отчетный период составил 7 191,2 млн рублей (35,6% от предусмотренного объема), в том числе за счет средств федерального бюджета – 4 091,6 млн рублей (31,7%), за счет средств краевого бюджета – 2 9168,6 млн рублей (38,8%), Фонда развития территорий — 915,0 млн рублей (56,7%).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01.11.2023 освоение составило 5 143,9 млн рублей (25,5% от предусмотренного объема), в том числе за счет средств федерального бюджета – 2 421,3 млн рублей (18,8%), за счет средств краевого бюджета – 1 801,7 млн рублей (32,2%), Фонда развития территорий — 915,0 млн рублей (56,7%).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секторе потребительского рынка в январе-октябре 2023 года сложилась следующая ситуация: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розничной торговли составил 75 400,3 млн рублей (99,2% к январю-октябрю 2022 года) и на 93,3% сформирован торгующими организациями и 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общественного питания составил 7 340,3 млн рублей (100,4% к январю-октябрю 2022 года);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платных услуг населению края было оказано на сумму 27 335,7 млн рублей (100,9% к январю-октябрю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67,6% общего объема потребляемых услуг. Удельный вес бытовых услуг в общем объеме платных услуг населению составил 6,9%. В январе-октябре 2023 года населению края было оказано бытовых услуг на 2 602,5 млн рублей, что в сопоставимых ценах на 0,9% больше, чем в январе-октябре 2022 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Пасса</w:t>
      </w:r>
      <w:r>
        <w:rPr>
          <w:rFonts w:ascii="Times New Roman" w:hAnsi="Times New Roman"/>
          <w:sz w:val="28"/>
          <w:shd w:fill="auto" w:val="clear"/>
        </w:rPr>
        <w:t>жирооборот автомобильного транспорта за январь-октябрь 2023 года составил 236,7 млн пасс.-км (101,4% к январю-октябрю 2022 года). Число перевезенных пассажиров автомобильным транспортом составило 28,3 млн человек (98,5% к январю-октябрю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Грузооборот автомобильного транспорта за январь-октябрь 2023 года составил 30,8 млн т-км (рост в 1,5 раза к январю-октябрю 2022 года).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 xml:space="preserve">Объем перевезенного груза на морском транспорте составил 464,8 тыс. тонн (108,0% к январю-октябрю 2022 года). Грузооборот морского транспорта увеличился на 18,8% </w:t>
      </w:r>
      <w:r>
        <w:rPr>
          <w:rFonts w:ascii="Times New Roman" w:hAnsi="Times New Roman"/>
          <w:sz w:val="28"/>
        </w:rPr>
        <w:t>и составил 979,5 млн т-км. В каботажномна 28,6% к январю-октябрю 2022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Среднегодовой показатель индекса потребительских цен в январе-октябре 2023 года составил 107,4 %, в том числе: 107,8% на продовольственные товары,</w:t>
        <w:br/>
        <w:t>108,56% на непродовольственные товары и 105,2% на услуги.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январь-сентябрь 2023 года составила 114 605,2 рубля (111,5% к январю-сентябрю 2022 года). Реальная заработная плата составила 103,7% к январь-сентябрю 2022 года.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01.11.2023 просроченная задолженность по заработной плате составила 10 759,0 тыс. рублей, в том числе: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МУП «Автодор» – 2 451,0 тыс. рублей;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МУП «УК Ключи» – 7 089,0 тыс. рублей;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ООО СХП «Лесное» – 1 219,0 тыс.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безработных по состоянию на 01.11.2023 составила 1,3 тыс. человека. Уровень регистрируемой безработицы – 0,8% (на 01.11.2022 – 0,9 %). Напряженность на рынке труда составила 0,3 человека на одну заявленную работодателями вакансию (01.11.2022 – 0,4).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01.10.2023 численность населения составила 289,0 тыс. человек, увеличилась по сравнению с 1 января 2023 года на 285 человек за счет миграционного прироста населения (608 человек). Естественная убыль составила 323 человека.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Сальдированный финансовый результат деятельности учтенного круга крупных и средних предприятий за январь-сентябрь 2023 года составил 19 077,3 млн рублей, что меньше аналогичного периода прошлого года на 42,4%.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Положительный сальдированный результат получен по основным видам деятельности: «обрабатывающие производства» – 4 372,2 млн рублей;«обеспечение электрической энергией, газом и паром» – 4 156,9 млн рублей; «транспортировка и хранение» – 1 769,4 млн рублей; «деятельность по операциям с недвижимым имуществом» – 339,4 млн рублей; «водоснабжение, водоотведение, сбор и утилизация отходов, деятельность по ликвидации загрязнений» – 290,1 млн рублей.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Удельный вес убыточных организаций в общем числе организаций составил 33,9% от их общего числа.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Дебиторская задолженность по состоянию на 01.10.2023 составила 127 097,3 млн рублей, что на 24,7% выше, чем на 01.10.2022. Удельный вес просроченной дебиторской задолженности в общем объеме задолженности на 01.10.2023 составил 6,7%. Суммарный объем просроченной дебиторской задолженности по сравнению с аналогичным периодом прошлого года увеличился на 22,8% и составил 8 470,6 млн рублей.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Кредиторская задолженность по состоянию на 01.10.2023 составила 114 067,0 млн рублей, что на 17,0% выше, чем на 01.10.2022. Удельный вес просроченной кредиторской задолженности в общем объеме задолженности на 01.09.2023 составил 1,8%. Суммарный объем просроченной кредиторской задолженности по сравнению с аналогичным периодом прошлого года уменьшился на 10,1% и составил 2073,5 млн рублей.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Производство важнейших видов промышленной продукции по Камчатскому краю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Style w:val="Style_3"/>
        <w:tblW w:w="101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410"/>
        <w:gridCol w:w="1179"/>
        <w:gridCol w:w="1620"/>
        <w:gridCol w:w="1997"/>
      </w:tblGrid>
      <w:tr>
        <w:trPr>
          <w:trHeight w:val="12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показателей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измерения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Январь-октябрь 2023 года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Январь-октябрь 2023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январю-октябрю 2022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54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Электроэнергия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млн.кВт/ч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2 017,2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1 695,8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103,4</w:t>
            </w:r>
          </w:p>
        </w:tc>
      </w:tr>
      <w:tr>
        <w:trPr>
          <w:trHeight w:val="5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Пар и горячая вода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тыс.Гкал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3 523,1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2 717,5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100,2</w:t>
            </w:r>
          </w:p>
        </w:tc>
      </w:tr>
      <w:tr>
        <w:trPr>
          <w:trHeight w:val="404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Газ природный и попутный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млн.куб.м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0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Уголь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84,5</w:t>
            </w:r>
          </w:p>
        </w:tc>
      </w:tr>
      <w:tr>
        <w:trPr>
          <w:trHeight w:val="36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 необработанные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плотных куб.м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46,9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56,9</w:t>
            </w:r>
          </w:p>
        </w:tc>
      </w:tr>
      <w:tr>
        <w:trPr>
          <w:trHeight w:val="44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куб.м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1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Бетон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131,9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112,2</w:t>
            </w:r>
          </w:p>
        </w:tc>
      </w:tr>
      <w:tr>
        <w:trPr>
          <w:trHeight w:val="421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9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90,3</w:t>
            </w:r>
          </w:p>
        </w:tc>
      </w:tr>
      <w:tr>
        <w:trPr>
          <w:trHeight w:val="427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4,4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97,1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Сыры, продукты сырные и творог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105,3</w:t>
            </w:r>
          </w:p>
        </w:tc>
      </w:tr>
      <w:tr>
        <w:trPr>
          <w:trHeight w:val="419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хлебобулочные недлительного хранения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13,2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91,1</w:t>
            </w:r>
          </w:p>
        </w:tc>
      </w:tr>
      <w:tr>
        <w:trPr>
          <w:trHeight w:val="553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Кондитерские изделия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70,8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Воды минеральные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млн. полулитров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112,5</w:t>
            </w:r>
          </w:p>
        </w:tc>
      </w:tr>
      <w:tr>
        <w:trPr>
          <w:trHeight w:val="425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Пиво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дкл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968,6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773,9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95,5</w:t>
            </w:r>
          </w:p>
        </w:tc>
      </w:tr>
      <w:tr>
        <w:trPr>
          <w:trHeight w:val="772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997,2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1 163,0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137,4</w:t>
            </w:r>
          </w:p>
        </w:tc>
      </w:tr>
      <w:tr>
        <w:trPr>
          <w:trHeight w:val="312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Консервы рыбные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туб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4,4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73,5</w:t>
            </w:r>
          </w:p>
        </w:tc>
      </w:tr>
    </w:tbl>
    <w:p>
      <w:pPr>
        <w:pStyle w:val="Normal"/>
        <w:spacing w:lineRule="auto" w:line="240" w:before="40" w:after="0"/>
        <w:ind w:left="0" w:right="0" w:firstLine="425"/>
        <w:jc w:val="both"/>
        <w:rPr/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1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1339"/>
        <w:gridCol w:w="1677"/>
        <w:gridCol w:w="2308"/>
      </w:tblGrid>
      <w:tr>
        <w:trPr>
          <w:tblHeader w:val="true"/>
          <w:trHeight w:val="5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Показатели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2022 год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Январь-октябрь 2023 года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Январь-октябрь 2023 г. в % к январю-октябрю 2022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20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Индекс промышленного производства, %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85,4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136,2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01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30 469,7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34 714,9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135,8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угля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84,5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природного газа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 xml:space="preserve">- металлических руд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26 048,4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31 369,4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139,3</w:t>
            </w:r>
          </w:p>
        </w:tc>
      </w:tr>
      <w:tr>
        <w:trPr>
          <w:trHeight w:val="20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прочих полезных ископаемых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1 504,0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916,6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108,1</w:t>
            </w:r>
          </w:p>
        </w:tc>
      </w:tr>
      <w:tr>
        <w:trPr>
          <w:trHeight w:val="158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157 124,4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137 415,9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141,0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пищевых продуктов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147 476,0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129 662,0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144,0</w:t>
            </w:r>
          </w:p>
        </w:tc>
      </w:tr>
      <w:tr>
        <w:trPr>
          <w:trHeight w:val="20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напитков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1 150,4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977,3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102,8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обработка древесины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16,8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117,3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деятельность полиграфическая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196,1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157,7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97,6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химических веществ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68,3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резиновых и пластмассовых изделий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195,7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92,9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прочей неметаллической минеральной продукции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1275,1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1 229,5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109,5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ремонт и монтаж машин и оборудования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5 229,2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4 045,2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97,3</w:t>
            </w:r>
          </w:p>
        </w:tc>
      </w:tr>
      <w:tr>
        <w:trPr>
          <w:trHeight w:val="245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0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26 993,4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20 857,9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102,3</w:t>
            </w:r>
          </w:p>
        </w:tc>
      </w:tr>
      <w:tr>
        <w:trPr>
          <w:trHeight w:val="75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0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4 247,0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3 301,9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85,3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Объем инвестиций в основной капитал – всего,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руб.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90 934,7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97 752,1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43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197,7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158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67,4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69,6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109,9</w:t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Валовая продукция сельского хозяйства, млн руб.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10 960,6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11 326,5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84" w:leader="none"/>
              </w:tabs>
              <w:suppressAutoHyphens w:val="true"/>
              <w:spacing w:before="0" w:after="0"/>
              <w:ind w:left="0" w:right="113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производства продукции животноводства: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мясо, тыс. тонн (живой вес)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9,4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101,3</w:t>
            </w:r>
          </w:p>
        </w:tc>
      </w:tr>
      <w:tr>
        <w:trPr>
          <w:trHeight w:val="241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молоко, тыс. тонн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23,2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18,9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96,7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яйца, млн штук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109,7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31 603,1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27 335,7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100,9</w:t>
            </w:r>
          </w:p>
        </w:tc>
      </w:tr>
      <w:tr>
        <w:trPr>
          <w:trHeight w:val="158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него: бытовые услуги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1 885,4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1 665,6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100,9</w:t>
            </w:r>
          </w:p>
        </w:tc>
      </w:tr>
      <w:tr>
        <w:trPr>
          <w:trHeight w:val="295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розничной торговли – всего, млн руб.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86 784,1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75 400,3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99,2</w:t>
            </w:r>
          </w:p>
        </w:tc>
      </w:tr>
      <w:tr>
        <w:trPr>
          <w:trHeight w:val="20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Оборот общественного питания, млн руб.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8 427,6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7 340,3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100,4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103 529,5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113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114 605,2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103,7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334,4</w:t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 по видам деятельности: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2,4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75,0</w:t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7,1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sz w:val="22"/>
              </w:rPr>
            </w:pPr>
            <w:r>
              <w:rPr>
                <w:rFonts w:ascii="Times New Roman" w:hAnsi="Times New Roman"/>
                <w:i/>
                <w:kern w:val="0"/>
                <w:sz w:val="22"/>
                <w:szCs w:val="2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3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</w:rPr>
              <w:t>0,1</w:t>
            </w:r>
          </w:p>
        </w:tc>
        <w:tc>
          <w:tcPr>
            <w:tcW w:w="2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федерального бюджета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местных бюджетов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бюджета субъекта РФ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57" w:leader="none"/>
              </w:tabs>
              <w:suppressAutoHyphens w:val="true"/>
              <w:spacing w:before="0" w:after="0"/>
              <w:ind w:left="0" w:right="86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57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334,4</w:t>
            </w:r>
          </w:p>
        </w:tc>
      </w:tr>
      <w:tr>
        <w:trPr>
          <w:trHeight w:val="245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Грузооборот (данные по автомобильному транспорту), млн т/км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25,1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146,2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281,8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236,7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101,4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41 229,7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19 077,0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6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26 203,1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7 944,2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31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3 954,2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-5 203,3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4 576,2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4 372,2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107,5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1 273,1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4 156,9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306,0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752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8,4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290,1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233,8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596,5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2 182,7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44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2 987,1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1 542,8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Транспортировка и хранение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1 767,8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1 769,4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146,9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45,1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407,4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3" w:right="0" w:hanging="0"/>
              <w:jc w:val="both"/>
              <w:rPr>
                <w:rFonts w:ascii="Times New Roman" w:hAnsi="Times New Roman"/>
                <w:i/>
                <w:i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160,2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339,4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255,6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01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дебиторская – 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108 948,3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127 097,3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124,7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6 896,5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8 470,6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122,8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17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кредиторская – всего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101 551,9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114 067,0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117,0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283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1 927,9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2 073,5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110,1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населения, тыс. чел.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288,7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289,0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99,8</w:t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Естественный прирост (убыль), чел.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-881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-323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Миграционный прирост (убыль), чел.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-2 963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608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Численность занятых в экономике, тыс. чел.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164,5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166,8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96,2</w:t>
            </w:r>
          </w:p>
        </w:tc>
      </w:tr>
      <w:tr>
        <w:trPr>
          <w:trHeight w:val="294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Общая численность безработных, тыс. чел.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5,2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50,8</w:t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 т. ч. официально зарегистрированных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1,8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1,3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81,3</w:t>
            </w:r>
          </w:p>
        </w:tc>
      </w:tr>
      <w:tr>
        <w:trPr>
          <w:trHeight w:val="159" w:hRule="atLeast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Уровень зарегистрированной безработицы (среднее за период), %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0,8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Примечание: 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sz w:val="16"/>
        </w:rPr>
      </w:pPr>
      <w:r>
        <w:rPr>
          <w:rFonts w:ascii="Times New Roman" w:hAnsi="Times New Roman"/>
          <w:sz w:val="16"/>
        </w:rPr>
        <w:t>1 – январь-сентябрь 2023 года;</w:t>
      </w:r>
    </w:p>
    <w:p>
      <w:pPr>
        <w:pStyle w:val="Normal"/>
        <w:spacing w:lineRule="auto" w:line="240" w:before="0" w:after="0"/>
        <w:ind w:left="57" w:right="0" w:hanging="0"/>
        <w:jc w:val="both"/>
        <w:rPr>
          <w:sz w:val="16"/>
        </w:rPr>
      </w:pPr>
      <w:r>
        <w:rPr>
          <w:rFonts w:ascii="Times New Roman" w:hAnsi="Times New Roman"/>
          <w:sz w:val="16"/>
        </w:rPr>
        <w:t>2 – январь-сентябрь 2023 года к январю-сентябрю 2022 года.</w:t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mc:AlternateContent>
        <mc:Choice Requires="wps">
          <w:drawing>
            <wp:anchor behindDoc="0" distT="0" distB="635" distL="0" distR="0" simplePos="0" locked="0" layoutInCell="0" allowOverlap="1" relativeHeight="18">
              <wp:simplePos x="0" y="0"/>
              <wp:positionH relativeFrom="margin">
                <wp:posOffset>3064510</wp:posOffset>
              </wp:positionH>
              <wp:positionV relativeFrom="paragraph">
                <wp:posOffset>635</wp:posOffset>
              </wp:positionV>
              <wp:extent cx="245745" cy="173990"/>
              <wp:effectExtent l="0" t="0" r="0" b="0"/>
              <wp:wrapSquare wrapText="bothSides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8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41.3pt;margin-top:0.05pt;width:19.3pt;height:13.65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Square wrapText="bothSides"/>
              <wp:docPr id="3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49.05pt;margin-top:0.05pt;width:12pt;height:13.6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4625" cy="173990"/>
              <wp:effectExtent l="0" t="0" r="0" b="0"/>
              <wp:wrapSquare wrapText="bothSides"/>
              <wp:docPr id="5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6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  <w:color w:val="000000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248.2pt;margin-top:0.05pt;width:13.7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  <w:color w:val="000000"/>
                      </w:rPr>
                      <w:t>10</w:t>
                    </w:r>
                    <w:r>
                      <w:rPr>
                        <w:sz w:val="24"/>
                        <w:szCs w:val="24"/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Bxmessengerajax">
    <w:name w:val="bx-messenger-ajax"/>
    <w:basedOn w:val="16"/>
    <w:link w:val="Bxmessengerajax1"/>
    <w:qFormat/>
    <w:rPr/>
  </w:style>
  <w:style w:type="character" w:styleId="Annotationtext">
    <w:name w:val="annotation text"/>
    <w:link w:val="Annotationtext1"/>
    <w:qFormat/>
    <w:rPr>
      <w:sz w:val="20"/>
    </w:rPr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Caption">
    <w:name w:val="Caption"/>
    <w:qFormat/>
    <w:rPr>
      <w:i/>
      <w:sz w:val="24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11">
    <w:name w:val="Заголовок1"/>
    <w:link w:val="110"/>
    <w:qFormat/>
    <w:rPr>
      <w:rFonts w:ascii="Open Sans" w:hAnsi="Open Sans"/>
      <w:color w:val="000000"/>
      <w:spacing w:val="0"/>
      <w:sz w:val="28"/>
    </w:rPr>
  </w:style>
  <w:style w:type="character" w:styleId="12">
    <w:name w:val="Знак примечания1"/>
    <w:basedOn w:val="16"/>
    <w:link w:val="112"/>
    <w:qFormat/>
    <w:rPr>
      <w:sz w:val="16"/>
    </w:rPr>
  </w:style>
  <w:style w:type="character" w:styleId="Title">
    <w:name w:val="Title"/>
    <w:qFormat/>
    <w:rPr>
      <w:rFonts w:ascii="Open Sans" w:hAnsi="Open Sans"/>
      <w:sz w:val="28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Style9">
    <w:name w:val="Заголовок таблицы"/>
    <w:basedOn w:val="Style13"/>
    <w:link w:val="Style26"/>
    <w:qFormat/>
    <w:rPr>
      <w:b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List">
    <w:name w:val="List"/>
    <w:basedOn w:val="Textbody"/>
    <w:qFormat/>
    <w:rPr/>
  </w:style>
  <w:style w:type="character" w:styleId="Docdata">
    <w:name w:val="docdata"/>
    <w:basedOn w:val="16"/>
    <w:link w:val="Docdata1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">
    <w:name w:val="caption"/>
    <w:link w:val="Caption2"/>
    <w:qFormat/>
    <w:rPr>
      <w:i/>
      <w:sz w:val="24"/>
    </w:rPr>
  </w:style>
  <w:style w:type="character" w:styleId="Style10">
    <w:name w:val="Указатель"/>
    <w:link w:val="Style21"/>
    <w:qFormat/>
    <w:rPr/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21">
    <w:name w:val="Заголовок 21"/>
    <w:link w:val="211"/>
    <w:qFormat/>
    <w:rPr>
      <w:rFonts w:ascii="XO Thames" w:hAnsi="XO Thames"/>
      <w:b/>
      <w:color w:val="000000"/>
      <w:spacing w:val="0"/>
      <w:sz w:val="28"/>
    </w:rPr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41">
    <w:name w:val="Заголовок 41"/>
    <w:link w:val="411"/>
    <w:qFormat/>
    <w:rPr>
      <w:rFonts w:ascii="XO Thames" w:hAnsi="XO Thames"/>
      <w:b/>
      <w:color w:val="000000"/>
      <w:spacing w:val="0"/>
      <w:sz w:val="24"/>
    </w:rPr>
  </w:style>
  <w:style w:type="character" w:styleId="13">
    <w:name w:val="Верхний колонтитул1"/>
    <w:link w:val="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">
    <w:name w:val="Heading 5"/>
    <w:qFormat/>
    <w:rPr>
      <w:rFonts w:ascii="XO Thames" w:hAnsi="XO Thames"/>
      <w:b/>
    </w:rPr>
  </w:style>
  <w:style w:type="character" w:styleId="Indexheading">
    <w:name w:val="index heading"/>
    <w:link w:val="Indexheading1"/>
    <w:qFormat/>
    <w:rPr/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Style11">
    <w:name w:val="Заголовок"/>
    <w:link w:val="Style17"/>
    <w:qFormat/>
    <w:rPr>
      <w:rFonts w:ascii="Open Sans" w:hAnsi="Open Sans"/>
      <w:sz w:val="28"/>
    </w:rPr>
  </w:style>
  <w:style w:type="character" w:styleId="Style12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14">
    <w:name w:val="Список1"/>
    <w:basedOn w:val="Textbody"/>
    <w:link w:val="115"/>
    <w:qFormat/>
    <w:rPr/>
  </w:style>
  <w:style w:type="character" w:styleId="Annotationsubject">
    <w:name w:val="annotation subject"/>
    <w:basedOn w:val="Annotationtext"/>
    <w:link w:val="Annotationsubject1"/>
    <w:qFormat/>
    <w:rPr>
      <w:b/>
    </w:rPr>
  </w:style>
  <w:style w:type="character" w:styleId="Internetlink">
    <w:name w:val="Internet link"/>
    <w:basedOn w:val="DefaultParagraphFont"/>
    <w:link w:val="Internetlink1"/>
    <w:qFormat/>
    <w:rPr>
      <w:color w:val="0563C1" w:themeColor="hyperlink"/>
      <w:u w:val="single"/>
    </w:rPr>
  </w:style>
  <w:style w:type="character" w:styleId="Style13">
    <w:name w:val="Содержимое таблицы"/>
    <w:link w:val="Style25"/>
    <w:qFormat/>
    <w:rPr/>
  </w:style>
  <w:style w:type="character" w:styleId="15">
    <w:name w:val="Указатель1"/>
    <w:link w:val="11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1">
    <w:name w:val="Заголовок 31"/>
    <w:link w:val="311"/>
    <w:qFormat/>
    <w:rPr>
      <w:rFonts w:ascii="XO Thames" w:hAnsi="XO Thames"/>
      <w:b/>
      <w:color w:val="000000"/>
      <w:spacing w:val="0"/>
      <w:sz w:val="26"/>
    </w:rPr>
  </w:style>
  <w:style w:type="character" w:styleId="Header">
    <w:name w:val="Header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6">
    <w:name w:val="Основной шрифт абзаца1"/>
    <w:link w:val="11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7">
    <w:name w:val="Нижний колонтитул1"/>
    <w:link w:val="118"/>
    <w:qFormat/>
    <w:rPr>
      <w:rFonts w:ascii="Times New Roman" w:hAnsi="Times New Roman"/>
      <w:color w:val="000000"/>
      <w:spacing w:val="0"/>
      <w:sz w:val="28"/>
    </w:rPr>
  </w:style>
  <w:style w:type="character" w:styleId="Textbody">
    <w:name w:val="Text body"/>
    <w:link w:val="Textbody1"/>
    <w:qFormat/>
    <w:rPr/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18">
    <w:name w:val="Подзаголовок1"/>
    <w:link w:val="119"/>
    <w:qFormat/>
    <w:rPr>
      <w:rFonts w:ascii="XO Thames" w:hAnsi="XO Thames"/>
      <w:i/>
      <w:color w:val="000000"/>
      <w:spacing w:val="0"/>
      <w:sz w:val="24"/>
    </w:rPr>
  </w:style>
  <w:style w:type="character" w:styleId="Style14">
    <w:name w:val="Символ нумерации"/>
    <w:link w:val="Style2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5">
    <w:name w:val="Содержимое врезки"/>
    <w:link w:val="Style30"/>
    <w:qFormat/>
    <w:rPr/>
  </w:style>
  <w:style w:type="character" w:styleId="Style16">
    <w:name w:val="Колонтитул"/>
    <w:link w:val="Style23"/>
    <w:qFormat/>
    <w:rPr>
      <w:rFonts w:ascii="XO Thames" w:hAnsi="XO Thames"/>
      <w:color w:val="000000"/>
      <w:spacing w:val="0"/>
      <w:sz w:val="20"/>
    </w:rPr>
  </w:style>
  <w:style w:type="character" w:styleId="111">
    <w:name w:val="Заголовок 11"/>
    <w:link w:val="1110"/>
    <w:qFormat/>
    <w:rPr>
      <w:rFonts w:ascii="XO Thames" w:hAnsi="XO Thames"/>
      <w:b/>
      <w:color w:val="000000"/>
      <w:spacing w:val="0"/>
      <w:sz w:val="32"/>
    </w:rPr>
  </w:style>
  <w:style w:type="character" w:styleId="ListParagraph">
    <w:name w:val="List Paragraph"/>
    <w:link w:val="ListParagraph1"/>
    <w:qFormat/>
    <w:rPr/>
  </w:style>
  <w:style w:type="character" w:styleId="19">
    <w:name w:val="Название объекта1"/>
    <w:link w:val="120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51">
    <w:name w:val="Заголовок 51"/>
    <w:link w:val="511"/>
    <w:qFormat/>
    <w:rPr>
      <w:rFonts w:ascii="XO Thames" w:hAnsi="XO Thames"/>
      <w:b/>
      <w:color w:val="000000"/>
      <w:spacing w:val="0"/>
      <w:sz w:val="22"/>
    </w:rPr>
  </w:style>
  <w:style w:type="paragraph" w:styleId="Style17">
    <w:name w:val="Заголовок"/>
    <w:basedOn w:val="Normal"/>
    <w:next w:val="Style18"/>
    <w:link w:val="Style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1"/>
    <w:pPr/>
    <w:rPr/>
  </w:style>
  <w:style w:type="paragraph" w:styleId="Style20">
    <w:name w:val="Caption"/>
    <w:basedOn w:val="Normal"/>
    <w:qFormat/>
    <w:pPr>
      <w:spacing w:before="120" w:after="120"/>
    </w:pPr>
    <w:rPr>
      <w:i/>
      <w:sz w:val="24"/>
    </w:rPr>
  </w:style>
  <w:style w:type="paragraph" w:styleId="Style21">
    <w:name w:val="Указатель"/>
    <w:basedOn w:val="Normal"/>
    <w:link w:val="Style10"/>
    <w:qFormat/>
    <w:pPr/>
    <w:rPr/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xmessengerajax1">
    <w:name w:val="bx-messenger-ajax"/>
    <w:basedOn w:val="117"/>
    <w:link w:val="Bxmessengerajax"/>
    <w:qFormat/>
    <w:pPr/>
    <w:rPr/>
  </w:style>
  <w:style w:type="paragraph" w:styleId="Annotationtext1">
    <w:name w:val="annotation text"/>
    <w:basedOn w:val="Normal"/>
    <w:link w:val="Annotationtext"/>
    <w:qFormat/>
    <w:pPr>
      <w:spacing w:lineRule="auto" w:line="240"/>
    </w:pPr>
    <w:rPr>
      <w:sz w:val="20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0">
    <w:name w:val="Заголовок1"/>
    <w:link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">
    <w:name w:val="Знак примечания1"/>
    <w:basedOn w:val="117"/>
    <w:link w:val="12"/>
    <w:qFormat/>
    <w:pPr/>
    <w:rPr>
      <w:sz w:val="16"/>
    </w:rPr>
  </w:style>
  <w:style w:type="paragraph" w:styleId="Style22">
    <w:name w:val="Title"/>
    <w:next w:val="Style18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Колонтитул"/>
    <w:link w:val="Style1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4">
    <w:name w:val="Foot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Содержимое таблицы"/>
    <w:basedOn w:val="Normal"/>
    <w:link w:val="Style13"/>
    <w:qFormat/>
    <w:pPr>
      <w:widowControl w:val="false"/>
    </w:pPr>
    <w:rPr/>
  </w:style>
  <w:style w:type="paragraph" w:styleId="Style26">
    <w:name w:val="Заголовок таблицы"/>
    <w:basedOn w:val="Style25"/>
    <w:link w:val="Style9"/>
    <w:qFormat/>
    <w:pPr>
      <w:jc w:val="center"/>
    </w:pPr>
    <w:rPr>
      <w:b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Docdata1">
    <w:name w:val="docdata"/>
    <w:basedOn w:val="117"/>
    <w:link w:val="Docdata"/>
    <w:qFormat/>
    <w:pPr/>
    <w:rPr/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">
    <w:name w:val="caption"/>
    <w:basedOn w:val="Normal"/>
    <w:link w:val="Caption1"/>
    <w:qFormat/>
    <w:pPr>
      <w:spacing w:before="120" w:after="120"/>
    </w:pPr>
    <w:rPr>
      <w:i/>
      <w:sz w:val="24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Заголовок 21"/>
    <w:link w:val="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1">
    <w:name w:val="Заголовок 41"/>
    <w:link w:val="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3">
    <w:name w:val="Верхний колонтитул1"/>
    <w:link w:val="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1">
    <w:name w:val="index heading"/>
    <w:basedOn w:val="Normal"/>
    <w:link w:val="Indexheading"/>
    <w:qFormat/>
    <w:pPr/>
    <w:rPr/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basedOn w:val="DefaultParagraphFont1"/>
    <w:link w:val="Internetlink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4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5">
    <w:name w:val="Список1"/>
    <w:basedOn w:val="Textbody1"/>
    <w:link w:val="14"/>
    <w:qFormat/>
    <w:pPr/>
    <w:rPr/>
  </w:style>
  <w:style w:type="paragraph" w:styleId="Annotationsubject1">
    <w:name w:val="annotation subject"/>
    <w:basedOn w:val="Annotationtext1"/>
    <w:next w:val="Annotationtext1"/>
    <w:link w:val="Annotationsubject"/>
    <w:qFormat/>
    <w:pPr/>
    <w:rPr>
      <w:b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6">
    <w:name w:val="Указатель1"/>
    <w:link w:val="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1">
    <w:name w:val="Заголовок 31"/>
    <w:link w:val="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Head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7">
    <w:name w:val="Основной шрифт абзаца1"/>
    <w:link w:val="1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8">
    <w:name w:val="Нижний колонтитул1"/>
    <w:link w:val="1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9">
    <w:name w:val="Подзаголовок1"/>
    <w:link w:val="1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9">
    <w:name w:val="Символ нумерации"/>
    <w:link w:val="Style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Style30">
    <w:name w:val="Содержимое врезки"/>
    <w:basedOn w:val="Normal"/>
    <w:link w:val="Style15"/>
    <w:qFormat/>
    <w:pPr/>
    <w:rPr/>
  </w:style>
  <w:style w:type="paragraph" w:styleId="1110">
    <w:name w:val="Заголовок 11"/>
    <w:link w:val="1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0">
    <w:name w:val="Название объекта1"/>
    <w:link w:val="1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511">
    <w:name w:val="Заголовок 51"/>
    <w:link w:val="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table" w:styleId="Style_81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LibreOffice/7.4.4.2$Linux_X86_64 LibreOffice_project/40$Build-2</Application>
  <AppVersion>15.0000</AppVersion>
  <Pages>10</Pages>
  <Words>2925</Words>
  <Characters>18941</Characters>
  <CharactersWithSpaces>21503</CharactersWithSpaces>
  <Paragraphs>428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2023-12-27T11:52:57Z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