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528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</w:rPr>
        <w:t>Приложение к письму Минэкономразвития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за январь</w:t>
      </w:r>
      <w:r>
        <w:rPr>
          <w:rFonts w:eastAsia="Times New Roman" w:cs="Times New Roman" w:ascii="Times New Roman" w:hAnsi="Times New Roman"/>
          <w:b/>
          <w:sz w:val="28"/>
          <w:shd w:fill="auto" w:val="clear"/>
        </w:rPr>
        <w:t>–</w:t>
      </w:r>
      <w:r>
        <w:rPr>
          <w:rFonts w:ascii="Times New Roman" w:hAnsi="Times New Roman"/>
          <w:b/>
          <w:sz w:val="28"/>
          <w:shd w:fill="auto" w:val="clear"/>
        </w:rPr>
        <w:t>ноябрь 2023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В январе-ноябре 2023 года динамику роста показали: промышленное производство, ввод в действие жилых домов, объем платных услуг населению, оборот общественного питания, оборот розничной торговли, пассажирооборот и грузооборот автомобильного транспорта.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Вместе с тем, наблюдается снижение объема строительных работ, оборота  оптовой торговли.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Оборот организаций по всем видам экономической деятельности за январь-ноябрь 2023 года составил 521 103,7 млн рублей, вырос на 13,1% к январю-ноябрю 2022 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Индекс промышленного производства составил 131,7%. Рост в добывающей промышленности составил 36,7%, в обрабатывающих производствах – 37,9%, в деятельности организаций по обеспечению электрической энергией, газом и паром; кондиционированию воздуха – 2,1% к январю-ноябрю 2022 года. Отрицательная динамика наблюдается в водоснабжении, водоотведении, организации сбора и утилизации отходов, ликвидации загрязнений (– 21,3%).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Предприятиями, осуществляющими добычу полезных ископаемых, отгружено продукции на 41 590,1 млн рублей (155,2% к январю-ноябрю 2022 года в действующих ценах). Индекс производства составил 136,7%, что обусловлено ростом металлических руд (золота и серебра) на 40%.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В обрабатывающих производствах отгружено товаров собственного производства на сумму 155 034,6 млн рублей или 133,6% по отношению к январю-ноябрю 2022 года, индекс производства составил 137,9%.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Индекс производства пищевых продуктов составил 140,9% к январю-ноябрю 2022 года, объем отгруженной продукции составил 146 350,2 млн рублей (134,2% к январю-ноябрю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Рыбы переработанной и консервированной, ракообразных и моллюсков произведено 1 250,7 тыс. тонн или 135,0% к январю-ноябрю 2022 года.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t xml:space="preserve">За январь-ноябрь 2023 года объем вылова водных биологических ресурсов составил 1 763,3 тыс. тонн, что на 32,8% больше уровня 2022 года. </w:t>
      </w: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8"/>
          <w:shd w:fill="auto" w:val="clear"/>
          <w:lang w:val="ru-RU" w:eastAsia="zh-CN" w:bidi="hi-IN"/>
        </w:rPr>
        <w:t xml:space="preserve">Увеличение объемов вылова отмечается: по сардине иваси в 4,1 раза, лососю в 3,6 раза, камбале +6,6%, наваге +9,5%, кальмару +14,5%, крабам +23,9%, макрурусам +13,0%.  Отмечено снижение вылова минтая -1,5%, палтусов -16,6%, трески -20,3%, сельди </w:t>
        <w:br/>
        <w:t>-25,6% и терпугов -11,1%.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В секторе производства пищевых продуктов, ориентированных на региональный рынок (кроме рыбоперерабатывающей промышленности), отмечено увеличение производства растительных и животных масел и жиров в 2,4 раза, переработки и консервирования мяса и мясной продукции на 34,5%, производства готовых кормов для животных на 8,8%, производства прочих пищевых продуктов на 5,5%.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Снижение отмечалось в производстве продуктов мукомольной и крупяной промышленности, крахмала и крахмалосодержащих продуктов на 39,4%, в переработке и консервировании фруктов и овощей на 27,8%, в производстве хлебобулочных и мучных кондитерских изделий на 14,0%, по производству молочной продукции на 1,0%.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Наблюдается снижение производства по ремонту и монтажу машин и оборудования (судоремонт) на 4,5% к январю-ноябрю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На предприятиях по обеспечению электрической энергией, газом и паром отгружено продукции собственного производства на сумму 23 438,1 млн рублей, что составляет 113,5% к январю-ноябрю 2022 года, индекс производства составил 102,1%. Производство электроэнергии увеличилось на 3,3% к январю-ноябрю 2022 года и составило 1 881,6 млн кВт-ч. Отмечается рост потребления электрической энергии рыбоперерабатывающими заводами, организациями жилищно-коммунального хозяйства, населением. Производство тепловой энергии, пара и горячей воды уменьшилось на 0,1% (произведено 3 101,9 тыс. Гкл).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Объем отгруженных товаров предприятиями водоснабжения; водоотведения, сбора и утилизации отходов составил 3 682,4 млн рублей (109,7% к январю-ноябрю 2022 года), индекс производства составил 84,0%, в том числе индекс производства по забору, очистке и распределению воды составил 99,7%, по сбору и обработке сточных вод – 90,0%, по сбору, обработке и утилизации отходов; обработки вторичного сырья – 62,7%.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Производство продукции сельского хозяйства за январь-сентябрь 2023 года составило 11 326,5 млн рублей (100,4% к январю-сентябрю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 xml:space="preserve">В январе-ноябре 2023 года в сельскохозяйственных организациях Камчатского края ситуация в сфере животноводства и растениеводства сложилась следующим образом: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– </w:t>
      </w:r>
      <w:r>
        <w:rPr>
          <w:rFonts w:ascii="Times New Roman" w:hAnsi="Times New Roman"/>
          <w:sz w:val="28"/>
          <w:shd w:fill="auto" w:val="clear"/>
        </w:rPr>
        <w:t>производство мяса составило 8,4 тыс. тонн (100,5% к январю-ноябрю 2022 года);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– </w:t>
      </w:r>
      <w:r>
        <w:rPr>
          <w:rFonts w:ascii="Times New Roman" w:hAnsi="Times New Roman"/>
          <w:sz w:val="28"/>
          <w:shd w:fill="auto" w:val="clear"/>
        </w:rPr>
        <w:t>производство молока составило 20,3 тыс. тонн (96,4% к январю-ноябрю 2022 года). Средний надой молока на одну корову увеличился на 0,3%.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 xml:space="preserve">Объём инвестиций в основной капитал за январь-сентябрь 2023 года составил 97 752,1 млн рублей или 197,7 % к январю-сентябрю 2022 года (в сопоставимой оценке).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Объём работ, выполненных по виду экономической деятельности «Строительство», в январе-ноябре 2023 года составил 30 699,5 млн рублей, что в сопоставимой оценке составляет 76,6% относительно показателя за аналогичный период предыдущего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За январь-ноябрь 2023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74,4 тыс. кв. метров (112,5% к аналогичному периоду 2022 года), в том числе, построенных населением за счет собственных и привлеченных средств 49,3 тыс. кв. метров (98,3% к аналогичному периоду 2022 года). </w:t>
      </w: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Введены в эксплуатацию 7 многоквартирных жилых домов в городах Петропавловск-Камчатский и Елизово, а также в Усть-Большерецком, Усть-Камчатском и Пенжинском муниципальных районах общей площадью 25,1 тыс. кв. метров.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 xml:space="preserve">В соответствии с Федеральной адресной инвестиционной программой на 2023 год и на плановый период 2024 и 2025 годов, утвержденной Президиумом Правительственной комиссии по региональному развитию в Российской Федерации от 8 декабря 2022 года (далее – ФАИП), на строительство и реконструкцию объектов государственной собственности, находящихся на территории Камчатского края, предусмотрено финансирование на 2023 год в объеме 8 598,9 млн рублей, в том числе по направлениям: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«здравоохранение» – 4 736,0 млн рублей;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 xml:space="preserve">«морской транспорт» – 652,2 млн рублей;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 xml:space="preserve">«коммунальное строительство» – 1 054,1 млн рублей;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 xml:space="preserve">«центральные организации» – 0,089 млн рублей;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7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«воздушный транспорт» – 2 156,6 млн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Перечень краевых инвестиционных мероприятий (объектов) утвержден постановлением Правительства Камчатского края от 28.11.2022 № 612-П «Об утверждении инвестиционной программы Камчатского края на 2023 год и на плановый период 2024–2025 годов и прогнозный период 2026–2027 годов» (далее – Инвестиционная программа).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В 2023 году на реализацию инвестиционных мероприятий предусмотрены ассигнования за счет всех источников финансирования в сумме 20 087,96 млн рублей, в том числе за счет средств федерального бюджета – 13 485,20 млн рублей (67,1%), краевого бюджета – 4 802,11 млн рублей (23,9%), Фонда развития территорий –1 718,72 млн рублей (8,5%).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 xml:space="preserve">В рамках Инвестиционной программы ведется строительство значимых для Камчатского края объектов, в том числе: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строительство Камчатской краевой больницы, техническая готовность объекта на отчетную дату составила 57%;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завершается строительство Фельдшерского здравпункта в с. Крутоберегово Усть-Камчатского муниципального района, мощность объекта – 70 кв.м/15 посещений в смену;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завершено строительство Фельдшерско-акушерского пункта в с. Апука Олюторского муниципального района, ведется приемка работ;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реализуется мероприятие «Строительство подъезда к проектируемому аэровокзалу в г. Елизово от автомобильной дороги А-401 «Подъездная дорога от морского порта Петропавловск-Камчатский к аэропорту Петропавловск-Камчатский на участке 34». Государственный контракт заключен с ООО «Устой-М». Заключено соглашение об установлении сервитута в отношении части земельного участка, выполнены работы по созданию геодезической разбивочной основы на объекте;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продолжилось строительство автомобильной дороги общего пользования регионального значения Камчатского края «п. Термальный - туристский кластер «Три вулкана» (1-3 этапы), протяженностью 32,063 км. 17.10.2022 заключен государственный контракт № 48, Подрядчик ООО «УстойМ»;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ведутся работы третьего этапа, мощность объекта – 270 квартир, техническая готовность</w:t>
        <w:br/>
        <w:t xml:space="preserve"> 3-го этапа – 56%, общая готовность – 68,5%;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завершается строительство Детского сада по ул. Вилюйская, 60 в г. Петропавловске-Камчатском на 160 мест, стоимость работ по контракту 611 949,91 тыс. рублей. Техническая готовность объекта — 94,8 %;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67,8 %;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на объекте «Средняя общеобразовательная школа в с. Кавалерское Усть-Большерецкого района» на 90 мест идут подготовительные работы к окончательной приемке выполненных работ;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продолжилось строительство Камчатского театра кукол г. Петропавловск-Камчатский на 350 мест, заключен контракт с единственным поставщиком ООО «Трест» от 29.04.2022 № 28/22-ГК на завершение строительства, срок выполнения работ 01.12.2024;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реализуется мероприятие «Реконструкция системы водоотведения Елизовского городского поселения. 1 Этап. Реконструкция КОС-29 км, строительство сливной станции», мощность объекта 1000 м</w:t>
      </w:r>
      <w:r>
        <w:rPr>
          <w:rFonts w:ascii="Times New Roman" w:hAnsi="Times New Roman"/>
          <w:sz w:val="28"/>
          <w:shd w:fill="auto" w:val="clear"/>
          <w:vertAlign w:val="superscript"/>
        </w:rPr>
        <w:t>3</w:t>
      </w:r>
      <w:r>
        <w:rPr>
          <w:rFonts w:ascii="Times New Roman" w:hAnsi="Times New Roman"/>
          <w:sz w:val="28"/>
          <w:shd w:fill="auto" w:val="clear"/>
        </w:rPr>
        <w:t>/сутки;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продолжилось строительство инженерной инфраструктуры на территории жилого района в Вулканном городском поселении Елизовского района Камчатского края, техническая готовность объекта 59,5%. В ходе выполнения работ на объекте выявлены ранее не установленные изысканиями подземные коммуникации, для решения этих задач вносятся изменения в ПСД. Срок выполнения работ продлен до 20.06.2024;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введен в эксплуатацию спортивный зал единоборств в г. Елизово;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реализуется мероприятие регионального проекта «Чистая вода» по реконструкции водовода от водозабора до пгт Палана и внутриплощадочных сетей водовода территории совхоза пгт Палана Тигильского муниципального района;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реализуется мероприятие «Реконструкция котельной № 20 (ул. Деркачева) с передачей нагрузок котельной № 10 с учетом реконструкции тепловых сетей котельных», срок выполнения работ согласно контракту 30.11.2023. Работы на объекте приостановлены по причине корректировки рабочей документации в рамках авторского надзора;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ведется реконструкция системы водоотведения центральной части г. Петропавловска-Камчатского. Канализационная насосная станция КНС «Мехзавод», мощность объекта 7500 м</w:t>
      </w:r>
      <w:r>
        <w:rPr>
          <w:rFonts w:ascii="Times New Roman" w:hAnsi="Times New Roman"/>
          <w:sz w:val="28"/>
          <w:shd w:fill="auto" w:val="clear"/>
          <w:vertAlign w:val="superscript"/>
        </w:rPr>
        <w:t>3</w:t>
      </w:r>
      <w:r>
        <w:rPr>
          <w:rFonts w:ascii="Times New Roman" w:hAnsi="Times New Roman"/>
          <w:sz w:val="28"/>
          <w:shd w:fill="auto" w:val="clear"/>
        </w:rPr>
        <w:t>/сутки;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ведется реконструкция автомобильной дороги Петропавловск-Камчатский - Мильково 40 км - Пиначево с подъездом к п. Раздольный и к базе с/х Заречный на участке км 1 </w:t>
      </w:r>
      <w:r>
        <w:rPr>
          <w:rFonts w:eastAsia="Times New Roman" w:cs="Times New Roman" w:ascii="Times New Roman" w:hAnsi="Times New Roman"/>
          <w:sz w:val="28"/>
          <w:shd w:fill="auto" w:val="clear"/>
        </w:rPr>
        <w:t>–</w:t>
      </w:r>
      <w:r>
        <w:rPr>
          <w:rFonts w:ascii="Times New Roman" w:hAnsi="Times New Roman"/>
          <w:sz w:val="28"/>
          <w:shd w:fill="auto" w:val="clear"/>
        </w:rPr>
        <w:t xml:space="preserve"> км 16,4. Работы выполняются в два этапа, заключены государственные контракты с ООО «Устой-М», техническая готовность соответственно – 19% и 28%;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8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ведется строительство Автомобильной дороги для резидента ООО «Соколиный центр «Камчатка», срок выполнения работ 30.04.2024, техническая готовность — 95%.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Фактический объем финансирования за отчетный период составил 7 744,32 млн рублей (38,6% от предусмотренного объема), в том числе за счет средств федерального бюджета – 4 345,32 млн рублей (32,2%), за счет средств краевого бюджета – 2 245,62 млн рублей (46,8%), Фонда развития территорий – 1 137,08 млн рублей (66,2%).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По состоянию на 01.12.2023 освоение составило 5 809,62 млн рублей (28,9% от предусмотренного объема), в том числе за счет средств федерального бюджета – 2 832,11 млн рублей (21,0%), за счет средств краевого бюджета – 1 917,11 млн рублей (39,9%), Фонда развития территорий — 1 054,16 млн рублей (61,3%).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В секторе потребительского рынка в январе-ноябре 2023 года сложилась следующая ситуация: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– </w:t>
      </w:r>
      <w:r>
        <w:rPr>
          <w:rFonts w:ascii="Times New Roman" w:hAnsi="Times New Roman"/>
          <w:sz w:val="28"/>
          <w:shd w:fill="auto" w:val="clear"/>
        </w:rPr>
        <w:t>оборот розничной торговли составил 84 191,1 млн рублей (100,5% к январю-ноябрю 2022 года) и на 93,7% сформирован торгующими организациями и 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– </w:t>
      </w:r>
      <w:r>
        <w:rPr>
          <w:rFonts w:ascii="Times New Roman" w:hAnsi="Times New Roman"/>
          <w:sz w:val="28"/>
          <w:shd w:fill="auto" w:val="clear"/>
        </w:rPr>
        <w:t>оборот общественного питания составил 8 129,0 млн рублей (101,2% к январю-ноябрю 2022 года);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– </w:t>
      </w:r>
      <w:r>
        <w:rPr>
          <w:rFonts w:ascii="Times New Roman" w:hAnsi="Times New Roman"/>
          <w:sz w:val="28"/>
          <w:shd w:fill="auto" w:val="clear"/>
        </w:rPr>
        <w:t>платных услуг населению края было оказано на сумму 30 157,6 млн рублей (100,9% к январю-ноябрю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71,8% общего объема потребляемых услуг. Удельный вес бытовых услуг в общем объеме платных услуг населению составил 6,1%. В январе-ноябре 2023 года населению края было оказано бытовых услуг на 1 846,0 млн рублей, что в сопоставимых ценах на 1,0% больше, чем в январе-ноябре 2022 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Пассажирооборот автомобильного транспорта за январь-ноябрь 2023 года составил 260,6 млн пасс.-км (101,4% к январю-ноябрю 2022 года). Число перевезенных пассажиров автомобильным транспортом составило 31,3 млн человек (98,8% к январю-ноябрю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Грузооборот автомобильного транспорта за январь-ноябрь 2023 года составил 32,6 млн т-км (рост в 1,4 раза к январю-ноябрю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Объем перевезенного груза на морском транспорте составил 483,2 тыс. тонн (107,6% к январю-ноябрю 2022 года). Грузооборот морского транспорта увеличился на 17,1% и составил 945,4 млн т-км. Рост в каботажном плавании составил 14,8%, в заграничном 29,8% к январю-ноябрю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Среднегодовой показатель индекса потребительских цен в январе-ноябре 2023 года составил 107,5%, в том числе: 107,8% на продовольственные товары,</w:t>
        <w:br/>
        <w:t>108,5% – на непродовольственные товары и 105,4% на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Среднемесячная номинальная начисленная заработная плата одного работника за январь-октябрь 2023 года составила 115 470,6 рубля (112,1% к январю-октябрю 2022 года). Реальная заработная плата составила 104,3% к январю-октябрю 2022 года.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На 01.12.2023 просроченная задолженность по заработной плате составила 2 451,0 тыс. рублей (МУП «Автодор»).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Задолженность на 100% образована из-за отсутствия у организации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Численность официально зарегистрированных безработных по состоянию на 01.12.2023 составила 1,4 тыс. человек. Уровень регистрируемой безработицы – 0,8% (на 01.12.2022 – 1,0%). Напряженность на рынке труда составила 0,3 человека на одну заявленную работодателями вакансию (01.12.2022 – 0,4).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По состоянию на 01.1</w:t>
      </w:r>
      <w:r>
        <w:rPr>
          <w:rFonts w:ascii="Times New Roman" w:hAnsi="Times New Roman"/>
          <w:sz w:val="28"/>
          <w:shd w:fill="auto" w:val="clear"/>
        </w:rPr>
        <w:t>1</w:t>
      </w:r>
      <w:r>
        <w:rPr>
          <w:rFonts w:ascii="Times New Roman" w:hAnsi="Times New Roman"/>
          <w:sz w:val="28"/>
          <w:shd w:fill="auto" w:val="clear"/>
        </w:rPr>
        <w:t>.2023 численность населения составила 289,0 тыс. человек, увеличилась по сравнению с 1 января 2023 года на 248 человек за счет миграционного прироста населения (568 человек). Естественная убыль составила 320 человек.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  <w:shd w:fill="auto" w:val="clear"/>
        </w:rPr>
        <w:t>Сальдированный финансовый результат деятельности учтенного круга крупных и средних предприятий за январь-октябрь 2023 года составил 30 872,4 млн рублей, что меньше аналогичного периода прошлого года на 26,3%.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  <w:shd w:fill="auto" w:val="clear"/>
        </w:rPr>
        <w:t>Положительный сальдированный результат получен по основным видам деятельности: «обрабатывающие производства» – 4 569,6 млн рублей; «обеспечение электрической энергией, газом и паром» – 4 468,1 млн рублей; «транспортировка и хранение» – 1 843,1 млн рублей; «деятельность по операциям с недвижимым имуществом» – 338,9 млн рублей; «водоснабжение, водоотведение, сбор и утилизация отходов, деятельность по ликвидации загрязнений» – 209,8 млн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  <w:shd w:fill="auto" w:val="clear"/>
        </w:rPr>
        <w:t>Удельный вес убыточных организаций в общем числе организаций составил 34,5% от их общего числа.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Дебиторская задолженность по состоянию на 01.11.2023 составила 143 832,3 млн рублей, что на 37,2% выше, чем на 01.11.2022. Удельный вес просроченной дебиторской задолженности в общем объеме задолженности на 01.11.2023 составил 5,3%. Суммарный объем просроченной дебиторской задолженности по сравнению с аналогичным периодом прошлого года увеличился на 9,6% и составил 7 730,2 млн рублей.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  <w:shd w:fill="auto" w:val="clear"/>
        </w:rPr>
        <w:t xml:space="preserve">Кредиторская задолженность по состоянию на 01.11.2023 составила 107 883,2 млн рублей, что на 6,3% выше, чем на 01.11.2022. Удельный вес просроченной кредиторской задолженности в общем объеме задолженности на 01.11.2023 составил 1,6%. Суммарный объем просроченной кредиторской задолженности по сравнению с аналогичным периодом прошлого года уменьшился на 9,7% и составил 1 735,9 млн рублей.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 w:val="false"/>
          <w:sz w:val="28"/>
          <w:highlight w:val="none"/>
          <w:shd w:fill="auto" w:val="clear"/>
        </w:rPr>
      </w:pPr>
      <w:r>
        <w:rPr>
          <w:b w:val="false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  <w:r>
        <w:br w:type="page"/>
      </w:r>
    </w:p>
    <w:p>
      <w:pPr>
        <w:pStyle w:val="Normal"/>
        <w:spacing w:before="0" w:after="1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Производство важнейших видов промышленной продукции по Камчатскому краю</w:t>
      </w:r>
    </w:p>
    <w:p>
      <w:pPr>
        <w:pStyle w:val="Normal"/>
        <w:jc w:val="center"/>
        <w:rPr>
          <w:rFonts w:ascii="Times New Roman" w:hAnsi="Times New Roman"/>
          <w:b/>
          <w:b/>
          <w:highlight w:val="none"/>
          <w:shd w:fill="auto" w:val="clear"/>
        </w:rPr>
      </w:pPr>
      <w:r>
        <w:rPr>
          <w:rFonts w:ascii="Times New Roman" w:hAnsi="Times New Roman"/>
          <w:b/>
          <w:shd w:fill="auto" w:val="clear"/>
        </w:rPr>
      </w:r>
    </w:p>
    <w:tbl>
      <w:tblPr>
        <w:tblStyle w:val="Style_3"/>
        <w:tblW w:w="10150" w:type="dxa"/>
        <w:jc w:val="left"/>
        <w:tblInd w:w="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362"/>
        <w:gridCol w:w="1075"/>
        <w:gridCol w:w="1878"/>
        <w:gridCol w:w="1875"/>
      </w:tblGrid>
      <w:tr>
        <w:trPr>
          <w:trHeight w:val="124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Наименование показателей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измерения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2022 год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Январь-ноябрь 2023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Январь-ноябрь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г. в % к январю-ноябрю 2022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Электроэнергия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млн.кВт/ч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2 017,2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1 881,6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103,3</w:t>
            </w:r>
          </w:p>
        </w:tc>
      </w:tr>
      <w:tr>
        <w:trPr>
          <w:trHeight w:val="561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Пар и горячая вода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тыс.Гкал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3 523,1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3 101,9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99,9</w:t>
            </w:r>
          </w:p>
        </w:tc>
      </w:tr>
      <w:tr>
        <w:trPr>
          <w:trHeight w:val="404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Газ природный и попутный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млн.куб.м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</w:tr>
      <w:tr>
        <w:trPr>
          <w:trHeight w:val="40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Уголь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87,6</w:t>
            </w:r>
          </w:p>
        </w:tc>
      </w:tr>
      <w:tr>
        <w:trPr>
          <w:trHeight w:val="361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Лесоматериалы необработанные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плотных куб.м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46,9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15,5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55,0</w:t>
            </w:r>
          </w:p>
        </w:tc>
      </w:tr>
      <w:tr>
        <w:trPr>
          <w:trHeight w:val="441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куб.м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</w:tr>
      <w:tr>
        <w:trPr>
          <w:trHeight w:val="413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Бетон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129,1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131,9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112,2</w:t>
            </w:r>
          </w:p>
        </w:tc>
      </w:tr>
      <w:tr>
        <w:trPr>
          <w:trHeight w:val="421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</w:tr>
      <w:tr>
        <w:trPr>
          <w:trHeight w:val="49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90,3</w:t>
            </w:r>
          </w:p>
        </w:tc>
      </w:tr>
      <w:tr>
        <w:trPr>
          <w:trHeight w:val="427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Молоко жидкое обработанное, включая молоко для детского питания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5,3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96,8</w:t>
            </w:r>
          </w:p>
        </w:tc>
      </w:tr>
      <w:tr>
        <w:trPr>
          <w:trHeight w:val="419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Сыры, продукты сырные и творог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0,9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105,1</w:t>
            </w:r>
          </w:p>
        </w:tc>
      </w:tr>
      <w:tr>
        <w:trPr>
          <w:trHeight w:val="419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Изделия хлебобулочные недлительного хранения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18,0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14,4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91,0</w:t>
            </w:r>
          </w:p>
        </w:tc>
      </w:tr>
      <w:tr>
        <w:trPr>
          <w:trHeight w:val="553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Кондитерские изделия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69,6</w:t>
            </w:r>
          </w:p>
        </w:tc>
      </w:tr>
      <w:tr>
        <w:trPr>
          <w:trHeight w:val="42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Воды минеральные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млн. полулитров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</w:tr>
      <w:tr>
        <w:trPr>
          <w:trHeight w:val="42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Пиво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дкл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968,6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847,6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95,5</w:t>
            </w:r>
          </w:p>
        </w:tc>
      </w:tr>
      <w:tr>
        <w:trPr>
          <w:trHeight w:val="772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997,2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1 250,7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135,0</w:t>
            </w:r>
          </w:p>
        </w:tc>
      </w:tr>
      <w:tr>
        <w:trPr>
          <w:trHeight w:val="312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Консервы рыбные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тыс. туб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6,9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74,7</w:t>
            </w:r>
          </w:p>
        </w:tc>
      </w:tr>
    </w:tbl>
    <w:p>
      <w:pPr>
        <w:pStyle w:val="Normal"/>
        <w:spacing w:lineRule="auto" w:line="240" w:before="40" w:after="0"/>
        <w:ind w:left="0" w:right="0" w:firstLine="425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0"/>
          <w:shd w:fill="auto" w:val="clear"/>
        </w:rPr>
        <w:t>Примечание:</w:t>
      </w:r>
      <w:r>
        <w:rPr>
          <w:rFonts w:ascii="Times New Roman" w:hAnsi="Times New Roman"/>
          <w:shd w:fill="auto" w:val="clear"/>
        </w:rPr>
        <w:t> </w:t>
      </w:r>
      <w:r>
        <w:rPr>
          <w:rFonts w:ascii="Times New Roman" w:hAnsi="Times New Roman"/>
          <w:sz w:val="20"/>
          <w:shd w:fill="auto" w:val="clear"/>
        </w:rPr>
        <w:t>*</w:t>
      </w:r>
      <w:r>
        <w:rPr>
          <w:rFonts w:ascii="Times New Roman" w:hAnsi="Times New Roman"/>
          <w:shd w:fill="auto" w:val="clear"/>
        </w:rPr>
        <w:t> </w:t>
      </w:r>
      <w:r>
        <w:rPr>
          <w:rFonts w:ascii="Times New Roman" w:hAnsi="Times New Roman"/>
          <w:sz w:val="16"/>
          <w:shd w:fill="auto" w:val="clear"/>
        </w:rPr>
        <w:t>–</w:t>
      </w:r>
      <w:r>
        <w:rPr>
          <w:rFonts w:ascii="Times New Roman" w:hAnsi="Times New Roman"/>
          <w:shd w:fill="auto" w:val="clear"/>
        </w:rPr>
        <w:t> </w:t>
      </w:r>
      <w:r>
        <w:rPr>
          <w:rFonts w:ascii="Times New Roman" w:hAnsi="Times New Roman"/>
          <w:sz w:val="20"/>
          <w:shd w:fill="auto" w:val="clear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Макроэкономические показатели по Камчатскому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tbl>
      <w:tblPr>
        <w:tblStyle w:val="Style_3"/>
        <w:tblW w:w="10200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0"/>
        <w:gridCol w:w="1350"/>
        <w:gridCol w:w="1765"/>
        <w:gridCol w:w="2034"/>
      </w:tblGrid>
      <w:tr>
        <w:trPr>
          <w:tblHeader w:val="true"/>
          <w:trHeight w:val="5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Показатели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2022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Январь-ноябрь 2023 года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Январь-ноябрь 2023 г. в 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к январю-ноябрю 2022 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(в сопоставимых условиях)</w:t>
            </w:r>
          </w:p>
        </w:tc>
      </w:tr>
      <w:tr>
        <w:trPr>
          <w:trHeight w:val="20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Индекс промышленного производства, 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85,4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131,7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683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</w:tr>
      <w:tr>
        <w:trPr>
          <w:trHeight w:val="201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Добыча полезных ископаемых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30 469,7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41 590,1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136,7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угля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87,6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природного газа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металлических руд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26 048,4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37 669,4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140,0</w:t>
            </w:r>
          </w:p>
        </w:tc>
      </w:tr>
      <w:tr>
        <w:trPr>
          <w:trHeight w:val="20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прочих полезных ископаемых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1 504,0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1 117,0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111,6</w:t>
            </w:r>
          </w:p>
        </w:tc>
      </w:tr>
      <w:tr>
        <w:trPr>
          <w:trHeight w:val="158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Обрабатывающие производства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157 124,4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155 034,6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137,9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производство пищевых продуктов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147 476,0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146 350,2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140,9</w:t>
            </w:r>
          </w:p>
        </w:tc>
      </w:tr>
      <w:tr>
        <w:trPr>
          <w:trHeight w:val="20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производство напитков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1 150,4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1 082,0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101,9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обработка древесины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16,8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115,9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деятельность полиграфическая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196,1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172,8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96,6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производство химических веществ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68,9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производство резиновых и пластмассовых изделий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195,7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93,3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производство прочей неметаллической минеральной продукции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1275,1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1 460,7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113,8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 ремонт и монтаж машин и оборудования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5 229,2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4 454,7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95,5</w:t>
            </w:r>
          </w:p>
        </w:tc>
      </w:tr>
      <w:tr>
        <w:trPr>
          <w:trHeight w:val="245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0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26 993,4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23 438,1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102,1</w:t>
            </w:r>
          </w:p>
        </w:tc>
      </w:tr>
      <w:tr>
        <w:trPr>
          <w:trHeight w:val="75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0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4 247,0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3 682,4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78,7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Объем инвестиций в основной капитал – всего,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млн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90 934,7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97 752,1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3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197,7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158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67,4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74,4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112,5</w:t>
            </w:r>
          </w:p>
        </w:tc>
      </w:tr>
      <w:tr>
        <w:trPr>
          <w:trHeight w:val="15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Валовая продукция сельского хозяйства, млн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10 960,6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11 326,5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84" w:leader="none"/>
              </w:tabs>
              <w:suppressAutoHyphens w:val="true"/>
              <w:spacing w:before="0" w:after="0"/>
              <w:ind w:left="0" w:right="113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100,4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Объем производства продукции животноводства: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мясо, тыс. тонн (живой вес)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8,4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100,5</w:t>
            </w:r>
          </w:p>
        </w:tc>
      </w:tr>
      <w:tr>
        <w:trPr>
          <w:trHeight w:val="241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молоко, тыс. тонн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23,2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20,6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96,4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яйца, млн штук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31 603,1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30 157,6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100,9</w:t>
            </w:r>
          </w:p>
        </w:tc>
      </w:tr>
      <w:tr>
        <w:trPr>
          <w:trHeight w:val="158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 него: бытовые услуги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1 885,4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1 846,0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101,0</w:t>
            </w:r>
          </w:p>
        </w:tc>
      </w:tr>
      <w:tr>
        <w:trPr>
          <w:trHeight w:val="295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Оборот розничной торговли – всего, млн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86 784,1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84 191,1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100,5</w:t>
            </w:r>
          </w:p>
        </w:tc>
      </w:tr>
      <w:tr>
        <w:trPr>
          <w:trHeight w:val="20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Оборот общественного питания, млн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8 427,6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8 129,0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101,2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103 529,5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115 6470,6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104,3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3,2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77,5</w:t>
            </w:r>
          </w:p>
        </w:tc>
      </w:tr>
      <w:tr>
        <w:trPr>
          <w:trHeight w:val="15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 том числе по видам деятельности: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</w:tr>
      <w:tr>
        <w:trPr>
          <w:trHeight w:val="15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Транспорт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77,5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 том числе: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 федерального бюджета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 местных бюджетов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из бюджета субъекта РФ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3,2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2,4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77,5</w:t>
            </w:r>
          </w:p>
        </w:tc>
      </w:tr>
      <w:tr>
        <w:trPr>
          <w:trHeight w:val="245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Грузооборот (данные по автомобильному транспорту), млн т/км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25,1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32,6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141,8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281,8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260,6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101,4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41 229,7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30 872,4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73,7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4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 том числе: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</w:tr>
      <w:tr>
        <w:trPr>
          <w:trHeight w:val="476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Сельское, лесное хозяйство, охота, рыболовство и рыбоводство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26 203,1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15 586,8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53,7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Добыча полезных ископаемых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3 954,2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-949,7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Обрабатывающие производства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4 576,2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4 569,1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135,5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1 273,1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4 468,1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352,3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4</w:t>
            </w:r>
          </w:p>
        </w:tc>
      </w:tr>
      <w:tr>
        <w:trPr>
          <w:trHeight w:val="752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8,4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209,8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100,0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4</w:t>
            </w:r>
          </w:p>
        </w:tc>
      </w:tr>
      <w:tr>
        <w:trPr>
          <w:trHeight w:val="226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Строительство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596,5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2 339,1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981,0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4</w:t>
            </w:r>
          </w:p>
        </w:tc>
      </w:tr>
      <w:tr>
        <w:trPr>
          <w:trHeight w:val="44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2 987,1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1 674,7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73,0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Транспортировка и хранение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1 767,8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1 843,1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140,5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Деятельность гостиниц и предприятий общественного 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45,1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-177,4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Деятельность по операциям с недвижимым имуществом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160,2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338,9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  <w:t>229,2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hd w:fill="auto" w:val="clear"/>
              </w:rPr>
            </w:r>
          </w:p>
        </w:tc>
      </w:tr>
      <w:tr>
        <w:trPr>
          <w:trHeight w:val="201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дебиторская – всего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108 948,3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143 832,3</w:t>
            </w: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137,2</w:t>
            </w: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 том числе: просроченная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6 896,5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7 730,2</w:t>
            </w: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3</w:t>
            </w:r>
          </w:p>
        </w:tc>
        <w:tc>
          <w:tcPr>
            <w:tcW w:w="203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109,6</w:t>
            </w: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кредиторская – всего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101 551,9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107 883,2</w:t>
            </w: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3</w:t>
            </w:r>
          </w:p>
        </w:tc>
        <w:tc>
          <w:tcPr>
            <w:tcW w:w="203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106,3</w:t>
            </w: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 том числе: просроченная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1 927,9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1 735,9</w:t>
            </w: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3</w:t>
            </w:r>
          </w:p>
        </w:tc>
        <w:tc>
          <w:tcPr>
            <w:tcW w:w="203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90,3</w:t>
            </w: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Численность населения, тыс. чел.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288,7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289,0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99,9</w:t>
            </w:r>
          </w:p>
        </w:tc>
      </w:tr>
      <w:tr>
        <w:trPr>
          <w:trHeight w:val="15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Естественный прирост (убыль), чел.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-881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 xml:space="preserve">-320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Миграционный прирост (убыль), чел.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-2 963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 xml:space="preserve">568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Численность занятых в экономике, тыс. чел.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164,5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163,9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94,5</w:t>
            </w:r>
          </w:p>
        </w:tc>
      </w:tr>
      <w:tr>
        <w:trPr>
          <w:trHeight w:val="294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Общая численность безработных, тыс. чел.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5,2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3,2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56,1</w:t>
            </w:r>
          </w:p>
        </w:tc>
      </w:tr>
      <w:tr>
        <w:trPr>
          <w:trHeight w:val="15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в т. ч. официально зарегистрированных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1,8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1,5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77,4</w:t>
            </w:r>
          </w:p>
        </w:tc>
      </w:tr>
      <w:tr>
        <w:trPr>
          <w:trHeight w:val="159" w:hRule="atLeast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Уровень зарегистрированной безработицы (среднее за период), 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1,1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0,9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shd w:fill="auto" w:val="clear"/>
        </w:rPr>
        <w:t xml:space="preserve">Примечание: 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shd w:fill="auto" w:val="clear"/>
        </w:rPr>
        <w:t>…</w:t>
      </w:r>
      <w:r>
        <w:rPr>
          <w:rFonts w:ascii="Times New Roman" w:hAnsi="Times New Roman"/>
          <w:sz w:val="16"/>
          <w:shd w:fill="auto" w:val="clear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shd w:fill="auto" w:val="clear"/>
        </w:rPr>
        <w:t>1 – январь-сентябрь 2023 года;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shd w:fill="auto" w:val="clear"/>
        </w:rPr>
        <w:t>2 – январь-сентябрь 2023 года к январю-сентябрю 2022 года;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shd w:fill="auto" w:val="clear"/>
        </w:rPr>
        <w:t>3 – январь-октябрь 2023 года;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shd w:fill="auto" w:val="clear"/>
        </w:rPr>
        <w:t>4 – январь-октябрь 2023 к январю-октябрю 2022 года.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highlight w:val="none"/>
          <w:shd w:fill="auto" w:val="clear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134" w:right="567" w:gutter="0" w:header="709" w:top="1268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10</w:t>
    </w:r>
    <w:r>
      <w:rPr>
        <w:sz w:val="24"/>
        <w:szCs w:val="24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9</w:t>
    </w:r>
    <w:r>
      <w:rPr>
        <w:sz w:val="24"/>
        <w:szCs w:val="24"/>
        <w:rFonts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pacing w:val="0"/>
        <w:szCs w:val="28"/>
        <w:rFonts w:ascii="Times New Roman" w:hAnsi="Times New Roman"/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pacing w:val="0"/>
        <w:szCs w:val="28"/>
        <w:rFonts w:ascii="Times New Roman" w:hAnsi="Times New Roman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pacing w:val="0"/>
        <w:szCs w:val="28"/>
        <w:rFonts w:ascii="Times New Roman" w:hAnsi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3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Bxmessengerajax">
    <w:name w:val="bx-messenger-ajax"/>
    <w:basedOn w:val="16"/>
    <w:link w:val="Bxmessengerajax1"/>
    <w:qFormat/>
    <w:rPr/>
  </w:style>
  <w:style w:type="character" w:styleId="Annotationtext">
    <w:name w:val="annotation text"/>
    <w:link w:val="Annotationtext1"/>
    <w:qFormat/>
    <w:rPr>
      <w:sz w:val="20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Caption1">
    <w:name w:val="Caption1"/>
    <w:qFormat/>
    <w:rPr>
      <w:i/>
      <w:sz w:val="24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11">
    <w:name w:val="Заголовок1"/>
    <w:link w:val="112"/>
    <w:qFormat/>
    <w:rPr>
      <w:rFonts w:ascii="Open Sans" w:hAnsi="Open Sans"/>
      <w:color w:val="000000"/>
      <w:spacing w:val="0"/>
      <w:sz w:val="28"/>
    </w:rPr>
  </w:style>
  <w:style w:type="character" w:styleId="12">
    <w:name w:val="Знак примечания1"/>
    <w:basedOn w:val="16"/>
    <w:link w:val="113"/>
    <w:qFormat/>
    <w:rPr>
      <w:sz w:val="16"/>
    </w:rPr>
  </w:style>
  <w:style w:type="character" w:styleId="Title1">
    <w:name w:val="Title1"/>
    <w:qFormat/>
    <w:rPr>
      <w:rFonts w:ascii="Open Sans" w:hAnsi="Open San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Style9">
    <w:name w:val="Заголовок таблицы"/>
    <w:basedOn w:val="Style13"/>
    <w:link w:val="115"/>
    <w:qFormat/>
    <w:rPr>
      <w:b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List1">
    <w:name w:val="List1"/>
    <w:basedOn w:val="Textbody"/>
    <w:qFormat/>
    <w:rPr/>
  </w:style>
  <w:style w:type="character" w:styleId="Docdata">
    <w:name w:val="docdata"/>
    <w:basedOn w:val="16"/>
    <w:link w:val="Docdata1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2">
    <w:name w:val="caption2"/>
    <w:link w:val="Caption3"/>
    <w:qFormat/>
    <w:rPr>
      <w:i/>
      <w:sz w:val="24"/>
    </w:rPr>
  </w:style>
  <w:style w:type="character" w:styleId="Style10">
    <w:name w:val="Указатель"/>
    <w:link w:val="21112"/>
    <w:qFormat/>
    <w:rPr/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21">
    <w:name w:val="Заголовок 21"/>
    <w:link w:val="2113"/>
    <w:qFormat/>
    <w:rPr>
      <w:rFonts w:ascii="XO Thames" w:hAnsi="XO Thames"/>
      <w:b/>
      <w:color w:val="000000"/>
      <w:spacing w:val="0"/>
      <w:sz w:val="28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41">
    <w:name w:val="Заголовок 41"/>
    <w:link w:val="411"/>
    <w:qFormat/>
    <w:rPr>
      <w:rFonts w:ascii="XO Thames" w:hAnsi="XO Thames"/>
      <w:b/>
      <w:color w:val="000000"/>
      <w:spacing w:val="0"/>
      <w:sz w:val="24"/>
    </w:rPr>
  </w:style>
  <w:style w:type="character" w:styleId="13">
    <w:name w:val="Верхний колонтитул1"/>
    <w:link w:val="11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1">
    <w:name w:val="Heading 51"/>
    <w:qFormat/>
    <w:rPr>
      <w:rFonts w:ascii="XO Thames" w:hAnsi="XO Thames"/>
      <w:b/>
    </w:rPr>
  </w:style>
  <w:style w:type="character" w:styleId="Indexheading">
    <w:name w:val="index heading"/>
    <w:link w:val="Indexheading1"/>
    <w:qFormat/>
    <w:rPr/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Style11">
    <w:name w:val="Заголовок"/>
    <w:link w:val="21111"/>
    <w:qFormat/>
    <w:rPr>
      <w:rFonts w:ascii="Open Sans" w:hAnsi="Open Sans"/>
      <w:sz w:val="28"/>
    </w:rPr>
  </w:style>
  <w:style w:type="character" w:styleId="Style12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14">
    <w:name w:val="Список1"/>
    <w:basedOn w:val="Textbody"/>
    <w:link w:val="118"/>
    <w:qFormat/>
    <w:rPr/>
  </w:style>
  <w:style w:type="character" w:styleId="Annotationsubject">
    <w:name w:val="annotation subject"/>
    <w:basedOn w:val="Annotationtext"/>
    <w:link w:val="Annotationsubject1"/>
    <w:qFormat/>
    <w:rPr>
      <w:b/>
    </w:rPr>
  </w:style>
  <w:style w:type="character" w:styleId="Internetlink">
    <w:name w:val="Internet link"/>
    <w:basedOn w:val="DefaultParagraphFont"/>
    <w:link w:val="Internetlink1"/>
    <w:qFormat/>
    <w:rPr>
      <w:color w:val="0563C1" w:themeColor="hyperlink"/>
      <w:u w:val="single"/>
    </w:rPr>
  </w:style>
  <w:style w:type="character" w:styleId="Style13">
    <w:name w:val="Содержимое таблицы"/>
    <w:link w:val="114"/>
    <w:qFormat/>
    <w:rPr/>
  </w:style>
  <w:style w:type="character" w:styleId="15">
    <w:name w:val="Указатель1"/>
    <w:link w:val="11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31">
    <w:name w:val="Заголовок 31"/>
    <w:link w:val="311"/>
    <w:qFormat/>
    <w:rPr>
      <w:rFonts w:ascii="XO Thames" w:hAnsi="XO Thames"/>
      <w:b/>
      <w:color w:val="000000"/>
      <w:spacing w:val="0"/>
      <w:sz w:val="26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6">
    <w:name w:val="Основной шрифт абзаца1"/>
    <w:link w:val="1110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7">
    <w:name w:val="Нижний колонтитул1"/>
    <w:link w:val="1111"/>
    <w:qFormat/>
    <w:rPr>
      <w:rFonts w:ascii="Times New Roman" w:hAnsi="Times New Roman"/>
      <w:color w:val="000000"/>
      <w:spacing w:val="0"/>
      <w:sz w:val="28"/>
    </w:rPr>
  </w:style>
  <w:style w:type="character" w:styleId="Textbody">
    <w:name w:val="Text body"/>
    <w:link w:val="Textbody1"/>
    <w:qFormat/>
    <w:rPr/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18">
    <w:name w:val="Подзаголовок1"/>
    <w:link w:val="1112"/>
    <w:qFormat/>
    <w:rPr>
      <w:rFonts w:ascii="XO Thames" w:hAnsi="XO Thames"/>
      <w:i/>
      <w:color w:val="000000"/>
      <w:spacing w:val="0"/>
      <w:sz w:val="24"/>
    </w:rPr>
  </w:style>
  <w:style w:type="character" w:styleId="Style14">
    <w:name w:val="Символ нумерации"/>
    <w:link w:val="120"/>
    <w:qFormat/>
    <w:rPr>
      <w:rFonts w:ascii="Times New Roman" w:hAnsi="Times New Roman"/>
      <w:color w:val="000000"/>
      <w:spacing w:val="0"/>
      <w:sz w:val="28"/>
      <w:szCs w:val="28"/>
    </w:rPr>
  </w:style>
  <w:style w:type="character" w:styleId="Style15">
    <w:name w:val="Содержимое врезки"/>
    <w:link w:val="121"/>
    <w:qFormat/>
    <w:rPr/>
  </w:style>
  <w:style w:type="character" w:styleId="Style16">
    <w:name w:val="Колонтитул"/>
    <w:link w:val="110"/>
    <w:qFormat/>
    <w:rPr>
      <w:rFonts w:ascii="XO Thames" w:hAnsi="XO Thames"/>
      <w:color w:val="000000"/>
      <w:spacing w:val="0"/>
      <w:sz w:val="20"/>
    </w:rPr>
  </w:style>
  <w:style w:type="character" w:styleId="111">
    <w:name w:val="Заголовок 11"/>
    <w:link w:val="1113"/>
    <w:qFormat/>
    <w:rPr>
      <w:rFonts w:ascii="XO Thames" w:hAnsi="XO Thames"/>
      <w:b/>
      <w:color w:val="000000"/>
      <w:spacing w:val="0"/>
      <w:sz w:val="32"/>
    </w:rPr>
  </w:style>
  <w:style w:type="character" w:styleId="ListParagraph">
    <w:name w:val="List Paragraph"/>
    <w:link w:val="ListParagraph1"/>
    <w:qFormat/>
    <w:rPr/>
  </w:style>
  <w:style w:type="character" w:styleId="19">
    <w:name w:val="Название объекта1"/>
    <w:link w:val="1114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51">
    <w:name w:val="Заголовок 51"/>
    <w:link w:val="511"/>
    <w:qFormat/>
    <w:rPr>
      <w:rFonts w:ascii="XO Thames" w:hAnsi="XO Thames"/>
      <w:b/>
      <w:color w:val="000000"/>
      <w:spacing w:val="0"/>
      <w:sz w:val="2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1"/>
    <w:pPr/>
    <w:rPr/>
  </w:style>
  <w:style w:type="paragraph" w:styleId="Style20">
    <w:name w:val="Caption"/>
    <w:basedOn w:val="Normal"/>
    <w:qFormat/>
    <w:pPr>
      <w:spacing w:before="120" w:after="120"/>
    </w:pPr>
    <w:rPr>
      <w:i/>
      <w:sz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22">
    <w:name w:val="Заголовок2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23">
    <w:name w:val="Указатель2"/>
    <w:basedOn w:val="Normal"/>
    <w:qFormat/>
    <w:pPr>
      <w:suppressLineNumbers/>
    </w:pPr>
    <w:rPr>
      <w:rFonts w:cs="Lohit Devanagari"/>
    </w:rPr>
  </w:style>
  <w:style w:type="paragraph" w:styleId="211">
    <w:name w:val="Заголовок21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212">
    <w:name w:val="Указатель21"/>
    <w:basedOn w:val="Normal"/>
    <w:qFormat/>
    <w:pPr>
      <w:suppressLineNumbers/>
    </w:pPr>
    <w:rPr>
      <w:rFonts w:cs="Lohit Devanagari"/>
    </w:rPr>
  </w:style>
  <w:style w:type="paragraph" w:styleId="2111">
    <w:name w:val="Заголовок211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2112">
    <w:name w:val="Указатель211"/>
    <w:basedOn w:val="Normal"/>
    <w:qFormat/>
    <w:pPr>
      <w:suppressLineNumbers/>
    </w:pPr>
    <w:rPr>
      <w:rFonts w:cs="Lohit Devanagari"/>
    </w:rPr>
  </w:style>
  <w:style w:type="paragraph" w:styleId="21111">
    <w:name w:val="Заголовок2111"/>
    <w:basedOn w:val="Normal"/>
    <w:next w:val="Style18"/>
    <w:link w:val="Style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21112">
    <w:name w:val="Указатель2111"/>
    <w:basedOn w:val="Normal"/>
    <w:link w:val="Style10"/>
    <w:qFormat/>
    <w:pPr/>
    <w:rPr/>
  </w:style>
  <w:style w:type="paragraph" w:styleId="24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1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xmessengerajax1">
    <w:name w:val="bx-messenger-ajax1"/>
    <w:basedOn w:val="1110"/>
    <w:link w:val="Bxmessengerajax"/>
    <w:qFormat/>
    <w:pPr/>
    <w:rPr/>
  </w:style>
  <w:style w:type="paragraph" w:styleId="Annotationtext1">
    <w:name w:val="annotation text1"/>
    <w:basedOn w:val="Normal"/>
    <w:link w:val="Annotationtext"/>
    <w:qFormat/>
    <w:pPr>
      <w:spacing w:lineRule="auto" w:line="240"/>
    </w:pPr>
    <w:rPr>
      <w:sz w:val="20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2">
    <w:name w:val="Заголовок11"/>
    <w:link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1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Знак примечания11"/>
    <w:basedOn w:val="1110"/>
    <w:link w:val="12"/>
    <w:qFormat/>
    <w:pPr/>
    <w:rPr>
      <w:sz w:val="16"/>
    </w:rPr>
  </w:style>
  <w:style w:type="paragraph" w:styleId="Style22">
    <w:name w:val="Title"/>
    <w:next w:val="Style18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Колонтитул1"/>
    <w:link w:val="Style1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5">
    <w:name w:val="Колонтитул2"/>
    <w:basedOn w:val="Normal"/>
    <w:qFormat/>
    <w:pPr/>
    <w:rPr/>
  </w:style>
  <w:style w:type="paragraph" w:styleId="32">
    <w:name w:val="Колонтитул3"/>
    <w:basedOn w:val="Normal"/>
    <w:qFormat/>
    <w:pPr/>
    <w:rPr/>
  </w:style>
  <w:style w:type="paragraph" w:styleId="43">
    <w:name w:val="Колонтитул4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Содержимое таблицы1"/>
    <w:basedOn w:val="Normal"/>
    <w:link w:val="Style13"/>
    <w:qFormat/>
    <w:pPr>
      <w:widowControl w:val="false"/>
    </w:pPr>
    <w:rPr/>
  </w:style>
  <w:style w:type="paragraph" w:styleId="115">
    <w:name w:val="Заголовок таблицы1"/>
    <w:basedOn w:val="114"/>
    <w:link w:val="Style9"/>
    <w:qFormat/>
    <w:pPr>
      <w:jc w:val="center"/>
    </w:pPr>
    <w:rPr>
      <w:b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Docdata1">
    <w:name w:val="docdata1"/>
    <w:basedOn w:val="1110"/>
    <w:link w:val="Docdata"/>
    <w:qFormat/>
    <w:pPr/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3">
    <w:name w:val="caption3"/>
    <w:basedOn w:val="Normal"/>
    <w:link w:val="Caption2"/>
    <w:qFormat/>
    <w:pPr>
      <w:spacing w:before="120" w:after="120"/>
    </w:pPr>
    <w:rPr>
      <w:i/>
      <w:sz w:val="24"/>
    </w:rPr>
  </w:style>
  <w:style w:type="paragraph" w:styleId="3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1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3">
    <w:name w:val="Заголовок 211"/>
    <w:link w:val="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11">
    <w:name w:val="Заголовок 411"/>
    <w:link w:val="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6">
    <w:name w:val="Верхний колонтитул11"/>
    <w:link w:val="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1">
    <w:name w:val="index heading1"/>
    <w:basedOn w:val="Normal"/>
    <w:link w:val="Indexheading"/>
    <w:qFormat/>
    <w:pPr/>
    <w:rPr/>
  </w:style>
  <w:style w:type="paragraph" w:styleId="Contents91">
    <w:name w:val="Contents 91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"/>
    <w:link w:val="Internetlink"/>
    <w:qFormat/>
    <w:pPr/>
    <w:rPr>
      <w:color w:val="0563C1" w:themeColor="hyperlink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7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">
    <w:name w:val="Contents 81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8">
    <w:name w:val="Список11"/>
    <w:basedOn w:val="Textbody1"/>
    <w:link w:val="14"/>
    <w:qFormat/>
    <w:pPr/>
    <w:rPr/>
  </w:style>
  <w:style w:type="paragraph" w:styleId="Annotationsubject1">
    <w:name w:val="annotation subject1"/>
    <w:basedOn w:val="Annotationtext1"/>
    <w:next w:val="Annotationtext1"/>
    <w:link w:val="Annotationsubject"/>
    <w:qFormat/>
    <w:pPr/>
    <w:rPr>
      <w:b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Указатель11"/>
    <w:link w:val="1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1">
    <w:name w:val="Заголовок 311"/>
    <w:link w:val="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11">
    <w:name w:val="Contents 1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1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Head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0">
    <w:name w:val="Основной шрифт абзаца11"/>
    <w:link w:val="1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">
    <w:name w:val="Нижний колонтитул11"/>
    <w:link w:val="1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">
    <w:name w:val="Text body1"/>
    <w:link w:val="Text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">
    <w:name w:val="Подзаголовок11"/>
    <w:link w:val="1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0">
    <w:name w:val="Символ нумерации1"/>
    <w:link w:val="Style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121">
    <w:name w:val="Содержимое врезки1"/>
    <w:basedOn w:val="Normal"/>
    <w:link w:val="Style15"/>
    <w:qFormat/>
    <w:pPr/>
    <w:rPr/>
  </w:style>
  <w:style w:type="paragraph" w:styleId="1113">
    <w:name w:val="Заголовок 111"/>
    <w:link w:val="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Contents51">
    <w:name w:val="Contents 51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1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4">
    <w:name w:val="Название объекта11"/>
    <w:link w:val="1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511">
    <w:name w:val="Заголовок 511"/>
    <w:link w:val="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26">
    <w:name w:val="Содержимое врезки2"/>
    <w:basedOn w:val="Normal"/>
    <w:qFormat/>
    <w:pPr/>
    <w:rPr/>
  </w:style>
  <w:style w:type="paragraph" w:styleId="27">
    <w:name w:val="Содержимое таблицы2"/>
    <w:basedOn w:val="Normal"/>
    <w:qFormat/>
    <w:pPr>
      <w:widowControl w:val="false"/>
      <w:suppressLineNumbers/>
    </w:pPr>
    <w:rPr/>
  </w:style>
  <w:style w:type="paragraph" w:styleId="28">
    <w:name w:val="Заголовок таблицы2"/>
    <w:basedOn w:val="27"/>
    <w:qFormat/>
    <w:pPr>
      <w:suppressLineNumbers/>
      <w:jc w:val="center"/>
    </w:pPr>
    <w:rPr>
      <w:b/>
      <w:bCs/>
    </w:rPr>
  </w:style>
  <w:style w:type="paragraph" w:styleId="34">
    <w:name w:val="Содержимое врезки3"/>
    <w:basedOn w:val="Normal"/>
    <w:qFormat/>
    <w:pPr/>
    <w:rPr/>
  </w:style>
  <w:style w:type="paragraph" w:styleId="44">
    <w:name w:val="Содержимое врезки4"/>
    <w:basedOn w:val="Normal"/>
    <w:qFormat/>
    <w:pPr/>
    <w:rPr/>
  </w:style>
  <w:style w:type="paragraph" w:styleId="Style27">
    <w:name w:val="Содержимое врезки"/>
    <w:basedOn w:val="Normal"/>
    <w:qFormat/>
    <w:pPr/>
    <w:rPr/>
  </w:style>
  <w:style w:type="table" w:styleId="Style_81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Application>LibreOffice/7.4.4.2$Linux_X86_64 LibreOffice_project/40$Build-2</Application>
  <AppVersion>15.0000</AppVersion>
  <Pages>10</Pages>
  <Words>2983</Words>
  <Characters>19335</Characters>
  <CharactersWithSpaces>21935</CharactersWithSpaces>
  <Paragraphs>425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2024-01-12T09:13:09Z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