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rPr>
          <w:trHeight w:hRule="atLeast" w:val="1082"/>
        </w:trP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экономического развития Камчатского края от 06.06.2023 № 133-П «Об утверждении Регламента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ведения инвестиционной карты Камчатского края»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приказ Министерства экономического развития Камчатского края</w:t>
      </w:r>
      <w:r>
        <w:rPr>
          <w:rFonts w:ascii="Times New Roman" w:hAnsi="Times New Roman"/>
          <w:b w:val="0"/>
          <w:sz w:val="28"/>
        </w:rPr>
        <w:t xml:space="preserve"> от 06.06.2023 № 133-П «Об утверждении Регламента </w:t>
      </w:r>
      <w:r>
        <w:rPr>
          <w:rStyle w:val="Style_4_ch"/>
          <w:rFonts w:ascii="Times New Roman" w:hAnsi="Times New Roman"/>
          <w:b w:val="0"/>
          <w:sz w:val="28"/>
        </w:rPr>
        <w:t>ведения инвестиционной карты Камчатского края»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наименование изложить в следующей редакции: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«Об утверждении Регламента формирования и ведения инвестиционной карты Камчатского края, размещенной на Инвестиционной карте Российской Федерации»;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преамбулу изложить в следующей редакции: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 xml:space="preserve">В соответствии с Методическими рекомендациями по формированию инвестиционной карты субъекта Российской Федерации, утвержденными приложением № 4 к приказу Министерства экономического развития Российской Федерации от 30.09.2021 № 591 «О системе поддержки региональных инвестиционных проектов в субъектах Российской Федерации («Региональный инвестиционный стандарт»)», </w:t>
      </w:r>
      <w:r>
        <w:rPr>
          <w:rStyle w:val="Style_4_ch"/>
          <w:rFonts w:ascii="Times New Roman" w:hAnsi="Times New Roman"/>
          <w:sz w:val="28"/>
        </w:rPr>
        <w:t>с учетом</w:t>
      </w:r>
      <w:r>
        <w:rPr>
          <w:rStyle w:val="Style_4_ch"/>
          <w:rFonts w:ascii="Times New Roman" w:hAnsi="Times New Roman"/>
          <w:sz w:val="28"/>
        </w:rPr>
        <w:t xml:space="preserve"> пункта 6 раздела II Протокола совещания у Первого заместителя Председателя Правительства Российской Федерации А.Р. Белоусова от 05.07.2023 № АБ-П13-110пр, письма Минист</w:t>
      </w:r>
      <w:r>
        <w:rPr>
          <w:rStyle w:val="Style_4_ch"/>
          <w:rFonts w:ascii="Times New Roman" w:hAnsi="Times New Roman"/>
          <w:sz w:val="28"/>
        </w:rPr>
        <w:t>ерства экономического развития Российской Федерации от 08.08.2023 № 28301-МК/Д28и»;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>в части 1 слова «</w:t>
      </w:r>
      <w:r>
        <w:rPr>
          <w:rFonts w:ascii="Times New Roman" w:hAnsi="Times New Roman"/>
          <w:sz w:val="28"/>
        </w:rPr>
        <w:t>Регламент ведения инвестиционной карты Камчатского края» заменить словами «</w:t>
      </w:r>
      <w:r>
        <w:rPr>
          <w:rFonts w:ascii="Times New Roman" w:hAnsi="Times New Roman"/>
          <w:b w:val="0"/>
          <w:sz w:val="28"/>
        </w:rPr>
        <w:t>Регламента формирования и ведения инвестиционной карты Камчатского края, размещенной на Инвестиционной карте Российской Федерации»;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в части 2 </w:t>
      </w:r>
      <w:r>
        <w:rPr>
          <w:rFonts w:ascii="Times New Roman" w:hAnsi="Times New Roman"/>
          <w:b w:val="0"/>
          <w:sz w:val="28"/>
        </w:rPr>
        <w:t xml:space="preserve">слова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Регламента ведения инвестиционной карты» заменить словами</w:t>
      </w:r>
      <w:r>
        <w:rPr>
          <w:rStyle w:val="Style_4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Регламента формирования и ведения инвестиционной карты Камчатского края, размещенной на Инвестиционной карте Российской Федерации»;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часть 3 исключить;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 приложение изложить в редакции согласно приложению к настоящему приказу.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 Контроль исполнения настоящего приказа возложить на Адуллина Андрея Зильфатовича, заместителя Министра экономического развития Камчатского края. 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7000000">
      <w:r>
        <w:br w:type="page"/>
      </w:r>
    </w:p>
    <w:p w14:paraId="2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9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A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E000000"/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 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и ведения Инвестиционной карты Камчатского края, размещенной на инвестиционной карте Российской Федерации</w:t>
      </w:r>
    </w:p>
    <w:p w14:paraId="31000000">
      <w:pPr>
        <w:pStyle w:val="Style_4"/>
        <w:spacing w:after="273" w:before="360" w:line="240" w:lineRule="auto"/>
        <w:ind w:firstLine="0" w:left="0" w:right="0"/>
        <w:jc w:val="center"/>
      </w:pPr>
      <w:r>
        <w:rPr>
          <w:rFonts w:ascii="Times New Roman" w:hAnsi="Times New Roman"/>
          <w:b w:val="0"/>
          <w:color w:val="000000"/>
          <w:sz w:val="28"/>
        </w:rPr>
        <w:t>1. Общие положения</w:t>
      </w:r>
    </w:p>
    <w:p w14:paraId="32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b w:val="0"/>
          <w:color w:val="000000"/>
          <w:sz w:val="28"/>
        </w:rPr>
        <w:t>1. </w:t>
      </w:r>
      <w:r>
        <w:rPr>
          <w:rFonts w:ascii="Times New Roman" w:hAnsi="Times New Roman"/>
          <w:color w:val="000000"/>
          <w:sz w:val="28"/>
        </w:rPr>
        <w:t>Настоящий Регламент определяет сроки и порядок систематического предоставления Министерству экономического развития Российской Федерации (далее – Минэкономразвития России) сведений для наполнения и актуализации Инвестиционной карты Камчатского края, размещенной на инвестиционной карте Российской Федерации (далее – Инвестиционная карта Камчатского края).</w:t>
      </w:r>
    </w:p>
    <w:p w14:paraId="33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2. Для целей настоящего регламента формирования и ведения Инвестиционной карты Камчатского края (далее – Регламент) используются следующие понятия:</w:t>
      </w:r>
    </w:p>
    <w:p w14:paraId="34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1) Инвестиционная карта Камчатского края – часть государственной информационной системы «Экономика», предназначенной для обеспечения доступа инвестора к информации о существующей инженерной инфраструктуре, свободных и перспективных территориальных ресурсах, пригодных для реализации инвестиционных проектов, преференциальных территориях, мерах государственной поддержки, тарифах, природных ресурсах и полезных ископаемых, человеческого капитала, а также транспортной инфраструктуры на территории Камчатского края;</w:t>
      </w:r>
    </w:p>
    <w:p w14:paraId="35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2) Агентство развития</w:t>
      </w:r>
      <w:r>
        <w:rPr>
          <w:rFonts w:ascii="Times New Roman" w:hAnsi="Times New Roman"/>
          <w:color w:val="000000"/>
          <w:sz w:val="28"/>
        </w:rPr>
        <w:t xml:space="preserve"> Камчатског</w:t>
      </w:r>
      <w:r>
        <w:rPr>
          <w:rFonts w:ascii="Times New Roman" w:hAnsi="Times New Roman"/>
          <w:sz w:val="28"/>
        </w:rPr>
        <w:t>о края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специализированная организация по привлечению инвестиций и работе с инвесторами в Камчатском крае – акционерное общество «Корпорация развития Камчатского края», которое наделено функциями агентства развития в Камчатском крае в соответствии с постановлением Правительства Камчатского края от 10.04.2023 № 209-П «О наделении акционерного общества</w:t>
      </w:r>
      <w:r>
        <w:rPr>
          <w:rFonts w:ascii="Times New Roman" w:hAnsi="Times New Roman"/>
          <w:sz w:val="28"/>
        </w:rPr>
        <w:t xml:space="preserve">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крае»;</w:t>
      </w:r>
    </w:p>
    <w:p w14:paraId="36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уполномоченный орган – Министерство экономического </w:t>
      </w:r>
      <w:r>
        <w:rPr>
          <w:rFonts w:ascii="Times New Roman" w:hAnsi="Times New Roman"/>
          <w:color w:val="000000"/>
          <w:sz w:val="28"/>
        </w:rPr>
        <w:t xml:space="preserve">развития Камчатского края, которое в соответствии с </w:t>
      </w:r>
      <w:r>
        <w:rPr>
          <w:rFonts w:ascii="Times New Roman" w:hAnsi="Times New Roman"/>
          <w:sz w:val="28"/>
        </w:rPr>
        <w:t xml:space="preserve">распоряжением Губернатора Камчатского края является </w:t>
      </w:r>
      <w:r>
        <w:rPr>
          <w:rStyle w:val="Style_4_ch"/>
          <w:rFonts w:ascii="Times New Roman" w:hAnsi="Times New Roman"/>
          <w:color w:val="000000"/>
          <w:sz w:val="28"/>
        </w:rPr>
        <w:t>исполнительным органом Камчатского края, уполномоченным на координацию деятельности по наполнению Инвестиционной карты Камчатского края, а также на осуществление мониторинга актуализации сведений, размещенных на Инвестиционной карте Камчатского края</w:t>
      </w:r>
      <w:r>
        <w:rPr>
          <w:rFonts w:ascii="Times New Roman" w:hAnsi="Times New Roman"/>
          <w:sz w:val="28"/>
        </w:rPr>
        <w:t>;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4) ведомственная информация </w:t>
      </w:r>
      <w:r>
        <w:rPr>
          <w:rFonts w:ascii="Times New Roman" w:hAnsi="Times New Roman"/>
          <w:color w:val="000000"/>
          <w:sz w:val="28"/>
        </w:rPr>
        <w:t xml:space="preserve">Камчатского края </w:t>
      </w:r>
      <w:r>
        <w:rPr>
          <w:rFonts w:ascii="Times New Roman" w:hAnsi="Times New Roman"/>
          <w:color w:val="000000"/>
          <w:sz w:val="28"/>
        </w:rPr>
        <w:t xml:space="preserve">– представленные в </w:t>
      </w:r>
      <w:r>
        <w:rPr>
          <w:rFonts w:ascii="Times New Roman" w:hAnsi="Times New Roman"/>
          <w:color w:val="000000"/>
          <w:sz w:val="28"/>
        </w:rPr>
        <w:t>Агентство развития Камчатского края данные для внесения на Инвестиционную карту Камчатского края, формируемые</w:t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исполнительными органами</w:t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 края, органами местного самоуправления муниципальных образований в Камчатском крае, ресурсоснабжающими и другими организациями</w:t>
      </w:r>
      <w:r>
        <w:rPr>
          <w:rFonts w:ascii="Times New Roman" w:hAnsi="Times New Roman"/>
        </w:rPr>
        <w:t>;</w:t>
      </w:r>
    </w:p>
    <w:p w14:paraId="38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</w:rPr>
        <w:t>API – универсальный механизм интеграционного взаимодействия посредством программного интерфейса приложения.</w:t>
      </w:r>
    </w:p>
    <w:p w14:paraId="39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3. </w:t>
      </w:r>
      <w:r>
        <w:rPr>
          <w:rFonts w:ascii="Times New Roman" w:hAnsi="Times New Roman"/>
          <w:color w:val="000000"/>
          <w:sz w:val="28"/>
        </w:rPr>
        <w:t>Настоящий регламент разработан с учетом Методических рекомендаций по формированию инвестиционной карты субъекта Российской Федерации, утвержденных приказом Минэкономразвития России от 30.09.2021 № 591 «О системе поддержки региональных инвестиционных проектов в субъектах Российской Федерации («Региональный инвестиционный стандарт»)», и определяет процедуры формирования и ведения инвестиционной карты.</w:t>
      </w:r>
    </w:p>
    <w:p w14:paraId="3A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Инвестиционная карта Российской Федерации размещается в информационно-телекоммуникационной сети «Интернет» и представляет собой «публичную карту» подсистемы «Мониторинг региональной инвестиционной деятельности» автоматизированной информационной системы «Управление инвестиционной деятельности», реализуемую Правительством Москвы совместно с Минэкономразвития России.</w:t>
      </w:r>
    </w:p>
    <w:p w14:paraId="3B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 Инвестиционная карта Камчатского края</w:t>
      </w:r>
      <w:r>
        <w:rPr>
          <w:rFonts w:ascii="Times New Roman" w:hAnsi="Times New Roman"/>
          <w:strike w:val="0"/>
          <w:color w:val="000000"/>
          <w:sz w:val="28"/>
        </w:rPr>
        <w:t xml:space="preserve"> пре</w:t>
      </w:r>
      <w:r>
        <w:rPr>
          <w:rFonts w:ascii="Times New Roman" w:hAnsi="Times New Roman"/>
          <w:color w:val="000000"/>
          <w:sz w:val="28"/>
        </w:rPr>
        <w:t>дназначена для</w:t>
      </w:r>
      <w:r>
        <w:rPr>
          <w:rFonts w:ascii="Times New Roman" w:hAnsi="Times New Roman"/>
          <w:color w:val="000000"/>
          <w:sz w:val="28"/>
        </w:rPr>
        <w:t xml:space="preserve"> развития</w:t>
      </w:r>
      <w:r>
        <w:rPr>
          <w:rFonts w:ascii="Times New Roman" w:hAnsi="Times New Roman"/>
          <w:color w:val="000000"/>
          <w:sz w:val="28"/>
        </w:rPr>
        <w:t xml:space="preserve"> инвестиционной активности и обеспечения свободного доступа инвесторов к информации о существующей инженерной инфраструктуре, свободных и перспективных территориальных ресурсах, пригодных для реализации инвестиционных проектов, преференциальных территориях, мерах государственной поддержки, тарифах, природных ресурсах и полезных ископаемых, человеческого капитала, а также транспортной инфраструктуры на территории Камчатского края.</w:t>
      </w:r>
    </w:p>
    <w:p w14:paraId="3C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6. В качестве источников автоматизированной загрузки сведений при формировании Инвестиционной карты Камчатского края используются государственные информационные системы, ведомственная информация Камчатского края и, при наличии технической возможности, информационные системы федеральных органов исполнительной власти.</w:t>
      </w:r>
    </w:p>
    <w:p w14:paraId="3D000000">
      <w:pPr>
        <w:pStyle w:val="Style_4"/>
        <w:spacing w:after="0" w:before="0" w:line="240" w:lineRule="auto"/>
        <w:ind w:firstLine="567" w:left="0" w:right="0"/>
        <w:jc w:val="left"/>
      </w:pPr>
      <w:r>
        <w:rPr>
          <w:rFonts w:ascii="Times New Roman" w:hAnsi="Times New Roman"/>
          <w:color w:val="000000"/>
          <w:sz w:val="28"/>
        </w:rPr>
        <w:t>7. Агентство развития Камчатского края:</w:t>
      </w:r>
    </w:p>
    <w:p w14:paraId="3E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1)  ежеквартально не позднее 25-го числа месяца, следующего за отчетным периодом, обеспечивает актуализацию информации на Инвестиционной карте Камчатского края;</w:t>
      </w:r>
    </w:p>
    <w:p w14:paraId="3F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2) взаимодействует с</w:t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исполнительными органами</w:t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Камчатского края, их структурными подразделениями, а также с иными организациями в рамках сбора информации для наполнения Инвестиционной карты Камчатского края;</w:t>
      </w:r>
    </w:p>
    <w:p w14:paraId="40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3) осуществляет полномочия по информационному наполнению Инвестиционной карты Камчатского края, вносит информацию в подсистему реестров и сбора форм ГИС «Экономика», в том числе по атрибутивному составу карточек следующих объектов: «Деловое окружение», «Инвестплощадки», «Аналитика региона», «Полезные ископаемые», «Региональные меры поддержки»;</w:t>
      </w:r>
    </w:p>
    <w:p w14:paraId="41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4) при наличии технической возможности, может осуществлять автоматизированную передачу сведений из систем хранения данных, в подсистему реестров и сбора форм ГИС «Экономика». Реализация мероприятий, направленных на создание инфраструктуры и прикладного программного обеспечения для последующей автоматизированной передачи сведений в ГИС «Экономика», осуществляется за счет средств субсидии из краевого бюджета специализированным организациям по привлечению инвестиций и работе с инвесторами в Камчатском крае в целях финансового обеспечения затрат, связанных с осуществлением ими отдельных функций и полномочий по привлечению инвестиций и работе с инвесторами в Камчатском крае, предоставляемой в соответствии с постановлением Правительства Камчатского края от 01.08.2017 № 318-П.</w:t>
      </w:r>
    </w:p>
    <w:p w14:paraId="42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Уполномоченный орган </w:t>
      </w:r>
      <w:r>
        <w:rPr>
          <w:rFonts w:ascii="Times New Roman" w:hAnsi="Times New Roman"/>
          <w:color w:val="000000"/>
          <w:sz w:val="28"/>
        </w:rPr>
        <w:t>по результатам мониторинга и актуализации соответствующих сведений направляет в адрес Минэкономразвития России письмо с указанием перечня показателей, обновленных по результатам мониторинга</w:t>
      </w:r>
    </w:p>
    <w:p w14:paraId="43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9. Формирование и ведение Инвестиционной карты Камчатского края, осуществляется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тайне, а также законодательства об антитеррористической защищенности объектов.</w:t>
      </w:r>
    </w:p>
    <w:p w14:paraId="44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10. Доступ Агентства развития Камчатского края к сведениям, содержащихся в Инвестиционной карте Камчатского края, осуществляется на безвозмездной основе.</w:t>
      </w:r>
    </w:p>
    <w:p w14:paraId="45000000">
      <w:pPr>
        <w:pStyle w:val="Style_4"/>
        <w:widowControl w:val="1"/>
        <w:spacing w:after="114" w:before="360" w:line="240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2. Информационное взаимодействие</w:t>
      </w:r>
      <w:r>
        <w:br/>
      </w:r>
      <w:r>
        <w:rPr>
          <w:rFonts w:ascii="Times New Roman" w:hAnsi="Times New Roman"/>
          <w:color w:val="000000"/>
          <w:sz w:val="28"/>
        </w:rPr>
        <w:t>между участниками при формировании и ведении Инвестиционной карты Камчатского края на инвестиционной карте Российской Федерации</w:t>
      </w:r>
    </w:p>
    <w:p w14:paraId="46000000">
      <w:pPr>
        <w:pStyle w:val="Style_4"/>
        <w:spacing w:after="57" w:before="189" w:line="240" w:lineRule="auto"/>
        <w:ind w:firstLine="567" w:left="0" w:right="0"/>
        <w:jc w:val="center"/>
        <w:rPr>
          <w:rFonts w:ascii="Times New Roman" w:hAnsi="Times New Roman"/>
          <w:color w:val="000000"/>
          <w:sz w:val="28"/>
        </w:rPr>
      </w:pPr>
    </w:p>
    <w:p w14:paraId="47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11. Агентство развития Камчатского края обеспечивает организацию  процесса внесения необходимой для отображения ведомственной информации, предоставленной участниками информационного обмена, на Инвестиционную карту Камчатского края.</w:t>
      </w:r>
    </w:p>
    <w:p w14:paraId="48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12. При наличии интеграционного взаимодействия между подсистемой реестров и сбора форм ГИС «Экономика» и иными внешними информационными системами, допускается внесение Агентством развития Камчатского края соответствующих данных во внешние информационные системы для последующей их передачи на инвестиционную карту. Частота обновления и порядок верификации таких данных определяются настоящим Регламентом.</w:t>
      </w:r>
    </w:p>
    <w:p w14:paraId="49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13. Список участников информационного обмена при разработке и ведении Инвестиционной карты Камчатского края определен в соответствии с  приложением к настоящему Регламенту.</w:t>
      </w:r>
    </w:p>
    <w:p w14:paraId="4A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14. Участники информационного обмена:</w:t>
      </w:r>
    </w:p>
    <w:p w14:paraId="4B000000">
      <w:pPr>
        <w:pStyle w:val="Style_4"/>
        <w:spacing w:after="0" w:before="0" w:line="240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ежеквартально в срок не позднее 10-го числа месяца, следующего за отчетным периодом, предоставляют в Агентство развития Камчатского края актуализированную информацию, необходимую для наполнения слоев Инвестиционной карты Камчатского края, в соответствии с приложением к настоящему Регламенту;</w:t>
      </w:r>
    </w:p>
    <w:p w14:paraId="4C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2) обеспечивают содействие Агентству развития Камчатского края в исполнении мероприятий по сбору и обработке информационных материалов путем предоставления сведений, необходимых для наполнения слоев Инвестиционной карты Камчатского края;</w:t>
      </w:r>
    </w:p>
    <w:p w14:paraId="4D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3) проводят консультации, обработку обращений, поступающих через форму обратной связи;</w:t>
      </w:r>
    </w:p>
    <w:p w14:paraId="4E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4) несут ответственность за достоверность информации и сведений, предоставленных в рамках формирования и ведения Инвестиционной карты Камчатского края;</w:t>
      </w:r>
    </w:p>
    <w:p w14:paraId="4F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5) осуществляют верификацию сведений, размещенных на Инвестиционной карте Камчатского края в пределах своих полномочий в соответствующих сферах, в течение 5 рабочих дней после их размещения;</w:t>
      </w:r>
    </w:p>
    <w:p w14:paraId="50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6) при наличии выявленных несоответствий в процессе верификации направляют в Агентство развития Камчатского края запрос о корректировке данных;</w:t>
      </w:r>
    </w:p>
    <w:p w14:paraId="51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7) закрепляют ответственных лиц за предоставление</w:t>
      </w:r>
      <w:r>
        <w:rPr>
          <w:rFonts w:ascii="Times New Roman" w:hAnsi="Times New Roman"/>
          <w:color w:val="000000"/>
          <w:sz w:val="28"/>
        </w:rPr>
        <w:t xml:space="preserve"> сведений в рамках формирования и ведения Инвестиционной карты Камчатского края в соответствии с </w:t>
      </w:r>
      <w:r>
        <w:rPr>
          <w:rFonts w:ascii="Times New Roman" w:hAnsi="Times New Roman"/>
          <w:color w:val="000000"/>
          <w:sz w:val="28"/>
        </w:rPr>
        <w:t>локальными актами.</w:t>
      </w:r>
    </w:p>
    <w:p w14:paraId="52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15. Координацию деятельности по наполнению Инвестиционной карты Камчатского края осуществляет </w:t>
      </w:r>
      <w:r>
        <w:rPr>
          <w:rFonts w:ascii="Times New Roman" w:hAnsi="Times New Roman"/>
          <w:color w:val="000000"/>
          <w:sz w:val="28"/>
        </w:rPr>
        <w:t>Уполномоченный орган</w:t>
      </w:r>
      <w:r>
        <w:rPr>
          <w:rFonts w:ascii="Times New Roman" w:hAnsi="Times New Roman"/>
          <w:color w:val="000000"/>
          <w:sz w:val="28"/>
        </w:rPr>
        <w:t xml:space="preserve"> путем оперативного информационного обмена, </w:t>
      </w:r>
      <w:r>
        <w:rPr>
          <w:rFonts w:ascii="Times New Roman" w:hAnsi="Times New Roman"/>
          <w:color w:val="000000"/>
          <w:sz w:val="28"/>
        </w:rPr>
        <w:t>в том числе обеспечивает содействие Агентству развития Камчатского края в исполнении мероприятий по сбору и обработке информационных материалов путем направления запросов в адрес участников информационного обмена о</w:t>
      </w:r>
      <w:r>
        <w:rPr>
          <w:rFonts w:ascii="Times New Roman" w:hAnsi="Times New Roman"/>
          <w:color w:val="000000"/>
          <w:sz w:val="28"/>
        </w:rPr>
        <w:t xml:space="preserve"> предоставления сведений, необходимых для наполнения слоев Инвестиционной карты Камчатского края</w:t>
      </w:r>
      <w:r>
        <w:rPr>
          <w:rFonts w:ascii="Times New Roman" w:hAnsi="Times New Roman"/>
          <w:color w:val="000000"/>
          <w:sz w:val="28"/>
        </w:rPr>
        <w:t>.</w:t>
      </w:r>
    </w:p>
    <w:p w14:paraId="53000000">
      <w:pPr>
        <w:pStyle w:val="Style_4"/>
        <w:spacing w:after="0" w:before="246" w:line="240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3. Внесение</w:t>
      </w:r>
      <w:r>
        <w:br/>
      </w:r>
      <w:r>
        <w:rPr>
          <w:rFonts w:ascii="Times New Roman" w:hAnsi="Times New Roman"/>
          <w:color w:val="000000"/>
          <w:sz w:val="28"/>
        </w:rPr>
        <w:t>информации на Инвестиционную карту Камчатского края с помощью подсистемы реестров и сбора форм ГИС «Экономика»</w:t>
      </w:r>
    </w:p>
    <w:p w14:paraId="54000000">
      <w:pPr>
        <w:pStyle w:val="Style_4"/>
        <w:spacing w:after="0" w:before="0" w:line="240" w:lineRule="auto"/>
        <w:ind w:firstLine="0" w:left="0" w:right="0"/>
        <w:jc w:val="center"/>
        <w:rPr>
          <w:rFonts w:ascii="Calibri" w:hAnsi="Calibri"/>
          <w:color w:val="000000"/>
          <w:sz w:val="22"/>
        </w:rPr>
      </w:pPr>
    </w:p>
    <w:p w14:paraId="55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16. Информационное наполнение Инвестиционной карты Камчатского края может осуществляться в ручном и (или) автоматизированном режимах в подсистеме ведения реестров и сбора форм ГИС «Экономика».</w:t>
      </w:r>
    </w:p>
    <w:p w14:paraId="56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17. Подсистема ведения реестров и сбора форм ГИС «Экономика» использует для авторизации персональную учетную запись пользователя в Единой системе идентификации и аутентификации Портала государственных услуг Российской Федерации (ЕСИА).</w:t>
      </w:r>
    </w:p>
    <w:p w14:paraId="57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 xml:space="preserve">18. Регистрация пользователей в подсистеме реестров и сбора форм ГИС «Экономика» осуществляется при наличии технической возможности путем </w:t>
      </w:r>
      <w:r>
        <w:rPr>
          <w:rFonts w:ascii="Times New Roman" w:hAnsi="Times New Roman"/>
          <w:color w:val="000000"/>
          <w:sz w:val="28"/>
        </w:rPr>
        <w:t>направления заявок, поданных в установленном порядке в адрес Минэкономразвития России через портал</w:t>
      </w:r>
      <w:r>
        <w:rPr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"https://gis.economy.gov.ru/login"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https://gis.economy.gov.ru/login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58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19. Внесение информации осуществляется в отдельные каталоги, указанные в части 6 настоящего Регламента, доступ к редактированию которых предоставляется в соответствии с заявкой.</w:t>
      </w:r>
    </w:p>
    <w:p w14:paraId="59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20. Внесенные в ручном режиме в подсистеме реестров и сбора форм ГИС «Экономика» данные подписываются электронной подписью ответственного лица и только после подписания попадают на «публичную карту».</w:t>
      </w:r>
    </w:p>
    <w:p w14:paraId="5A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21. Агентство развития Камчатского края, обеспечивающее внесение данных в подсистему ведения реестров и сбора форм ГИС «Экономика», осуществляет своевременную корректировку данных на основании запросов участников.</w:t>
      </w:r>
    </w:p>
    <w:p w14:paraId="5B000000">
      <w:pPr>
        <w:pStyle w:val="Style_4"/>
        <w:widowControl w:val="1"/>
        <w:spacing w:after="0" w:before="246" w:line="240" w:lineRule="auto"/>
        <w:ind w:firstLine="0" w:left="0" w:right="0"/>
        <w:jc w:val="center"/>
      </w:pPr>
      <w:r>
        <w:rPr>
          <w:rFonts w:ascii="Times New Roman" w:hAnsi="Times New Roman"/>
          <w:color w:val="000000"/>
          <w:sz w:val="28"/>
        </w:rPr>
        <w:t>4. Внесение</w:t>
      </w:r>
      <w:r>
        <w:br/>
      </w:r>
      <w:r>
        <w:rPr>
          <w:rFonts w:ascii="Times New Roman" w:hAnsi="Times New Roman"/>
          <w:color w:val="000000"/>
          <w:sz w:val="28"/>
        </w:rPr>
        <w:t>информации на Инвестиционную карту Камчатского края через API</w:t>
      </w:r>
    </w:p>
    <w:p w14:paraId="5C000000">
      <w:pPr>
        <w:pStyle w:val="Style_4"/>
        <w:spacing w:after="0" w:before="246" w:line="240" w:lineRule="auto"/>
        <w:ind w:firstLine="624" w:left="0" w:right="0"/>
        <w:jc w:val="both"/>
      </w:pPr>
      <w:r>
        <w:rPr>
          <w:rFonts w:ascii="Times New Roman" w:hAnsi="Times New Roman"/>
          <w:color w:val="000000"/>
          <w:sz w:val="28"/>
        </w:rPr>
        <w:t>22. При наличии технической возможности информационное наполнение Инвестиционной карты Камчатского края может осуществляться в автоматическом режиме через API.</w:t>
      </w:r>
    </w:p>
    <w:p w14:paraId="5D000000">
      <w:pPr>
        <w:pStyle w:val="Style_4"/>
        <w:spacing w:after="0" w:before="0" w:line="240" w:lineRule="auto"/>
        <w:ind w:firstLine="624" w:left="0" w:right="0"/>
        <w:jc w:val="both"/>
      </w:pPr>
      <w:r>
        <w:rPr>
          <w:rFonts w:ascii="Times New Roman" w:hAnsi="Times New Roman"/>
          <w:color w:val="000000"/>
          <w:sz w:val="28"/>
        </w:rPr>
        <w:t>23. Для получения доступа к API направляется обращение в службу технической поддержки ГИС «Экономика» с просьбой предоставить доступ к API Инвестиционной карты Камчатского края.</w:t>
      </w:r>
    </w:p>
    <w:p w14:paraId="5E000000">
      <w:pPr>
        <w:pStyle w:val="Style_4"/>
        <w:spacing w:after="0" w:before="0" w:line="240" w:lineRule="auto"/>
        <w:ind w:firstLine="624" w:left="0" w:right="0"/>
        <w:jc w:val="both"/>
      </w:pPr>
      <w:r>
        <w:rPr>
          <w:rFonts w:ascii="Times New Roman" w:hAnsi="Times New Roman"/>
          <w:color w:val="000000"/>
          <w:sz w:val="28"/>
        </w:rPr>
        <w:t>24. После загрузки данных посредством API осуществляется проверка загруженных данных в интерфейсе подсистемы реестров и сбора форм ГИС «Экономика» путем получения доступа в соответствии с пунктом 17 настоящего Регламента.</w:t>
      </w:r>
    </w:p>
    <w:p w14:paraId="5F000000">
      <w:pPr>
        <w:pStyle w:val="Style_4"/>
        <w:spacing w:after="0" w:before="0" w:line="240" w:lineRule="auto"/>
        <w:ind w:firstLine="567" w:left="0" w:right="0"/>
        <w:jc w:val="both"/>
      </w:pPr>
      <w:r>
        <w:rPr>
          <w:rFonts w:ascii="Times New Roman" w:hAnsi="Times New Roman"/>
          <w:color w:val="000000"/>
          <w:sz w:val="28"/>
        </w:rPr>
        <w:t>25. Загруженные посредством API данные автоматически подписываются технологической подписью внешней информационной системы.</w:t>
      </w:r>
    </w:p>
    <w:p w14:paraId="60000000">
      <w:pPr>
        <w:spacing w:after="0" w:line="240" w:lineRule="auto"/>
        <w:ind/>
        <w:jc w:val="center"/>
      </w:pPr>
    </w:p>
    <w:p w14:paraId="61000000">
      <w:pPr>
        <w:sectPr>
          <w:headerReference r:id="rId1" w:type="default"/>
          <w:pgSz w:h="16838" w:orient="portrait" w:w="11906"/>
          <w:pgMar w:bottom="1134" w:footer="709" w:gutter="0" w:header="709" w:left="1418" w:right="851" w:top="1134"/>
          <w:titlePg/>
        </w:sectPr>
      </w:pPr>
    </w:p>
    <w:tbl>
      <w:tblPr>
        <w:tblStyle w:val="Style_2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0729"/>
        <w:gridCol w:w="3852"/>
      </w:tblGrid>
      <w:tr>
        <w:tc>
          <w:tcPr>
            <w:tcW w:type="dxa" w:w="10729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4"/>
              <w:pageBreakBefore w:val="1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3852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both"/>
            </w:pPr>
            <w:r>
              <w:rPr>
                <w:rFonts w:ascii="Times New Roman" w:hAnsi="Times New Roman"/>
                <w:spacing w:val="0"/>
                <w:sz w:val="28"/>
              </w:rPr>
              <w:t>Приложение к Регламенту формирования и ведения Инвестиционной карты Камчатского края</w:t>
            </w:r>
          </w:p>
        </w:tc>
      </w:tr>
    </w:tbl>
    <w:p w14:paraId="64000000">
      <w:pPr>
        <w:spacing w:after="0" w:line="240" w:lineRule="auto"/>
        <w:ind/>
        <w:jc w:val="center"/>
      </w:pPr>
    </w:p>
    <w:p w14:paraId="65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информационного обмена при разработке и ведении Инвестиционной карты Камчатского края</w:t>
      </w:r>
    </w:p>
    <w:p w14:paraId="66000000">
      <w:pPr>
        <w:spacing w:after="0" w:line="240" w:lineRule="auto"/>
        <w:ind/>
        <w:jc w:val="center"/>
      </w:pPr>
    </w:p>
    <w:p w14:paraId="67000000">
      <w:pPr>
        <w:spacing w:after="0" w:line="240" w:lineRule="auto"/>
        <w:ind/>
        <w:jc w:val="center"/>
      </w:pPr>
    </w:p>
    <w:tbl>
      <w:tblPr>
        <w:tblStyle w:val="Style_2"/>
        <w:tblInd w:type="dxa" w:w="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1"/>
        <w:gridCol w:w="2896"/>
        <w:gridCol w:w="2619"/>
        <w:gridCol w:w="4856"/>
        <w:gridCol w:w="3597"/>
      </w:tblGrid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Слой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Разделы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Атрибуты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Исполнительный орган Камчатского края, ответственный за предоставление данных</w:t>
            </w:r>
          </w:p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5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Аналитика региона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Региональный инвестиционный стандарт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Агентство инвестиционного развития (название)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Телефон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Сайт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эл. почты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Инвестиционная декларация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Пожаловаться в инвесткомитет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эл. почты для обработки обращений по форме «Сообщить об ошибке»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Свод инвестиционных правил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Аналитика региона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Тарифы на энергоресурсы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Водоснабжение, руб. / куб. м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Водоотведение, руб. / куб. 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Газоснабжение, руб. / куб. 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Электроснабжение, руб.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3"/>
              </w:rPr>
              <w:t>/кВтч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Теплоснабжение, руб. / Гкал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Вывоз ТКО, руб. / тонна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Вывоз ТКО, руб. / куб. 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Аналитика региона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Налоговые ставки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Вид налога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Налоговые ставки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НПА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2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Аналитика региона</w:t>
            </w:r>
          </w:p>
        </w:tc>
        <w:tc>
          <w:tcPr>
            <w:tcW w:type="dxa" w:w="2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Модель социально-экономического развития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Атрибут отсутствует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Деловое окружение. Объекты инвестиционной инфраструктуры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Сведения об объекте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 объекта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Муниципальное образование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Ближайший город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Количество резидентов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Фотографии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Документы по объекту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Год формирования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Срок действия объекта, лет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Деловое окружение. Объекты инвестиционной инфраструктуры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Основные характеристики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Общая площадь, кв. м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Минимальная стоимость аренды, руб. / кв. м/ год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Возможность выкупа помещения / участка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Список отраслей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Ограничения по видам деятельности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Инфраструктура и сервисы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Дополнительные услуги управляющей компании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Деловое окружение. Объекты инвестиционной инфраструктуры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Контакты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Название администратора объекта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rPr>
          <w:trHeight w:hRule="atLeast" w:val="200"/>
        </w:trP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администратора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Контактная информация администратора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Ссылка на сайт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Время работы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Деловое окружение. Объекты инвестиционной инфраструктуры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Льготы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Налог на прибыль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Налог на имущество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Земельный налог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Транспортный налог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Страховые взносы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Прочие льготы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 режима свободной таможенной зоны, условия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Как стать резидентом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Минимальный объем инвестиций, млн. руб.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Геопривязка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Сведения об объекте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Название площадки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Преференциальный режим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 инфраструктуры поддержки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Муниципальное образование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Ближайший город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Формат площадки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Тип площадки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Свободные площадки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Форма собственности объекта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Форма сделки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Стоимость объекта, руб. (покупки или месячной аренды)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Стоимость, руб./год за га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Стоимость, руб./год за кв. м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min и max сроки аренды (если применимо), лет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Порядок определения стоимости (для всех форм сделки)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Класс опасности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Характеристики расположенных объектов капитального строительства</w:t>
            </w:r>
          </w:p>
          <w:p w14:paraId="E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Параметры земельного участка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площадь ЗУ, га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имущественных и земельных отношений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Кадастровый номер ЗУ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Варианты разрешенного использования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Межевание земельного участка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 земель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Параметры здания, сооружения, помещения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площадь здания, сооружения, помещения, кв. м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строительства и жилищной политики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Кадастровый номер здания, сооружения, помещения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Технические характеристики здания, сооружения, помещения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Контакты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собственника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строительства и жилищной политики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ИНН собственника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Контактное лицо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Телефон контактного лица, e-mail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Сайт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Примечание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Техническое присоединение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Водоснабжение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потребление,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транспортировку,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Объекты водоснабжения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Максимально допустимая мощность, куб. м 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мощность, куб. м/ч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Сети водоснабжения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Пропускная способность, куб. м / 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Водоотведение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потребление,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транспортировку,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Объекты водоотведения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Максимально допустимая мощность, куб. м 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мощность, куб. м/ч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Сети воотведения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Пропускная способность, куб. м / 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Газоснабжение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потребление, руб. / куб. м</w:t>
            </w:r>
          </w:p>
          <w:p w14:paraId="2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транспортировку,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Объекты газоснабжения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Максимально допустимая мощность, куб. м 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мощность, куб. м/ч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Сети газоснабжения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Пропускная способность, куб. м / 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Теплоснабжение, руб. / Гкал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потребление, руб. / гкал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транспортировку, руб. / гкал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Объекты теплоснабжения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Максимально допустимая мощность, гкал**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мощность, гкал*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  <w:p w14:paraId="4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</w:p>
          <w:p w14:paraId="4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Сети теплоснабжения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Пропускная способность, гкал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Электроснабжение, руб.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3"/>
              </w:rPr>
              <w:t>/кВтч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потребление, руб.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3"/>
              </w:rPr>
              <w:t>/кВтч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 на транспортировку, руб.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151515"/>
                <w:spacing w:val="0"/>
                <w:sz w:val="23"/>
              </w:rPr>
              <w:t>/кВтч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Объекты электроснабжения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Максимально допустимая мощность, МВт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Свободная мощность, МВт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Сети электроснабжения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Пропускная способность, МВт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Вывоз ТКО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жилищно-коммунального хозяйства и энергетики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Тариф, руб./тонна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Тариф, руб. / куб. м</w:t>
            </w:r>
          </w:p>
        </w:tc>
        <w:tc>
          <w:tcPr>
            <w:tcW w:type="dxa" w:w="3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Региональная служба по тарифам и ценам Камчатского края</w:t>
            </w:r>
          </w:p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Транспортная доступность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 подъездных путей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транспорта и дорожного строительства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Наличие парковки грузового транспорта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характеристики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Инвестплощадки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Дополнительные сведения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Описание процедуры подачи заявки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Перечень документов, необходимых для подачи заявки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Ссылка на форму для подачи заявки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Адрес эл. почты для подачи заявки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Градостроительные характеристики и ограничения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строительства и жилищной политики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Документы территориального планирования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Иные сведения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экономического развития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Фотографии объекта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Документы по объекту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Геопривязка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Полезные ископаемые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Раздел отсутствует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Министерство природных ресурсов и экологии Камчатского края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Муниципальное образование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Категория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Название месторождения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курирующей организации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Контактная информация курирующей организации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Ссылка на сайт курирующей организации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Геопривязка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28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Региональные меры поддержки</w:t>
            </w:r>
          </w:p>
        </w:tc>
        <w:tc>
          <w:tcPr>
            <w:tcW w:type="dxa" w:w="2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Раздел отсутствует</w:t>
            </w:r>
          </w:p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Регион</w:t>
            </w:r>
          </w:p>
        </w:tc>
        <w:tc>
          <w:tcPr>
            <w:tcW w:type="dxa" w:w="35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center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Исполнительные органы Камчатского края, осуществляющие предоставление мер государственной поддержки</w:t>
            </w:r>
          </w:p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меры поддержки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Вид поддержки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Уровень поддержки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Суть механизма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Реквизиты НПА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Ссылка на НПА / файл для загрузки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Ссылка на форму подачи заявки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Наименование ответственного органа власти, администрирующего данную меру поддержки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Контакт для указания в публичном доступе (ФИО, e-mail, номер телефона)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Минимальный объем инвестиций, млн руб.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ОКВЭД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Ограничения по видам деятельности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Требуется вхождение в реестр МСП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Требования к заявителю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Процедура подачи заявки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5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4"/>
              <w:widowControl w:val="0"/>
              <w:spacing w:after="0" w:before="0" w:line="57" w:lineRule="atLeast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4"/>
              </w:rPr>
              <w:t>Необходимые документы</w:t>
            </w:r>
          </w:p>
        </w:tc>
        <w:tc>
          <w:tcPr>
            <w:tcW w:type="dxa" w:w="35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A6010000">
      <w:pPr>
        <w:spacing w:after="0" w:line="240" w:lineRule="auto"/>
        <w:ind/>
        <w:jc w:val="center"/>
      </w:pPr>
    </w:p>
    <w:sectPr>
      <w:headerReference r:id="rId2" w:type="default"/>
      <w:type w:val="nextPage"/>
      <w:pgSz w:h="11908" w:orient="landscape" w:w="1684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4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3"/>
    <w:link w:val="Style_17_ch"/>
    <w:rPr>
      <w:color w:themeColor="hyperlink" w:val="0563C1"/>
      <w:u w:val="single"/>
    </w:rPr>
  </w:style>
  <w:style w:styleId="Style_17_ch" w:type="character">
    <w:name w:val="Hyperlink"/>
    <w:basedOn w:val="Style_13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2024-01-22T22:52:25Z</dcterms:modified>
</cp:coreProperties>
</file>