
<file path=[Content_Types].xml><?xml version="1.0" encoding="utf-8"?>
<Types xmlns="http://schemas.openxmlformats.org/package/2006/content-types">
  <Default ContentType="image/jpeg" Extension="jpeg"/>
  <Default ContentType="image/x-emf" Extension="emf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spacing w:after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drawing>
          <wp:anchor allowOverlap="true" behindDoc="fals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-14" y="0"/>
                <wp:lineTo x="-14" y="20874"/>
                <wp:lineTo x="20954" y="20874"/>
                <wp:lineTo x="20954" y="0"/>
                <wp:lineTo x="-14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3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5000000">
      <w:pPr>
        <w:spacing w:after="0" w:line="240" w:lineRule="auto"/>
        <w:ind/>
        <w:rPr>
          <w:rFonts w:ascii="Times New Roman" w:hAnsi="Times New Roman"/>
          <w:b w:val="1"/>
          <w:sz w:val="32"/>
        </w:rPr>
      </w:pPr>
    </w:p>
    <w:p w14:paraId="06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П О С Т А Н О В Л Е Н И Е</w:t>
      </w: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8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ПРАВИТЕЛЬСТВА</w:t>
      </w:r>
    </w:p>
    <w:p w14:paraId="09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КАМЧАТСКОГО КРАЯ</w:t>
      </w:r>
    </w:p>
    <w:p w14:paraId="0A000000">
      <w:pPr>
        <w:spacing w:after="0" w:line="276" w:lineRule="auto"/>
        <w:ind w:firstLine="709" w:left="0"/>
        <w:jc w:val="center"/>
        <w:rPr>
          <w:rFonts w:ascii="Times New Roman" w:hAnsi="Times New Roman"/>
          <w:sz w:val="28"/>
        </w:rPr>
      </w:pPr>
    </w:p>
    <w:p w14:paraId="0B000000">
      <w:pPr>
        <w:spacing w:after="0" w:line="240" w:lineRule="auto"/>
        <w:ind w:firstLine="709" w:left="0"/>
        <w:jc w:val="center"/>
        <w:rPr>
          <w:rFonts w:ascii="Times New Roman" w:hAnsi="Times New Roman"/>
          <w:sz w:val="20"/>
        </w:rPr>
      </w:pPr>
    </w:p>
    <w:tbl>
      <w:tblPr>
        <w:tblStyle w:val="Style_1"/>
        <w:tblLayout w:type="fixed"/>
        <w:tblCellMar>
          <w:left w:type="dxa" w:w="0"/>
          <w:right w:type="dxa" w:w="0"/>
        </w:tblCellMar>
      </w:tblPr>
      <w:tblGrid>
        <w:gridCol w:w="4253"/>
      </w:tblGrid>
      <w:tr>
        <w:trPr>
          <w:trHeight w:hRule="atLeast" w:val="427"/>
        </w:trPr>
        <w:tc>
          <w:tcPr>
            <w:tcW w:type="dxa" w:w="4253"/>
            <w:tcMar>
              <w:top w:type="dxa" w:w="0"/>
              <w:left w:type="dxa" w:w="0"/>
              <w:bottom w:type="dxa" w:w="0"/>
              <w:right w:type="dxa" w:w="0"/>
            </w:tcMar>
          </w:tcPr>
          <w:p w14:paraId="0C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  <w:bookmarkStart w:id="2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2"/>
          </w:p>
        </w:tc>
      </w:tr>
      <w:tr>
        <w:trPr>
          <w:trHeight w:hRule="atLeast" w:val="247"/>
        </w:trPr>
        <w:tc>
          <w:tcPr>
            <w:tcW w:type="dxa" w:w="4253"/>
            <w:tcMar>
              <w:top w:type="dxa" w:w="0"/>
              <w:left w:type="dxa" w:w="0"/>
              <w:bottom w:type="dxa" w:w="0"/>
              <w:right w:type="dxa" w:w="0"/>
            </w:tcMar>
          </w:tcPr>
          <w:p w14:paraId="0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hRule="atLeast" w:val="80"/>
        </w:trPr>
        <w:tc>
          <w:tcPr>
            <w:tcW w:type="dxa" w:w="4253"/>
            <w:tcMar>
              <w:top w:type="dxa" w:w="0"/>
              <w:left w:type="dxa" w:w="0"/>
              <w:bottom w:type="dxa" w:w="0"/>
              <w:right w:type="dxa" w:w="0"/>
            </w:tcMar>
          </w:tcPr>
          <w:p w14:paraId="0E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0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0000000">
      <w:pPr>
        <w:spacing w:after="0" w:line="240" w:lineRule="auto"/>
        <w:ind w:firstLine="0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Об утверждении Порядка определения объема и условий предоставления из краевого бюджета </w:t>
      </w:r>
      <w:r>
        <w:rPr>
          <w:rFonts w:ascii="Times New Roman" w:hAnsi="Times New Roman"/>
          <w:b w:val="1"/>
          <w:sz w:val="28"/>
        </w:rPr>
        <w:t>при софинансировании за счет средств федерального бюджета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субсидии автономной некоммерческой организации «Камчатский центр поддержки предпринимательства» в целях финансового обеспечения затрат, связанных с оказанием физическим лицам, заинтересованным в начале осуществления предпринимательской деятельности, начинающим и действующим предпринимателям комплекса услуг, направленного на вовлечение в предпринимательскую деятельность, а также информационно-консультационных и образовательных услуг</w:t>
      </w:r>
    </w:p>
    <w:p w14:paraId="1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14:paraId="1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5000000">
      <w:pPr>
        <w:numPr>
          <w:ilvl w:val="0"/>
          <w:numId w:val="1"/>
        </w:numPr>
        <w:tabs>
          <w:tab w:leader="none" w:pos="1140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Утвердить Порядок </w:t>
      </w:r>
      <w:r>
        <w:rPr>
          <w:rFonts w:ascii="Times New Roman" w:hAnsi="Times New Roman"/>
          <w:sz w:val="28"/>
        </w:rPr>
        <w:t xml:space="preserve">определения объема и условий предоставления из краевого бюджета </w:t>
      </w:r>
      <w:r>
        <w:rPr>
          <w:rFonts w:ascii="Times New Roman" w:hAnsi="Times New Roman"/>
          <w:sz w:val="28"/>
        </w:rPr>
        <w:t>при софинансировании за счет средств федерального бюджета</w:t>
      </w:r>
      <w:r>
        <w:rPr>
          <w:rFonts w:ascii="Times New Roman" w:hAnsi="Times New Roman"/>
          <w:sz w:val="28"/>
        </w:rPr>
        <w:t xml:space="preserve"> субсидии автономной некоммерческой организации «Камчатский центр поддержки предпринимательства» в целях финансового обеспечения затрат, связанных с оказанием физическим лицам, заинтересованным в начале осуществления предпринимательской деятельности, начинающим и действующим предпринимателям комплекса услуг, направленного на вовлечение в предпринимательскую деятельность, а также информационно-консультационных и образовательных услуг, согласно приложению к настоящему постановлению</w:t>
      </w:r>
      <w:r>
        <w:rPr>
          <w:rFonts w:ascii="Times New Roman" w:hAnsi="Times New Roman"/>
          <w:sz w:val="28"/>
        </w:rPr>
        <w:t>.</w:t>
      </w:r>
    </w:p>
    <w:p w14:paraId="16000000">
      <w:pPr>
        <w:numPr>
          <w:ilvl w:val="0"/>
          <w:numId w:val="1"/>
        </w:numPr>
        <w:tabs>
          <w:tab w:leader="none" w:pos="1185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Признать утратившими силу:</w:t>
      </w:r>
    </w:p>
    <w:p w14:paraId="17000000">
      <w:pPr>
        <w:numPr>
          <w:numId w:val="2"/>
        </w:numPr>
        <w:tabs>
          <w:tab w:leader="none" w:pos="1185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постановление Правительства Камчатского края от 23.05.2023 </w:t>
      </w:r>
      <w:r>
        <w:br/>
      </w:r>
      <w:r>
        <w:rPr>
          <w:rFonts w:ascii="Times New Roman" w:hAnsi="Times New Roman"/>
          <w:sz w:val="28"/>
        </w:rPr>
        <w:t>№ 283-П «</w:t>
      </w:r>
      <w:r>
        <w:rPr>
          <w:rFonts w:ascii="Times New Roman" w:hAnsi="Times New Roman"/>
          <w:b w:val="0"/>
          <w:sz w:val="28"/>
        </w:rPr>
        <w:t xml:space="preserve">Об </w:t>
      </w:r>
      <w:r>
        <w:rPr>
          <w:rFonts w:ascii="Times New Roman" w:hAnsi="Times New Roman"/>
          <w:b w:val="0"/>
          <w:color w:val="000000"/>
          <w:sz w:val="28"/>
        </w:rPr>
        <w:t>утверждении Порядка определения объема и условий предоставления в 2023–2024 годах из краевого бюджета субсидии автономной некоммерческой организации «Камчатский центр поддержки предпринимательства» в целях финансового обеспечения затрат, связанных с оказанием физическим лицам, заинтересованным в начале осуществления предпринимательской деятельности, начинающим и действующим предпринимателям комплекса услуг, направленного на вовлечение в предпринимательскую деятельность, а также информационно-консультационных и образовательных услуг»;</w:t>
      </w:r>
    </w:p>
    <w:p w14:paraId="18000000">
      <w:pPr>
        <w:numPr>
          <w:numId w:val="2"/>
        </w:numPr>
        <w:tabs>
          <w:tab w:leader="none" w:pos="1185" w:val="left"/>
        </w:tabs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 xml:space="preserve">часть 109 приложения к </w:t>
      </w:r>
      <w:r>
        <w:rPr>
          <w:rFonts w:ascii="Times New Roman" w:hAnsi="Times New Roman"/>
          <w:b w:val="0"/>
          <w:sz w:val="28"/>
        </w:rPr>
        <w:t>постановлению Правительства Камчатского края от 30.08.2023 № 464-П «</w:t>
      </w:r>
      <w:r>
        <w:rPr>
          <w:rFonts w:ascii="Times New Roman" w:hAnsi="Times New Roman"/>
          <w:b w:val="0"/>
          <w:sz w:val="28"/>
        </w:rPr>
        <w:t>О внесении изменений в отдельные постановления Правительства Камчатского края».</w:t>
      </w:r>
    </w:p>
    <w:p w14:paraId="19000000">
      <w:pPr>
        <w:numPr>
          <w:ilvl w:val="0"/>
          <w:numId w:val="1"/>
        </w:numPr>
        <w:tabs>
          <w:tab w:leader="none" w:pos="1185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Настоящее постановление вступает в силу после дня его официального опубликования.</w:t>
      </w:r>
    </w:p>
    <w:p w14:paraId="1A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B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C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1"/>
        <w:tblInd w:type="dxa" w:w="-34"/>
        <w:tblLayout w:type="fixed"/>
        <w:tblCellMar>
          <w:left w:type="dxa" w:w="0"/>
          <w:right w:type="dxa" w:w="0"/>
        </w:tblCellMar>
      </w:tblPr>
      <w:tblGrid>
        <w:gridCol w:w="3577"/>
        <w:gridCol w:w="3545"/>
        <w:gridCol w:w="2548"/>
      </w:tblGrid>
      <w:tr>
        <w:trPr>
          <w:trHeight w:hRule="atLeast" w:val="2192"/>
        </w:trPr>
        <w:tc>
          <w:tcPr>
            <w:tcW w:type="dxa" w:w="3577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D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 w14:paraId="1E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545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F000000">
            <w:pPr>
              <w:spacing w:after="0" w:line="240" w:lineRule="auto"/>
              <w:ind w:hanging="3" w:left="3"/>
              <w:rPr>
                <w:rFonts w:ascii="Times New Roman" w:hAnsi="Times New Roman"/>
                <w:color w:val="FFFFFF"/>
                <w:sz w:val="24"/>
              </w:rPr>
            </w:pPr>
            <w:bookmarkStart w:id="3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3"/>
          </w:p>
          <w:p w14:paraId="20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548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1000000">
            <w:pPr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14:paraId="22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p w14:paraId="23000000">
      <w:r>
        <w:br w:type="page"/>
      </w:r>
    </w:p>
    <w:tbl>
      <w:tblPr>
        <w:tblStyle w:val="Style_2"/>
        <w:tblLayout w:type="fixed"/>
      </w:tblPr>
      <w:tblGrid>
        <w:gridCol w:w="479"/>
        <w:gridCol w:w="480"/>
        <w:gridCol w:w="480"/>
        <w:gridCol w:w="3662"/>
        <w:gridCol w:w="480"/>
        <w:gridCol w:w="1870"/>
        <w:gridCol w:w="486"/>
        <w:gridCol w:w="1699"/>
      </w:tblGrid>
      <w:tr>
        <w:tc>
          <w:tcPr>
            <w:tcW w:type="dxa" w:w="479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00000">
            <w:pPr>
              <w:pageBreakBefore w:val="1"/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0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0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2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0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535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00000">
            <w:pPr>
              <w:widowControl w:val="0"/>
              <w:spacing w:after="0" w:line="240" w:lineRule="auto"/>
              <w:ind w:hanging="8079" w:left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Приложение к постановлению</w:t>
            </w:r>
          </w:p>
        </w:tc>
      </w:tr>
      <w:tr>
        <w:tc>
          <w:tcPr>
            <w:tcW w:type="dxa" w:w="479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0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0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0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2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0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535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00000">
            <w:pPr>
              <w:widowControl w:val="0"/>
              <w:spacing w:after="0" w:line="240" w:lineRule="auto"/>
              <w:ind w:hanging="8079" w:left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Правительства Камчатского края</w:t>
            </w:r>
          </w:p>
        </w:tc>
      </w:tr>
      <w:tr>
        <w:trPr>
          <w:trHeight w:hRule="atLeast" w:val="456"/>
        </w:trPr>
        <w:tc>
          <w:tcPr>
            <w:tcW w:type="dxa" w:w="479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00000">
            <w:pPr>
              <w:spacing w:after="6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00000">
            <w:pPr>
              <w:spacing w:after="6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00000">
            <w:pPr>
              <w:spacing w:after="6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2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00000">
            <w:pPr>
              <w:spacing w:after="6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00000">
            <w:pPr>
              <w:spacing w:after="6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type="dxa" w:w="187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00000">
            <w:pPr>
              <w:spacing w:after="60" w:line="240" w:lineRule="auto"/>
              <w:ind w:hanging="8079" w:left="8079"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EGDATESTAMP]</w:t>
            </w:r>
          </w:p>
        </w:tc>
        <w:tc>
          <w:tcPr>
            <w:tcW w:type="dxa" w:w="486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00000">
            <w:pPr>
              <w:spacing w:after="6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type="dxa" w:w="1699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00000">
            <w:pPr>
              <w:spacing w:after="60" w:line="240" w:lineRule="auto"/>
              <w:ind w:hanging="8079" w:left="8079"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EGNUMSTAMP]</w:t>
            </w:r>
          </w:p>
        </w:tc>
      </w:tr>
    </w:tbl>
    <w:p w14:paraId="36000000">
      <w:pPr>
        <w:widowControl w:val="0"/>
        <w:tabs>
          <w:tab w:leader="none" w:pos="5385" w:val="left"/>
        </w:tabs>
        <w:spacing w:after="0" w:line="240" w:lineRule="auto"/>
        <w:ind/>
        <w:jc w:val="right"/>
        <w:rPr>
          <w:rFonts w:ascii="Times New Roman" w:hAnsi="Times New Roman"/>
          <w:sz w:val="28"/>
        </w:rPr>
      </w:pPr>
    </w:p>
    <w:p w14:paraId="37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Порядок</w:t>
      </w:r>
    </w:p>
    <w:p w14:paraId="38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определения объема и условий предоставления из краевого бюджета при софинансировании за счет средств федерального бюджета субсидии автономной некоммерческой организации «Камчатский центр поддержки предпринимательства» в целях финансового обеспечения затрат, связанных с оказанием физическим лицам, заинтересованным в начале осуществления предпринимательской деятельности, начинающим и действующим предпринимателям комплекса услуг, направленного на вовлечение в предпринимательскую деятельность, а также информационно-консультационных и образовательных услуг (далее – Порядок)</w:t>
      </w:r>
    </w:p>
    <w:p w14:paraId="39000000">
      <w:pPr>
        <w:spacing w:after="0" w:line="240" w:lineRule="auto"/>
        <w:ind w:hanging="283" w:left="5102"/>
        <w:rPr>
          <w:rFonts w:ascii="Times New Roman" w:hAnsi="Times New Roman"/>
          <w:sz w:val="28"/>
        </w:rPr>
      </w:pPr>
    </w:p>
    <w:p w14:paraId="3A000000">
      <w:pPr>
        <w:numPr>
          <w:numId w:val="3"/>
        </w:num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Общие положения</w:t>
      </w:r>
    </w:p>
    <w:p w14:paraId="3B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3C000000">
      <w:pPr>
        <w:numPr>
          <w:ilvl w:val="0"/>
          <w:numId w:val="4"/>
        </w:numPr>
        <w:tabs>
          <w:tab w:leader="none" w:pos="1080" w:val="left"/>
          <w:tab w:leader="none" w:pos="1276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Настоящий Порядок регламентирует вопросы определения объема и условий предоставления из краевого бюджета </w:t>
      </w:r>
      <w:r>
        <w:rPr>
          <w:rFonts w:ascii="Times New Roman" w:hAnsi="Times New Roman"/>
          <w:sz w:val="28"/>
        </w:rPr>
        <w:t xml:space="preserve">при софинансировании за счет средств федерального бюджета </w:t>
      </w:r>
      <w:r>
        <w:rPr>
          <w:rFonts w:ascii="Times New Roman" w:hAnsi="Times New Roman"/>
          <w:sz w:val="28"/>
        </w:rPr>
        <w:t xml:space="preserve">субсидии автономной некоммерческой организации «Камчатский центр поддержки предпринимательства» </w:t>
      </w:r>
      <w:r>
        <w:rPr>
          <w:rFonts w:ascii="Times New Roman" w:hAnsi="Times New Roman"/>
          <w:sz w:val="28"/>
        </w:rPr>
        <w:t xml:space="preserve">в целях </w:t>
      </w:r>
      <w:r>
        <w:rPr>
          <w:rFonts w:ascii="Times New Roman" w:hAnsi="Times New Roman"/>
          <w:sz w:val="28"/>
        </w:rPr>
        <w:t xml:space="preserve">реализации </w:t>
      </w:r>
      <w:r>
        <w:rPr>
          <w:rFonts w:ascii="Times New Roman" w:hAnsi="Times New Roman"/>
          <w:sz w:val="28"/>
        </w:rPr>
        <w:t>регионального проекта «Создание условий для легкого старта и комфортного ведения бизнеса»</w:t>
      </w:r>
      <w:r>
        <w:rPr>
          <w:rFonts w:ascii="Times New Roman" w:hAnsi="Times New Roman"/>
          <w:sz w:val="28"/>
        </w:rPr>
        <w:t xml:space="preserve"> государственной программы Камчатского края «Развитие экономики и внешнеэкономической деятельности Камчатского края», утвержденной постановлением Правительства Камчатского края </w:t>
      </w:r>
      <w:r>
        <w:br/>
      </w:r>
      <w:r>
        <w:rPr>
          <w:rFonts w:ascii="Times New Roman" w:hAnsi="Times New Roman"/>
          <w:sz w:val="28"/>
        </w:rPr>
        <w:t>от 28.12.2023 № 711-П (далее – Программа),</w:t>
      </w:r>
      <w:r>
        <w:rPr>
          <w:rFonts w:ascii="Times New Roman" w:hAnsi="Times New Roman"/>
          <w:sz w:val="28"/>
        </w:rPr>
        <w:t xml:space="preserve"> на </w:t>
      </w:r>
      <w:r>
        <w:rPr>
          <w:rFonts w:ascii="Times New Roman" w:hAnsi="Times New Roman"/>
          <w:sz w:val="28"/>
        </w:rPr>
        <w:t>финансовое обеспечение затрат, связанных с оказанием физическим лицам, заинтересованным в начале осуществления предпринимательской деятельности, начинающим предпринимателям, в том числе индивидуальным предпринимателям, применяющим специальный налоговый режим «Налог на профессиональный доход», и действующим субъектам малого и среднего предпринимательства, в том числе индивидуальным предпринимателям, применяющим специальный налоговый режим «Налог на профессиональный доход», комплекса услуг, направленного на вовлечение в предпринимательскую деятельность, а также информационно-консультационных и образовательных услуг (далее – субсидия)</w:t>
      </w:r>
      <w:r>
        <w:rPr>
          <w:rFonts w:ascii="Times New Roman" w:hAnsi="Times New Roman"/>
          <w:sz w:val="28"/>
        </w:rPr>
        <w:t>.</w:t>
      </w:r>
    </w:p>
    <w:p w14:paraId="3D000000">
      <w:pPr>
        <w:pStyle w:val="Style_3"/>
        <w:numPr>
          <w:numId w:val="4"/>
        </w:numPr>
        <w:tabs>
          <w:tab w:leader="none" w:pos="708" w:val="clear"/>
          <w:tab w:leader="none" w:pos="993" w:val="left"/>
          <w:tab w:leader="none" w:pos="1134" w:val="left"/>
          <w:tab w:leader="none" w:pos="1276" w:val="left"/>
        </w:tabs>
        <w:spacing w:after="0" w:before="0" w:line="240" w:lineRule="auto"/>
        <w:ind w:firstLine="709" w:left="0" w:righ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Получателем субсидии является </w:t>
      </w:r>
      <w:r>
        <w:rPr>
          <w:rFonts w:ascii="Times New Roman" w:hAnsi="Times New Roman"/>
          <w:sz w:val="28"/>
        </w:rPr>
        <w:t>автономная некоммерческая организация «Камчатский центр поддержки предпринимательства» (далее – получатель субсидии)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сущ</w:t>
      </w:r>
      <w:r>
        <w:rPr>
          <w:rFonts w:ascii="Times New Roman" w:hAnsi="Times New Roman"/>
          <w:sz w:val="28"/>
        </w:rPr>
        <w:t xml:space="preserve">ествляющая </w:t>
      </w:r>
      <w:r>
        <w:rPr>
          <w:rFonts w:ascii="Times New Roman" w:hAnsi="Times New Roman"/>
          <w:sz w:val="28"/>
        </w:rPr>
        <w:t>в соответствии</w:t>
      </w:r>
      <w:r>
        <w:rPr>
          <w:rFonts w:ascii="Times New Roman" w:hAnsi="Times New Roman"/>
          <w:sz w:val="28"/>
        </w:rPr>
        <w:t xml:space="preserve"> с Уставом</w:t>
      </w:r>
      <w:r>
        <w:rPr>
          <w:rFonts w:ascii="Times New Roman" w:hAnsi="Times New Roman"/>
          <w:sz w:val="28"/>
        </w:rPr>
        <w:t xml:space="preserve"> функции центра поддержки </w:t>
      </w:r>
      <w:r>
        <w:rPr>
          <w:rFonts w:ascii="Times New Roman" w:hAnsi="Times New Roman"/>
          <w:sz w:val="28"/>
        </w:rPr>
        <w:t>предпринимательства, центра инноваций социальной сферы, центра кластерного развития</w:t>
      </w:r>
      <w:r>
        <w:rPr>
          <w:rFonts w:ascii="Times New Roman" w:hAnsi="Times New Roman"/>
          <w:sz w:val="28"/>
        </w:rPr>
        <w:t>.</w:t>
      </w:r>
    </w:p>
    <w:p w14:paraId="3E000000">
      <w:pPr>
        <w:pStyle w:val="Style_3"/>
        <w:numPr>
          <w:numId w:val="4"/>
        </w:numPr>
        <w:tabs>
          <w:tab w:leader="none" w:pos="708" w:val="clear"/>
          <w:tab w:leader="none" w:pos="993" w:val="left"/>
          <w:tab w:leader="none" w:pos="1134" w:val="left"/>
        </w:tabs>
        <w:spacing w:after="0" w:before="0" w:line="240" w:lineRule="auto"/>
        <w:ind w:firstLine="709" w:left="0" w:right="0"/>
        <w:contextualSpacing w:val="1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>Субсидия носит целевой характер и не может быть израсходована на цели, не предусмотренные настоящим Порядком.</w:t>
      </w:r>
    </w:p>
    <w:p w14:paraId="3F000000">
      <w:pPr>
        <w:pStyle w:val="Style_3"/>
        <w:numPr>
          <w:numId w:val="4"/>
        </w:numPr>
        <w:tabs>
          <w:tab w:leader="none" w:pos="708" w:val="clear"/>
          <w:tab w:leader="none" w:pos="993" w:val="left"/>
          <w:tab w:leader="none" w:pos="1134" w:val="left"/>
          <w:tab w:leader="none" w:pos="1276" w:val="left"/>
        </w:tabs>
        <w:spacing w:after="0" w:before="0" w:line="240" w:lineRule="auto"/>
        <w:ind w:firstLine="709" w:left="0" w:righ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Министерство осуществляет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доведены лимиты бюджетных обязательств на предоставление субсидии на соответствующий финансовый год. </w:t>
      </w:r>
    </w:p>
    <w:p w14:paraId="40000000">
      <w:pPr>
        <w:pStyle w:val="Style_3"/>
        <w:tabs>
          <w:tab w:leader="none" w:pos="708" w:val="clear"/>
          <w:tab w:leader="none" w:pos="993" w:val="left"/>
          <w:tab w:leader="none" w:pos="1134" w:val="left"/>
          <w:tab w:leader="none" w:pos="1276" w:val="left"/>
        </w:tabs>
        <w:spacing w:after="0" w:before="0" w:line="240" w:lineRule="auto"/>
        <w:ind w:firstLine="709" w:left="0" w:righ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Субсидия предоставляется Министерством в пределах лимитов бюджетных обязательств, доведенных до Министерства в установленном порядке.</w:t>
      </w:r>
    </w:p>
    <w:p w14:paraId="41000000">
      <w:pPr>
        <w:pStyle w:val="Style_3"/>
        <w:tabs>
          <w:tab w:leader="none" w:pos="708" w:val="clear"/>
          <w:tab w:leader="none" w:pos="993" w:val="left"/>
          <w:tab w:leader="none" w:pos="1134" w:val="left"/>
          <w:tab w:leader="none" w:pos="1276" w:val="left"/>
        </w:tabs>
        <w:spacing w:after="0" w:before="0" w:line="240" w:lineRule="auto"/>
        <w:ind w:firstLine="709" w:left="0" w:righ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Способ предоставления субсидии – финансовое обеспечение затрат.</w:t>
      </w:r>
    </w:p>
    <w:p w14:paraId="42000000">
      <w:pPr>
        <w:numPr>
          <w:ilvl w:val="0"/>
          <w:numId w:val="4"/>
        </w:numPr>
        <w:tabs>
          <w:tab w:leader="none" w:pos="1140" w:val="left"/>
          <w:tab w:leader="none" w:pos="1185" w:val="left"/>
          <w:tab w:leader="none" w:pos="1245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Информация о субсидии размещается на едином портале бюджетной системы Российской Федерации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sz w:val="28"/>
        </w:rPr>
        <w:t>информационно-телекоммуникационной сети «Интернет»</w:t>
      </w:r>
      <w:r>
        <w:rPr>
          <w:rFonts w:ascii="Times New Roman" w:hAnsi="Times New Roman"/>
          <w:color w:val="000000"/>
          <w:sz w:val="28"/>
        </w:rPr>
        <w:t xml:space="preserve"> (далее соответственно – </w:t>
      </w:r>
      <w:r>
        <w:rPr>
          <w:rFonts w:ascii="Times New Roman" w:hAnsi="Times New Roman"/>
          <w:color w:val="000000"/>
          <w:sz w:val="28"/>
        </w:rPr>
        <w:t xml:space="preserve">сеть «Интернет», </w:t>
      </w:r>
      <w:r>
        <w:rPr>
          <w:rFonts w:ascii="Times New Roman" w:hAnsi="Times New Roman"/>
          <w:color w:val="000000"/>
          <w:sz w:val="28"/>
        </w:rPr>
        <w:t>единый портал) в разделе «Бюджет» в порядке, установленном Министерством финансов Российской Федерации</w:t>
      </w:r>
      <w:r>
        <w:rPr>
          <w:rFonts w:ascii="Times New Roman" w:hAnsi="Times New Roman"/>
          <w:color w:val="000000"/>
          <w:sz w:val="28"/>
        </w:rPr>
        <w:t>.</w:t>
      </w:r>
    </w:p>
    <w:p w14:paraId="43000000">
      <w:pPr>
        <w:tabs>
          <w:tab w:leader="none" w:pos="1140" w:val="left"/>
          <w:tab w:leader="none" w:pos="1185" w:val="left"/>
          <w:tab w:leader="none" w:pos="1245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44000000">
      <w:pPr>
        <w:tabs>
          <w:tab w:leader="none" w:pos="1140" w:val="left"/>
          <w:tab w:leader="none" w:pos="1185" w:val="left"/>
          <w:tab w:leader="none" w:pos="1245" w:val="left"/>
        </w:tabs>
        <w:spacing w:after="0" w:line="240" w:lineRule="auto"/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Иные положения</w:t>
      </w:r>
    </w:p>
    <w:p w14:paraId="45000000">
      <w:pPr>
        <w:tabs>
          <w:tab w:leader="none" w:pos="1140" w:val="left"/>
          <w:tab w:leader="none" w:pos="1185" w:val="left"/>
          <w:tab w:leader="none" w:pos="1245" w:val="left"/>
        </w:tabs>
        <w:spacing w:after="0" w:line="240" w:lineRule="auto"/>
        <w:ind w:firstLine="709" w:left="0"/>
        <w:jc w:val="center"/>
        <w:rPr>
          <w:rFonts w:ascii="Times New Roman" w:hAnsi="Times New Roman"/>
          <w:sz w:val="28"/>
        </w:rPr>
      </w:pPr>
    </w:p>
    <w:p w14:paraId="46000000">
      <w:pPr>
        <w:numPr>
          <w:ilvl w:val="0"/>
          <w:numId w:val="4"/>
        </w:numPr>
        <w:tabs>
          <w:tab w:leader="none" w:pos="1140" w:val="left"/>
          <w:tab w:leader="none" w:pos="1185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Направлениями расходов, источником финансового обеспечения которых является субсидия, являются</w:t>
      </w:r>
      <w:r>
        <w:rPr>
          <w:rFonts w:ascii="Times New Roman" w:hAnsi="Times New Roman"/>
          <w:sz w:val="28"/>
        </w:rPr>
        <w:t>:</w:t>
      </w:r>
    </w:p>
    <w:p w14:paraId="47000000">
      <w:pPr>
        <w:tabs>
          <w:tab w:leader="none" w:pos="1276" w:val="left"/>
        </w:tabs>
        <w:spacing w:after="0" w:line="240" w:lineRule="auto"/>
        <w:ind w:firstLine="709" w:left="0"/>
        <w:contextualSpacing w:val="1"/>
        <w:jc w:val="both"/>
      </w:pPr>
      <w:r>
        <w:rPr>
          <w:rFonts w:ascii="Times New Roman" w:hAnsi="Times New Roman"/>
          <w:sz w:val="28"/>
        </w:rPr>
        <w:t xml:space="preserve">1) </w:t>
      </w:r>
      <w:r>
        <w:rPr>
          <w:rFonts w:ascii="Times New Roman" w:hAnsi="Times New Roman"/>
          <w:sz w:val="28"/>
        </w:rPr>
        <w:t>расходы на оказание физическим лицам, заинтересованным в начале осуществления предпринимательской деятельности, начинающим предпринимателям, в том числе индивидуальным предпринимателям, применяющим специальный налоговый режим «Налог на профессиональный доход», и действующим субъектам малого и среднего предпринимательства, в том числе индивидуальным предпринимателям, применяющим специальный налоговый режим «Налог на профессиональный доход», с</w:t>
      </w:r>
      <w:r>
        <w:rPr>
          <w:rFonts w:ascii="Times New Roman" w:hAnsi="Times New Roman"/>
          <w:sz w:val="28"/>
        </w:rPr>
        <w:t>ледующих услуг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 направлениям</w:t>
      </w:r>
      <w:r>
        <w:rPr>
          <w:rFonts w:ascii="Times New Roman" w:hAnsi="Times New Roman"/>
          <w:sz w:val="28"/>
        </w:rPr>
        <w:t xml:space="preserve"> центра</w:t>
      </w:r>
      <w:r>
        <w:rPr>
          <w:rFonts w:ascii="Times New Roman" w:hAnsi="Times New Roman"/>
          <w:sz w:val="28"/>
        </w:rPr>
        <w:t xml:space="preserve"> поддержки предпринимательства:</w:t>
      </w:r>
    </w:p>
    <w:p w14:paraId="48000000">
      <w:pPr>
        <w:tabs>
          <w:tab w:leader="none" w:pos="1276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а) </w:t>
      </w:r>
      <w:r>
        <w:rPr>
          <w:rFonts w:ascii="Times New Roman" w:hAnsi="Times New Roman"/>
          <w:sz w:val="28"/>
        </w:rPr>
        <w:t>консультационные услуги с привлечением сторонних профильных экспертов</w:t>
      </w:r>
      <w:r>
        <w:rPr>
          <w:rFonts w:ascii="Times New Roman" w:hAnsi="Times New Roman"/>
          <w:sz w:val="28"/>
        </w:rPr>
        <w:t>;</w:t>
      </w:r>
    </w:p>
    <w:p w14:paraId="49000000">
      <w:pPr>
        <w:tabs>
          <w:tab w:leader="none" w:pos="1276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б) </w:t>
      </w:r>
      <w:r>
        <w:rPr>
          <w:rFonts w:ascii="Times New Roman" w:hAnsi="Times New Roman"/>
          <w:sz w:val="28"/>
        </w:rPr>
        <w:t xml:space="preserve">услуги по </w:t>
      </w:r>
      <w:r>
        <w:rPr>
          <w:rFonts w:ascii="Times New Roman" w:hAnsi="Times New Roman"/>
          <w:sz w:val="28"/>
        </w:rPr>
        <w:t>содействи</w:t>
      </w:r>
      <w:r>
        <w:rPr>
          <w:rFonts w:ascii="Times New Roman" w:hAnsi="Times New Roman"/>
          <w:sz w:val="28"/>
        </w:rPr>
        <w:t>ю</w:t>
      </w:r>
      <w:r>
        <w:rPr>
          <w:rFonts w:ascii="Times New Roman" w:hAnsi="Times New Roman"/>
          <w:sz w:val="28"/>
        </w:rPr>
        <w:t xml:space="preserve"> в популяризации продукции</w:t>
      </w:r>
      <w:r>
        <w:rPr>
          <w:rFonts w:ascii="Times New Roman" w:hAnsi="Times New Roman"/>
          <w:sz w:val="28"/>
        </w:rPr>
        <w:t>;</w:t>
      </w:r>
    </w:p>
    <w:p w14:paraId="4A000000">
      <w:pPr>
        <w:tabs>
          <w:tab w:leader="none" w:pos="1276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в) </w:t>
      </w:r>
      <w:r>
        <w:rPr>
          <w:rFonts w:ascii="Times New Roman" w:hAnsi="Times New Roman"/>
          <w:sz w:val="28"/>
        </w:rPr>
        <w:t xml:space="preserve">услуги по </w:t>
      </w:r>
      <w:r>
        <w:rPr>
          <w:rFonts w:ascii="Times New Roman" w:hAnsi="Times New Roman"/>
          <w:sz w:val="28"/>
        </w:rPr>
        <w:t>содействи</w:t>
      </w:r>
      <w:r>
        <w:rPr>
          <w:rFonts w:ascii="Times New Roman" w:hAnsi="Times New Roman"/>
          <w:sz w:val="28"/>
        </w:rPr>
        <w:t>ю</w:t>
      </w:r>
      <w:r>
        <w:rPr>
          <w:rFonts w:ascii="Times New Roman" w:hAnsi="Times New Roman"/>
          <w:sz w:val="28"/>
        </w:rPr>
        <w:t xml:space="preserve"> в приведении продукции в соответствие с необходимыми требованиями (стандартизация, сертификация, необходимые разрешения, патентование)</w:t>
      </w:r>
      <w:r>
        <w:rPr>
          <w:rFonts w:ascii="Times New Roman" w:hAnsi="Times New Roman"/>
          <w:sz w:val="28"/>
        </w:rPr>
        <w:t>;</w:t>
      </w:r>
    </w:p>
    <w:p w14:paraId="4B000000">
      <w:pPr>
        <w:tabs>
          <w:tab w:leader="none" w:pos="1276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г) </w:t>
      </w:r>
      <w:r>
        <w:rPr>
          <w:rFonts w:ascii="Times New Roman" w:hAnsi="Times New Roman"/>
          <w:sz w:val="28"/>
        </w:rPr>
        <w:t xml:space="preserve">услуги по </w:t>
      </w:r>
      <w:r>
        <w:rPr>
          <w:rFonts w:ascii="Times New Roman" w:hAnsi="Times New Roman"/>
          <w:sz w:val="28"/>
        </w:rPr>
        <w:t>содействи</w:t>
      </w:r>
      <w:r>
        <w:rPr>
          <w:rFonts w:ascii="Times New Roman" w:hAnsi="Times New Roman"/>
          <w:sz w:val="28"/>
        </w:rPr>
        <w:t>ю</w:t>
      </w:r>
      <w:r>
        <w:rPr>
          <w:rFonts w:ascii="Times New Roman" w:hAnsi="Times New Roman"/>
          <w:sz w:val="28"/>
        </w:rPr>
        <w:t xml:space="preserve"> в проведении патентных исследований</w:t>
      </w:r>
      <w:r>
        <w:rPr>
          <w:rFonts w:ascii="Times New Roman" w:hAnsi="Times New Roman"/>
          <w:sz w:val="28"/>
        </w:rPr>
        <w:t>;</w:t>
      </w:r>
    </w:p>
    <w:p w14:paraId="4C000000">
      <w:pPr>
        <w:tabs>
          <w:tab w:leader="none" w:pos="1276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д) </w:t>
      </w:r>
      <w:r>
        <w:rPr>
          <w:rFonts w:ascii="Times New Roman" w:hAnsi="Times New Roman"/>
          <w:sz w:val="28"/>
        </w:rPr>
        <w:t xml:space="preserve">услуги по </w:t>
      </w:r>
      <w:r>
        <w:rPr>
          <w:rFonts w:ascii="Times New Roman" w:hAnsi="Times New Roman"/>
          <w:sz w:val="28"/>
        </w:rPr>
        <w:t>содействи</w:t>
      </w:r>
      <w:r>
        <w:rPr>
          <w:rFonts w:ascii="Times New Roman" w:hAnsi="Times New Roman"/>
          <w:sz w:val="28"/>
        </w:rPr>
        <w:t>ю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 размещении </w:t>
      </w:r>
      <w:r>
        <w:rPr>
          <w:rFonts w:ascii="Times New Roman" w:hAnsi="Times New Roman"/>
          <w:sz w:val="28"/>
        </w:rPr>
        <w:t xml:space="preserve">на электронных торговых площадках </w:t>
      </w:r>
      <w:r>
        <w:rPr>
          <w:rFonts w:ascii="Times New Roman" w:hAnsi="Times New Roman"/>
          <w:sz w:val="28"/>
        </w:rPr>
        <w:t>и маркетплейсах</w:t>
      </w:r>
      <w:r>
        <w:rPr>
          <w:rFonts w:ascii="Times New Roman" w:hAnsi="Times New Roman"/>
          <w:sz w:val="28"/>
        </w:rPr>
        <w:t>;</w:t>
      </w:r>
    </w:p>
    <w:p w14:paraId="4D000000">
      <w:pPr>
        <w:tabs>
          <w:tab w:leader="none" w:pos="1276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е) </w:t>
      </w:r>
      <w:r>
        <w:rPr>
          <w:rFonts w:ascii="Times New Roman" w:hAnsi="Times New Roman"/>
          <w:sz w:val="28"/>
        </w:rPr>
        <w:t>маркетинговые услуги, связанные с разработкой сайтов, рекламной продукции и бренда</w:t>
      </w:r>
      <w:r>
        <w:rPr>
          <w:rFonts w:ascii="Times New Roman" w:hAnsi="Times New Roman"/>
          <w:sz w:val="28"/>
        </w:rPr>
        <w:t xml:space="preserve">; </w:t>
      </w:r>
    </w:p>
    <w:p w14:paraId="4E000000">
      <w:pPr>
        <w:tabs>
          <w:tab w:leader="none" w:pos="1276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ж) </w:t>
      </w:r>
      <w:r>
        <w:rPr>
          <w:rFonts w:ascii="Times New Roman" w:hAnsi="Times New Roman"/>
          <w:sz w:val="28"/>
        </w:rPr>
        <w:t xml:space="preserve">услуги по </w:t>
      </w:r>
      <w:r>
        <w:rPr>
          <w:rFonts w:ascii="Times New Roman" w:hAnsi="Times New Roman"/>
          <w:sz w:val="28"/>
        </w:rPr>
        <w:t>проведени</w:t>
      </w:r>
      <w:r>
        <w:rPr>
          <w:rFonts w:ascii="Times New Roman" w:hAnsi="Times New Roman"/>
          <w:sz w:val="28"/>
        </w:rPr>
        <w:t>ю</w:t>
      </w:r>
      <w:r>
        <w:rPr>
          <w:rFonts w:ascii="Times New Roman" w:hAnsi="Times New Roman"/>
          <w:sz w:val="28"/>
        </w:rPr>
        <w:t xml:space="preserve"> обучающих мероприятий, программ</w:t>
      </w:r>
      <w:r>
        <w:rPr>
          <w:rFonts w:ascii="Times New Roman" w:hAnsi="Times New Roman"/>
          <w:sz w:val="28"/>
        </w:rPr>
        <w:t>;</w:t>
      </w:r>
    </w:p>
    <w:p w14:paraId="4F000000">
      <w:pPr>
        <w:tabs>
          <w:tab w:leader="none" w:pos="1276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з) </w:t>
      </w:r>
      <w:r>
        <w:rPr>
          <w:rFonts w:ascii="Times New Roman" w:hAnsi="Times New Roman"/>
          <w:sz w:val="28"/>
        </w:rPr>
        <w:t xml:space="preserve">услуги по </w:t>
      </w:r>
      <w:r>
        <w:rPr>
          <w:rFonts w:ascii="Times New Roman" w:hAnsi="Times New Roman"/>
          <w:sz w:val="28"/>
        </w:rPr>
        <w:t>проведени</w:t>
      </w:r>
      <w:r>
        <w:rPr>
          <w:rFonts w:ascii="Times New Roman" w:hAnsi="Times New Roman"/>
          <w:sz w:val="28"/>
        </w:rPr>
        <w:t>ю</w:t>
      </w:r>
      <w:r>
        <w:rPr>
          <w:rFonts w:ascii="Times New Roman" w:hAnsi="Times New Roman"/>
          <w:sz w:val="28"/>
        </w:rPr>
        <w:t xml:space="preserve"> обучающих мероприятий, направленных на повышение квалификации сотрудников субъектов малого и среднего предпринимательства;</w:t>
      </w:r>
    </w:p>
    <w:p w14:paraId="50000000">
      <w:pPr>
        <w:tabs>
          <w:tab w:leader="none" w:pos="1276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и) </w:t>
      </w:r>
      <w:r>
        <w:rPr>
          <w:rFonts w:ascii="Times New Roman" w:hAnsi="Times New Roman"/>
          <w:sz w:val="28"/>
        </w:rPr>
        <w:t xml:space="preserve">услуги по </w:t>
      </w:r>
      <w:r>
        <w:rPr>
          <w:rFonts w:ascii="Times New Roman" w:hAnsi="Times New Roman"/>
          <w:sz w:val="28"/>
        </w:rPr>
        <w:t>проведени</w:t>
      </w:r>
      <w:r>
        <w:rPr>
          <w:rFonts w:ascii="Times New Roman" w:hAnsi="Times New Roman"/>
          <w:sz w:val="28"/>
        </w:rPr>
        <w:t>ю</w:t>
      </w:r>
      <w:r>
        <w:rPr>
          <w:rFonts w:ascii="Times New Roman" w:hAnsi="Times New Roman"/>
          <w:sz w:val="28"/>
        </w:rPr>
        <w:t xml:space="preserve"> семинаров, круглых столов, вебинаров, обучающих модулей, курсов, лекций, мастер-классов, тренингов, бизнес-игр, бизнес-встреч, деловых игр;</w:t>
      </w:r>
    </w:p>
    <w:p w14:paraId="51000000">
      <w:pPr>
        <w:tabs>
          <w:tab w:leader="none" w:pos="1276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к) </w:t>
      </w:r>
      <w:r>
        <w:rPr>
          <w:rFonts w:ascii="Times New Roman" w:hAnsi="Times New Roman"/>
          <w:sz w:val="28"/>
        </w:rPr>
        <w:t xml:space="preserve">услуги по </w:t>
      </w:r>
      <w:r>
        <w:rPr>
          <w:rFonts w:ascii="Times New Roman" w:hAnsi="Times New Roman"/>
          <w:sz w:val="28"/>
        </w:rPr>
        <w:t>организации</w:t>
      </w:r>
      <w:r>
        <w:rPr>
          <w:rFonts w:ascii="Times New Roman" w:hAnsi="Times New Roman"/>
          <w:sz w:val="28"/>
        </w:rPr>
        <w:t xml:space="preserve"> и проведени</w:t>
      </w:r>
      <w:r>
        <w:rPr>
          <w:rFonts w:ascii="Times New Roman" w:hAnsi="Times New Roman"/>
          <w:sz w:val="28"/>
        </w:rPr>
        <w:t>ю</w:t>
      </w:r>
      <w:r>
        <w:rPr>
          <w:rFonts w:ascii="Times New Roman" w:hAnsi="Times New Roman"/>
          <w:sz w:val="28"/>
        </w:rPr>
        <w:t xml:space="preserve"> конференций, форумов, бизнес-миссии;</w:t>
      </w:r>
    </w:p>
    <w:p w14:paraId="52000000">
      <w:pPr>
        <w:tabs>
          <w:tab w:leader="none" w:pos="1276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л) </w:t>
      </w:r>
      <w:r>
        <w:rPr>
          <w:rFonts w:ascii="Times New Roman" w:hAnsi="Times New Roman"/>
          <w:sz w:val="28"/>
        </w:rPr>
        <w:t xml:space="preserve">услуги по </w:t>
      </w:r>
      <w:r>
        <w:rPr>
          <w:rFonts w:ascii="Times New Roman" w:hAnsi="Times New Roman"/>
          <w:sz w:val="28"/>
        </w:rPr>
        <w:t>организаци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участия </w:t>
      </w:r>
      <w:r>
        <w:rPr>
          <w:rFonts w:ascii="Times New Roman" w:hAnsi="Times New Roman"/>
          <w:sz w:val="28"/>
        </w:rPr>
        <w:t>в выставочно-</w:t>
      </w:r>
      <w:r>
        <w:rPr>
          <w:rFonts w:ascii="Times New Roman" w:hAnsi="Times New Roman"/>
          <w:sz w:val="28"/>
        </w:rPr>
        <w:t xml:space="preserve">ярмарочном мероприятии на территории Российской Федерации, </w:t>
      </w:r>
      <w:r>
        <w:rPr>
          <w:rFonts w:ascii="Times New Roman" w:hAnsi="Times New Roman"/>
          <w:sz w:val="28"/>
        </w:rPr>
        <w:t>в региональных бизнес-миссиях</w:t>
      </w:r>
      <w:r>
        <w:rPr>
          <w:rFonts w:ascii="Times New Roman" w:hAnsi="Times New Roman"/>
          <w:sz w:val="28"/>
        </w:rPr>
        <w:t>;</w:t>
      </w:r>
    </w:p>
    <w:p w14:paraId="53000000">
      <w:pPr>
        <w:tabs>
          <w:tab w:leader="none" w:pos="1276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м) услуги по </w:t>
      </w:r>
      <w:r>
        <w:rPr>
          <w:rFonts w:ascii="Times New Roman" w:hAnsi="Times New Roman"/>
          <w:sz w:val="28"/>
        </w:rPr>
        <w:t>орг</w:t>
      </w:r>
      <w:r>
        <w:rPr>
          <w:rFonts w:ascii="Times New Roman" w:hAnsi="Times New Roman"/>
          <w:sz w:val="28"/>
        </w:rPr>
        <w:t xml:space="preserve">анизации </w:t>
      </w:r>
      <w:r>
        <w:rPr>
          <w:rFonts w:ascii="Times New Roman" w:hAnsi="Times New Roman"/>
          <w:sz w:val="28"/>
        </w:rPr>
        <w:t>участи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региональных, межрегиональных, общероссийских и международных мероприятиях, направленных на поддержку и развитие предпринимательства;</w:t>
      </w:r>
    </w:p>
    <w:p w14:paraId="54000000">
      <w:pPr>
        <w:tabs>
          <w:tab w:leader="none" w:pos="1276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услуги по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организаци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программ по наставничеству</w:t>
      </w:r>
      <w:r>
        <w:rPr>
          <w:rFonts w:ascii="Times New Roman" w:hAnsi="Times New Roman"/>
          <w:sz w:val="28"/>
        </w:rPr>
        <w:t>;</w:t>
      </w:r>
    </w:p>
    <w:p w14:paraId="55000000">
      <w:pPr>
        <w:tabs>
          <w:tab w:leader="none" w:pos="1276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о)</w:t>
      </w:r>
      <w:r>
        <w:rPr>
          <w:rFonts w:ascii="Times New Roman" w:hAnsi="Times New Roman"/>
          <w:sz w:val="28"/>
        </w:rPr>
        <w:t xml:space="preserve"> реализация программ и проектов, направленных на вовлечение в предпринимательскую деятельность молодежи в возрасте 14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17 лет;</w:t>
      </w:r>
    </w:p>
    <w:p w14:paraId="56000000">
      <w:pPr>
        <w:tabs>
          <w:tab w:leader="none" w:pos="1276" w:val="left"/>
        </w:tabs>
        <w:spacing w:after="0" w:line="240" w:lineRule="auto"/>
        <w:ind w:firstLine="709" w:left="0"/>
        <w:contextualSpacing w:val="1"/>
        <w:jc w:val="both"/>
      </w:pP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 xml:space="preserve">) </w:t>
      </w:r>
      <w:r>
        <w:rPr>
          <w:rFonts w:ascii="Times New Roman" w:hAnsi="Times New Roman"/>
          <w:sz w:val="28"/>
        </w:rPr>
        <w:t xml:space="preserve">услуги по </w:t>
      </w:r>
      <w:r>
        <w:rPr>
          <w:rFonts w:ascii="Times New Roman" w:hAnsi="Times New Roman"/>
          <w:sz w:val="28"/>
        </w:rPr>
        <w:t xml:space="preserve">организации и </w:t>
      </w:r>
      <w:r>
        <w:rPr>
          <w:rFonts w:ascii="Times New Roman" w:hAnsi="Times New Roman"/>
          <w:sz w:val="28"/>
        </w:rPr>
        <w:t>проведени</w:t>
      </w:r>
      <w:r>
        <w:rPr>
          <w:rFonts w:ascii="Times New Roman" w:hAnsi="Times New Roman"/>
          <w:sz w:val="28"/>
        </w:rPr>
        <w:t>ю</w:t>
      </w:r>
      <w:r>
        <w:rPr>
          <w:rFonts w:ascii="Times New Roman" w:hAnsi="Times New Roman"/>
          <w:sz w:val="28"/>
        </w:rPr>
        <w:t xml:space="preserve"> региональных этапов всероссийских и международных мероприятий (конкурсов, премий, соревнований, олимпиад, чемпионатов, первенств, турниров, состязаний, отборов) и краевых мероприятий (конкурсов, премий, соревнований, олимпиад, чемпионатов, первенств, турниров, состязаний, отборов)</w:t>
      </w:r>
      <w:r>
        <w:rPr>
          <w:rFonts w:ascii="Times New Roman" w:hAnsi="Times New Roman"/>
          <w:sz w:val="28"/>
        </w:rPr>
        <w:t>;</w:t>
      </w:r>
    </w:p>
    <w:p w14:paraId="57000000">
      <w:pPr>
        <w:tabs>
          <w:tab w:leader="none" w:pos="1276" w:val="left"/>
        </w:tabs>
        <w:spacing w:after="0" w:line="240" w:lineRule="auto"/>
        <w:ind w:firstLine="709" w:left="0"/>
        <w:contextualSpacing w:val="1"/>
        <w:jc w:val="both"/>
      </w:pPr>
      <w:r>
        <w:rPr>
          <w:rFonts w:ascii="Times New Roman" w:hAnsi="Times New Roman"/>
          <w:sz w:val="28"/>
        </w:rPr>
        <w:t xml:space="preserve">2) </w:t>
      </w:r>
      <w:r>
        <w:rPr>
          <w:rFonts w:ascii="Times New Roman" w:hAnsi="Times New Roman"/>
          <w:sz w:val="28"/>
        </w:rPr>
        <w:t>расходы на оказание физическим лицам, заинтересованным в начале осуществления предпринимательской деятельности, начинающим предпринимателям, в том числе индивидуальным предпринимателям, применяющим специальный налоговый режим «Налог на профессиональный доход», и действующим субъектам малого и среднего предпринимательства, в том числе индивидуальным предпринимателям, применяющим специальный налоговый режим «Налог на профессиональный доход», с</w:t>
      </w:r>
      <w:r>
        <w:rPr>
          <w:rFonts w:ascii="Times New Roman" w:hAnsi="Times New Roman"/>
          <w:sz w:val="28"/>
        </w:rPr>
        <w:t xml:space="preserve">ледующих услуг </w:t>
      </w:r>
      <w:r>
        <w:rPr>
          <w:rFonts w:ascii="Times New Roman" w:hAnsi="Times New Roman"/>
          <w:sz w:val="28"/>
        </w:rPr>
        <w:t xml:space="preserve">по </w:t>
      </w:r>
      <w:r>
        <w:rPr>
          <w:rFonts w:ascii="Times New Roman" w:hAnsi="Times New Roman"/>
          <w:sz w:val="28"/>
        </w:rPr>
        <w:t>направлениям деятельности</w:t>
      </w:r>
      <w:r>
        <w:rPr>
          <w:rFonts w:ascii="Times New Roman" w:hAnsi="Times New Roman"/>
          <w:sz w:val="28"/>
        </w:rPr>
        <w:t xml:space="preserve"> центра</w:t>
      </w:r>
      <w:r>
        <w:rPr>
          <w:rFonts w:ascii="Times New Roman" w:hAnsi="Times New Roman"/>
          <w:sz w:val="28"/>
        </w:rPr>
        <w:t xml:space="preserve"> инноваций социальной сферы:</w:t>
      </w:r>
    </w:p>
    <w:p w14:paraId="58000000">
      <w:pPr>
        <w:tabs>
          <w:tab w:leader="none" w:pos="1276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а) </w:t>
      </w:r>
      <w:r>
        <w:rPr>
          <w:rFonts w:ascii="Times New Roman" w:hAnsi="Times New Roman"/>
          <w:sz w:val="28"/>
        </w:rPr>
        <w:t>консультационные услуги с привлечением сторонних профильных экспертов</w:t>
      </w:r>
      <w:r>
        <w:rPr>
          <w:rFonts w:ascii="Times New Roman" w:hAnsi="Times New Roman"/>
          <w:sz w:val="28"/>
        </w:rPr>
        <w:t>;</w:t>
      </w:r>
    </w:p>
    <w:p w14:paraId="59000000">
      <w:pPr>
        <w:tabs>
          <w:tab w:leader="none" w:pos="1276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б) </w:t>
      </w:r>
      <w:r>
        <w:rPr>
          <w:rFonts w:ascii="Times New Roman" w:hAnsi="Times New Roman"/>
          <w:sz w:val="28"/>
        </w:rPr>
        <w:t>продвижени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информации о деятельности центра инноваций социальной сферы</w:t>
      </w:r>
      <w:r>
        <w:rPr>
          <w:rFonts w:ascii="Times New Roman" w:hAnsi="Times New Roman"/>
          <w:sz w:val="28"/>
        </w:rPr>
        <w:t>;</w:t>
      </w:r>
    </w:p>
    <w:p w14:paraId="5A000000">
      <w:pPr>
        <w:tabs>
          <w:tab w:leader="none" w:pos="1276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в) </w:t>
      </w:r>
      <w:r>
        <w:rPr>
          <w:rFonts w:ascii="Times New Roman" w:hAnsi="Times New Roman"/>
          <w:sz w:val="28"/>
        </w:rPr>
        <w:t>проведение мероприятий по сбору, обобщению и распространению информации о социальных проектах и инвестиционных потребностях субъектов малого и среднего предпринимательства, осуществляющих деятельность в области социального предпринимательства</w:t>
      </w:r>
      <w:r>
        <w:rPr>
          <w:rFonts w:ascii="Times New Roman" w:hAnsi="Times New Roman"/>
          <w:sz w:val="28"/>
        </w:rPr>
        <w:t>;</w:t>
      </w:r>
    </w:p>
    <w:p w14:paraId="5B000000">
      <w:pPr>
        <w:tabs>
          <w:tab w:leader="none" w:pos="1276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услуги по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проведени</w:t>
      </w:r>
      <w:r>
        <w:rPr>
          <w:rFonts w:ascii="Times New Roman" w:hAnsi="Times New Roman"/>
          <w:sz w:val="28"/>
        </w:rPr>
        <w:t>ю</w:t>
      </w:r>
      <w:r>
        <w:rPr>
          <w:rFonts w:ascii="Times New Roman" w:hAnsi="Times New Roman"/>
          <w:sz w:val="28"/>
        </w:rPr>
        <w:t xml:space="preserve"> обучающих и просветительских мероприятий </w:t>
      </w:r>
      <w:r>
        <w:rPr>
          <w:rFonts w:ascii="Times New Roman" w:hAnsi="Times New Roman"/>
          <w:sz w:val="28"/>
        </w:rPr>
        <w:t>по вопросам осуществления деятельности в области социального предпринимательства в форме полноформатных программ, семинаров, мастер-классов, тренингов, деловых игр, круглых столов, акселерационных программ, вебинаров, обучающих модулей, мероприятий, курсов, лекций, бизнес-игр, бизнес-встреч</w:t>
      </w:r>
      <w:r>
        <w:rPr>
          <w:rFonts w:ascii="Times New Roman" w:hAnsi="Times New Roman"/>
          <w:sz w:val="28"/>
        </w:rPr>
        <w:t>;</w:t>
      </w:r>
    </w:p>
    <w:p w14:paraId="5C000000">
      <w:pPr>
        <w:tabs>
          <w:tab w:leader="none" w:pos="1276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</w:rPr>
        <w:t xml:space="preserve">) </w:t>
      </w:r>
      <w:r>
        <w:rPr>
          <w:rFonts w:ascii="Times New Roman" w:hAnsi="Times New Roman"/>
          <w:sz w:val="28"/>
        </w:rPr>
        <w:t xml:space="preserve">услуги по </w:t>
      </w:r>
      <w:r>
        <w:rPr>
          <w:rFonts w:ascii="Times New Roman" w:hAnsi="Times New Roman"/>
          <w:sz w:val="28"/>
        </w:rPr>
        <w:t>организаци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участия </w:t>
      </w:r>
      <w:r>
        <w:rPr>
          <w:rFonts w:ascii="Times New Roman" w:hAnsi="Times New Roman"/>
          <w:sz w:val="28"/>
        </w:rPr>
        <w:t>в выставочно-ярмарочных и конгрессных мероприятиях с социальной тематикой на территории Российской Федерации с целью продвижения их товаров (работ, услуг);</w:t>
      </w:r>
    </w:p>
    <w:p w14:paraId="5D000000">
      <w:pPr>
        <w:tabs>
          <w:tab w:leader="none" w:pos="1276" w:val="left"/>
        </w:tabs>
        <w:spacing w:after="0" w:line="240" w:lineRule="auto"/>
        <w:ind w:firstLine="709" w:left="0"/>
        <w:contextualSpacing w:val="1"/>
        <w:jc w:val="both"/>
      </w:pP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) </w:t>
      </w:r>
      <w:r>
        <w:rPr>
          <w:rFonts w:ascii="Times New Roman" w:hAnsi="Times New Roman"/>
          <w:sz w:val="28"/>
        </w:rPr>
        <w:t xml:space="preserve">услуги по организации и проведению </w:t>
      </w:r>
      <w:r>
        <w:rPr>
          <w:rFonts w:ascii="Times New Roman" w:hAnsi="Times New Roman"/>
          <w:sz w:val="28"/>
        </w:rPr>
        <w:t>региональных этапов всероссийских и международных мероприятий (конкурсов, премий, соревнований, олимпиад, чемпионатов, первенств, турниров, состязаний, отборов) и краевых мероприятий (конкурсов, премий, соревнований, олимпиад, чемпионатов, первенств, турниров, состязаний, отборов);</w:t>
      </w:r>
    </w:p>
    <w:p w14:paraId="5E000000">
      <w:pPr>
        <w:tabs>
          <w:tab w:leader="none" w:pos="1276" w:val="left"/>
        </w:tabs>
        <w:spacing w:after="0" w:line="240" w:lineRule="auto"/>
        <w:ind w:firstLine="709" w:left="0"/>
        <w:contextualSpacing w:val="1"/>
        <w:jc w:val="both"/>
      </w:pPr>
      <w:r>
        <w:rPr>
          <w:rFonts w:ascii="Times New Roman" w:hAnsi="Times New Roman"/>
          <w:sz w:val="28"/>
        </w:rPr>
        <w:t xml:space="preserve">3) </w:t>
      </w:r>
      <w:r>
        <w:rPr>
          <w:rFonts w:ascii="Times New Roman" w:hAnsi="Times New Roman"/>
          <w:sz w:val="28"/>
        </w:rPr>
        <w:t xml:space="preserve">расходы на оказание физическим лицам, заинтересованным в начале осуществления предпринимательской деятельности, начинающим предпринимателям, в том числе индивидуальным предпринимателям, </w:t>
      </w:r>
      <w:r>
        <w:rPr>
          <w:rFonts w:ascii="Times New Roman" w:hAnsi="Times New Roman"/>
          <w:sz w:val="28"/>
        </w:rPr>
        <w:t>применяющим специальный налоговый режим «Налог на профессиональный доход», и действующим субъектам малого и среднего предпринимательства, в том числе индивидуальным предпринимателям, применяющим специальный налоговый режим «Налог на профессиональный доход», с</w:t>
      </w:r>
      <w:r>
        <w:rPr>
          <w:rFonts w:ascii="Times New Roman" w:hAnsi="Times New Roman"/>
          <w:sz w:val="28"/>
        </w:rPr>
        <w:t xml:space="preserve">ледующих услуг </w:t>
      </w:r>
      <w:r>
        <w:rPr>
          <w:rFonts w:ascii="Times New Roman" w:hAnsi="Times New Roman"/>
          <w:sz w:val="28"/>
        </w:rPr>
        <w:t>по направлениям деятельности</w:t>
      </w:r>
      <w:r>
        <w:rPr>
          <w:rFonts w:ascii="Times New Roman" w:hAnsi="Times New Roman"/>
          <w:sz w:val="28"/>
        </w:rPr>
        <w:t xml:space="preserve"> центра</w:t>
      </w:r>
      <w:r>
        <w:rPr>
          <w:rFonts w:ascii="Times New Roman" w:hAnsi="Times New Roman"/>
          <w:sz w:val="28"/>
        </w:rPr>
        <w:t xml:space="preserve"> кластерного развития:</w:t>
      </w:r>
    </w:p>
    <w:p w14:paraId="5F000000">
      <w:pPr>
        <w:tabs>
          <w:tab w:leader="none" w:pos="1276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а) </w:t>
      </w:r>
      <w:r>
        <w:rPr>
          <w:rFonts w:ascii="Times New Roman" w:hAnsi="Times New Roman"/>
          <w:sz w:val="28"/>
        </w:rPr>
        <w:t xml:space="preserve">консультационные услуги с </w:t>
      </w:r>
      <w:r>
        <w:rPr>
          <w:rFonts w:ascii="Times New Roman" w:hAnsi="Times New Roman"/>
          <w:sz w:val="28"/>
        </w:rPr>
        <w:t xml:space="preserve">привлечением </w:t>
      </w:r>
      <w:r>
        <w:rPr>
          <w:rFonts w:ascii="Times New Roman" w:hAnsi="Times New Roman"/>
          <w:sz w:val="28"/>
        </w:rPr>
        <w:t>сторонних</w:t>
      </w:r>
      <w:r>
        <w:rPr>
          <w:rFonts w:ascii="Times New Roman" w:hAnsi="Times New Roman"/>
          <w:sz w:val="28"/>
        </w:rPr>
        <w:t xml:space="preserve"> экспертов</w:t>
      </w:r>
      <w:r>
        <w:rPr>
          <w:rFonts w:ascii="Times New Roman" w:hAnsi="Times New Roman"/>
          <w:sz w:val="28"/>
        </w:rPr>
        <w:t>;</w:t>
      </w:r>
    </w:p>
    <w:p w14:paraId="60000000">
      <w:pPr>
        <w:tabs>
          <w:tab w:leader="none" w:pos="1276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б) </w:t>
      </w:r>
      <w:r>
        <w:rPr>
          <w:rFonts w:ascii="Times New Roman" w:hAnsi="Times New Roman"/>
          <w:sz w:val="28"/>
        </w:rPr>
        <w:t xml:space="preserve">услуги по </w:t>
      </w:r>
      <w:r>
        <w:rPr>
          <w:rFonts w:ascii="Times New Roman" w:hAnsi="Times New Roman"/>
          <w:sz w:val="28"/>
        </w:rPr>
        <w:t>проведени</w:t>
      </w:r>
      <w:r>
        <w:rPr>
          <w:rFonts w:ascii="Times New Roman" w:hAnsi="Times New Roman"/>
          <w:sz w:val="28"/>
        </w:rPr>
        <w:t>ю</w:t>
      </w:r>
      <w:r>
        <w:rPr>
          <w:rFonts w:ascii="Times New Roman" w:hAnsi="Times New Roman"/>
          <w:sz w:val="28"/>
        </w:rPr>
        <w:t xml:space="preserve"> экспертизы сметной стоимости совместных проектов участников кластера;</w:t>
      </w:r>
    </w:p>
    <w:p w14:paraId="61000000">
      <w:pPr>
        <w:tabs>
          <w:tab w:leader="none" w:pos="1276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в) </w:t>
      </w:r>
      <w:r>
        <w:rPr>
          <w:rFonts w:ascii="Times New Roman" w:hAnsi="Times New Roman"/>
          <w:sz w:val="28"/>
        </w:rPr>
        <w:t>оказание маркетинговых услуг</w:t>
      </w:r>
      <w:r>
        <w:rPr>
          <w:rFonts w:ascii="Times New Roman" w:hAnsi="Times New Roman"/>
          <w:sz w:val="28"/>
        </w:rPr>
        <w:t>, услуг по брендированию, позиционированию и продвижению новых продуктов (услуг)</w:t>
      </w:r>
      <w:r>
        <w:rPr>
          <w:rFonts w:ascii="Times New Roman" w:hAnsi="Times New Roman"/>
          <w:sz w:val="28"/>
        </w:rPr>
        <w:t>;</w:t>
      </w:r>
    </w:p>
    <w:p w14:paraId="62000000">
      <w:pPr>
        <w:tabs>
          <w:tab w:leader="none" w:pos="1276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г) </w:t>
      </w:r>
      <w:r>
        <w:rPr>
          <w:rFonts w:ascii="Times New Roman" w:hAnsi="Times New Roman"/>
          <w:sz w:val="28"/>
        </w:rPr>
        <w:t xml:space="preserve">услуги по </w:t>
      </w:r>
      <w:r>
        <w:rPr>
          <w:rFonts w:ascii="Times New Roman" w:hAnsi="Times New Roman"/>
          <w:sz w:val="28"/>
        </w:rPr>
        <w:t>проведени</w:t>
      </w:r>
      <w:r>
        <w:rPr>
          <w:rFonts w:ascii="Times New Roman" w:hAnsi="Times New Roman"/>
          <w:sz w:val="28"/>
        </w:rPr>
        <w:t>ю</w:t>
      </w:r>
      <w:r>
        <w:rPr>
          <w:rFonts w:ascii="Times New Roman" w:hAnsi="Times New Roman"/>
          <w:sz w:val="28"/>
        </w:rPr>
        <w:t xml:space="preserve"> информационных</w:t>
      </w:r>
      <w:r>
        <w:rPr>
          <w:rFonts w:ascii="Times New Roman" w:hAnsi="Times New Roman"/>
          <w:sz w:val="28"/>
        </w:rPr>
        <w:t xml:space="preserve"> кампаний в средствах массовой информации</w:t>
      </w:r>
      <w:r>
        <w:rPr>
          <w:rFonts w:ascii="Times New Roman" w:hAnsi="Times New Roman"/>
          <w:sz w:val="28"/>
        </w:rPr>
        <w:t>;</w:t>
      </w:r>
    </w:p>
    <w:p w14:paraId="63000000">
      <w:pPr>
        <w:tabs>
          <w:tab w:leader="none" w:pos="1276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д) </w:t>
      </w:r>
      <w:r>
        <w:rPr>
          <w:rFonts w:ascii="Times New Roman" w:hAnsi="Times New Roman"/>
          <w:sz w:val="28"/>
        </w:rPr>
        <w:t xml:space="preserve">услуги по </w:t>
      </w:r>
      <w:r>
        <w:rPr>
          <w:rFonts w:ascii="Times New Roman" w:hAnsi="Times New Roman"/>
          <w:sz w:val="28"/>
        </w:rPr>
        <w:t>подготовк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бизнес-планов, технико-экономических обоснований совместных кластерных проектов предприятий;</w:t>
      </w:r>
    </w:p>
    <w:p w14:paraId="64000000">
      <w:pPr>
        <w:tabs>
          <w:tab w:leader="none" w:pos="1276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е) </w:t>
      </w:r>
      <w:r>
        <w:rPr>
          <w:rFonts w:ascii="Times New Roman" w:hAnsi="Times New Roman"/>
          <w:sz w:val="28"/>
        </w:rPr>
        <w:t xml:space="preserve">услуги по </w:t>
      </w:r>
      <w:r>
        <w:rPr>
          <w:rFonts w:ascii="Times New Roman" w:hAnsi="Times New Roman"/>
          <w:sz w:val="28"/>
        </w:rPr>
        <w:t>разработке</w:t>
      </w:r>
      <w:r>
        <w:rPr>
          <w:rFonts w:ascii="Times New Roman" w:hAnsi="Times New Roman"/>
          <w:sz w:val="28"/>
        </w:rPr>
        <w:t xml:space="preserve"> или актуализации</w:t>
      </w:r>
      <w:r>
        <w:rPr>
          <w:rFonts w:ascii="Times New Roman" w:hAnsi="Times New Roman"/>
          <w:sz w:val="28"/>
        </w:rPr>
        <w:t xml:space="preserve"> программ развития территориальных кластеров, технико-экономических обоснований инфраструктурных проектов кластера;</w:t>
      </w:r>
    </w:p>
    <w:p w14:paraId="65000000">
      <w:pPr>
        <w:tabs>
          <w:tab w:leader="none" w:pos="1276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ж) </w:t>
      </w:r>
      <w:r>
        <w:rPr>
          <w:rFonts w:ascii="Times New Roman" w:hAnsi="Times New Roman"/>
          <w:sz w:val="28"/>
        </w:rPr>
        <w:t xml:space="preserve">услуги по </w:t>
      </w:r>
      <w:r>
        <w:rPr>
          <w:rFonts w:ascii="Times New Roman" w:hAnsi="Times New Roman"/>
          <w:sz w:val="28"/>
        </w:rPr>
        <w:t>организации</w:t>
      </w:r>
      <w:r>
        <w:rPr>
          <w:rFonts w:ascii="Times New Roman" w:hAnsi="Times New Roman"/>
          <w:sz w:val="28"/>
        </w:rPr>
        <w:t xml:space="preserve"> работ по обеспечению соответствия продукции</w:t>
      </w:r>
      <w:r>
        <w:rPr>
          <w:rFonts w:ascii="Times New Roman" w:hAnsi="Times New Roman"/>
          <w:sz w:val="28"/>
        </w:rPr>
        <w:t xml:space="preserve">, требованиям потребителей, содействие в получении разрешительной документации, в том числе проведении сертификации, декларировании, аттестации для продукции предприятий в целях выхода на внутренние </w:t>
      </w:r>
      <w:r>
        <w:rPr>
          <w:rFonts w:ascii="Times New Roman" w:hAnsi="Times New Roman"/>
          <w:sz w:val="28"/>
        </w:rPr>
        <w:t>и зарубежные рынки, рынки крупных заказчиков;</w:t>
      </w:r>
    </w:p>
    <w:p w14:paraId="66000000">
      <w:pPr>
        <w:tabs>
          <w:tab w:leader="none" w:pos="1276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з) услуги по </w:t>
      </w:r>
      <w:r>
        <w:rPr>
          <w:rFonts w:ascii="Times New Roman" w:hAnsi="Times New Roman"/>
          <w:sz w:val="28"/>
        </w:rPr>
        <w:t>организаци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участия </w:t>
      </w:r>
      <w:r>
        <w:rPr>
          <w:rFonts w:ascii="Times New Roman" w:hAnsi="Times New Roman"/>
          <w:sz w:val="28"/>
        </w:rPr>
        <w:t xml:space="preserve">в отраслевых российских и зарубежных мероприятиях; </w:t>
      </w:r>
    </w:p>
    <w:p w14:paraId="67000000">
      <w:pPr>
        <w:tabs>
          <w:tab w:leader="none" w:pos="1276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и) </w:t>
      </w:r>
      <w:r>
        <w:rPr>
          <w:rFonts w:ascii="Times New Roman" w:hAnsi="Times New Roman"/>
          <w:sz w:val="28"/>
        </w:rPr>
        <w:t xml:space="preserve">услуги по организации </w:t>
      </w:r>
      <w:r>
        <w:rPr>
          <w:rFonts w:ascii="Times New Roman" w:hAnsi="Times New Roman"/>
          <w:sz w:val="28"/>
        </w:rPr>
        <w:t xml:space="preserve">и </w:t>
      </w:r>
      <w:r>
        <w:rPr>
          <w:rFonts w:ascii="Times New Roman" w:hAnsi="Times New Roman"/>
          <w:sz w:val="28"/>
        </w:rPr>
        <w:t>проведени</w:t>
      </w:r>
      <w:r>
        <w:rPr>
          <w:rFonts w:ascii="Times New Roman" w:hAnsi="Times New Roman"/>
          <w:sz w:val="28"/>
        </w:rPr>
        <w:t>ю</w:t>
      </w:r>
      <w:r>
        <w:rPr>
          <w:rFonts w:ascii="Times New Roman" w:hAnsi="Times New Roman"/>
          <w:sz w:val="28"/>
        </w:rPr>
        <w:t xml:space="preserve"> форумов, конференций</w:t>
      </w:r>
      <w:r>
        <w:rPr>
          <w:rFonts w:ascii="Times New Roman" w:hAnsi="Times New Roman"/>
          <w:sz w:val="28"/>
        </w:rPr>
        <w:t xml:space="preserve">; </w:t>
      </w:r>
    </w:p>
    <w:p w14:paraId="68000000">
      <w:pPr>
        <w:tabs>
          <w:tab w:leader="none" w:pos="1276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к) </w:t>
      </w:r>
      <w:r>
        <w:rPr>
          <w:rFonts w:ascii="Times New Roman" w:hAnsi="Times New Roman"/>
          <w:sz w:val="28"/>
        </w:rPr>
        <w:t xml:space="preserve">услуги по </w:t>
      </w:r>
      <w:r>
        <w:rPr>
          <w:rFonts w:ascii="Times New Roman" w:hAnsi="Times New Roman"/>
          <w:sz w:val="28"/>
        </w:rPr>
        <w:t>проведени</w:t>
      </w:r>
      <w:r>
        <w:rPr>
          <w:rFonts w:ascii="Times New Roman" w:hAnsi="Times New Roman"/>
          <w:sz w:val="28"/>
        </w:rPr>
        <w:t>ю</w:t>
      </w:r>
      <w:r>
        <w:rPr>
          <w:rFonts w:ascii="Times New Roman" w:hAnsi="Times New Roman"/>
          <w:sz w:val="28"/>
        </w:rPr>
        <w:t xml:space="preserve"> обучающих и просветительских мероприятий</w:t>
      </w:r>
      <w:r>
        <w:rPr>
          <w:rFonts w:ascii="Times New Roman" w:hAnsi="Times New Roman"/>
          <w:sz w:val="28"/>
        </w:rPr>
        <w:t xml:space="preserve"> (</w:t>
      </w:r>
      <w:r>
        <w:rPr>
          <w:rFonts w:ascii="Times New Roman" w:hAnsi="Times New Roman"/>
          <w:sz w:val="28"/>
        </w:rPr>
        <w:t>семинаров, вебинаров, круглых столов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; </w:t>
      </w:r>
    </w:p>
    <w:p w14:paraId="69000000">
      <w:pPr>
        <w:tabs>
          <w:tab w:leader="none" w:pos="1276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trike w:val="1"/>
          <w:sz w:val="28"/>
        </w:rPr>
      </w:pPr>
      <w:r>
        <w:rPr>
          <w:rFonts w:ascii="Times New Roman" w:hAnsi="Times New Roman"/>
          <w:sz w:val="28"/>
        </w:rPr>
        <w:t xml:space="preserve">л) </w:t>
      </w:r>
      <w:r>
        <w:rPr>
          <w:rFonts w:ascii="Times New Roman" w:hAnsi="Times New Roman"/>
          <w:sz w:val="28"/>
        </w:rPr>
        <w:t>услуги по проведени</w:t>
      </w:r>
      <w:r>
        <w:rPr>
          <w:rFonts w:ascii="Times New Roman" w:hAnsi="Times New Roman"/>
          <w:sz w:val="28"/>
        </w:rPr>
        <w:t>ю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межрегиональных бизнес-миссий</w:t>
      </w:r>
      <w:r>
        <w:rPr>
          <w:rFonts w:ascii="Times New Roman" w:hAnsi="Times New Roman"/>
          <w:sz w:val="28"/>
        </w:rPr>
        <w:t>;</w:t>
      </w:r>
    </w:p>
    <w:p w14:paraId="6A000000">
      <w:pPr>
        <w:tabs>
          <w:tab w:leader="none" w:pos="1276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м) услуги по </w:t>
      </w:r>
      <w:r>
        <w:rPr>
          <w:rFonts w:ascii="Times New Roman" w:hAnsi="Times New Roman"/>
          <w:sz w:val="28"/>
        </w:rPr>
        <w:t>организаци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участия </w:t>
      </w:r>
      <w:r>
        <w:rPr>
          <w:rFonts w:ascii="Times New Roman" w:hAnsi="Times New Roman"/>
          <w:sz w:val="28"/>
        </w:rPr>
        <w:t>на отраслевых российских и зарубежных выставочных площадках (оплата организационного взноса, аренда выставочной площади и выставочного оборудования, застройка стенда)</w:t>
      </w:r>
      <w:r>
        <w:rPr>
          <w:rFonts w:ascii="Times New Roman" w:hAnsi="Times New Roman"/>
          <w:sz w:val="28"/>
        </w:rPr>
        <w:t>;</w:t>
      </w:r>
    </w:p>
    <w:p w14:paraId="6B000000">
      <w:pPr>
        <w:tabs>
          <w:tab w:leader="none" w:pos="1276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н) </w:t>
      </w:r>
      <w:r>
        <w:rPr>
          <w:rFonts w:ascii="Times New Roman" w:hAnsi="Times New Roman"/>
          <w:sz w:val="28"/>
        </w:rPr>
        <w:t xml:space="preserve">прочие профильные услуги, оказываемые по направлениям, определенным приказом </w:t>
      </w:r>
      <w:r>
        <w:rPr>
          <w:rFonts w:ascii="Times New Roman" w:hAnsi="Times New Roman"/>
          <w:sz w:val="28"/>
        </w:rPr>
        <w:t>Министерства экономического развития Р</w:t>
      </w:r>
      <w:r>
        <w:rPr>
          <w:rFonts w:ascii="Times New Roman" w:hAnsi="Times New Roman"/>
          <w:sz w:val="28"/>
        </w:rPr>
        <w:t xml:space="preserve">оссийской </w:t>
      </w:r>
      <w:r>
        <w:rPr>
          <w:rFonts w:ascii="Times New Roman" w:hAnsi="Times New Roman"/>
          <w:sz w:val="28"/>
        </w:rPr>
        <w:t>Ф</w:t>
      </w:r>
      <w:r>
        <w:rPr>
          <w:rFonts w:ascii="Times New Roman" w:hAnsi="Times New Roman"/>
          <w:sz w:val="28"/>
        </w:rPr>
        <w:t>едерации</w:t>
      </w:r>
      <w:r>
        <w:rPr>
          <w:rFonts w:ascii="Times New Roman" w:hAnsi="Times New Roman"/>
          <w:sz w:val="28"/>
        </w:rPr>
        <w:t xml:space="preserve"> от 26</w:t>
      </w:r>
      <w:r>
        <w:rPr>
          <w:rFonts w:ascii="Times New Roman" w:hAnsi="Times New Roman"/>
          <w:sz w:val="28"/>
        </w:rPr>
        <w:t>.03.</w:t>
      </w:r>
      <w:r>
        <w:rPr>
          <w:rFonts w:ascii="Times New Roman" w:hAnsi="Times New Roman"/>
          <w:sz w:val="28"/>
        </w:rPr>
        <w:t xml:space="preserve">2021 </w:t>
      </w:r>
      <w:r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> 142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 xml:space="preserve">Об утверждении требований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предпринимательства, а также физических лиц, применяющих специальный налоговый режим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Налог на профессиональный доход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, в субъектах Российской Федерации, направленных на достижение целей, показателей и результатов региональных проектов, обеспечивающих достижение целей, показателей и результатов федеральных проектов, входящих в состав национального проекта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Малое и среднее предпринимательство и поддержка индивидуальной предпринимательской инициативы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, и требований к </w:t>
      </w:r>
      <w:r>
        <w:rPr>
          <w:rFonts w:ascii="Times New Roman" w:hAnsi="Times New Roman"/>
          <w:sz w:val="28"/>
        </w:rPr>
        <w:t>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/>
          <w:sz w:val="28"/>
        </w:rPr>
        <w:t>»;</w:t>
      </w:r>
    </w:p>
    <w:p w14:paraId="6C000000">
      <w:pPr>
        <w:tabs>
          <w:tab w:leader="none" w:pos="1276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о) </w:t>
      </w:r>
      <w:r>
        <w:rPr>
          <w:rFonts w:ascii="Times New Roman" w:hAnsi="Times New Roman"/>
          <w:sz w:val="28"/>
        </w:rPr>
        <w:t xml:space="preserve">организация программ </w:t>
      </w:r>
      <w:r>
        <w:rPr>
          <w:rFonts w:ascii="Times New Roman" w:hAnsi="Times New Roman"/>
          <w:sz w:val="28"/>
        </w:rPr>
        <w:t xml:space="preserve">стажировок сотрудников </w:t>
      </w:r>
      <w:r>
        <w:rPr>
          <w:rFonts w:ascii="Times New Roman" w:hAnsi="Times New Roman"/>
          <w:sz w:val="28"/>
        </w:rPr>
        <w:t>получателя субсидии</w:t>
      </w:r>
      <w:r>
        <w:rPr>
          <w:rFonts w:ascii="Times New Roman" w:hAnsi="Times New Roman"/>
          <w:sz w:val="28"/>
        </w:rPr>
        <w:t>.</w:t>
      </w:r>
    </w:p>
    <w:p w14:paraId="6D000000">
      <w:pPr>
        <w:pStyle w:val="Style_3"/>
        <w:numPr>
          <w:numId w:val="4"/>
        </w:numPr>
        <w:tabs>
          <w:tab w:leader="none" w:pos="708" w:val="clear"/>
          <w:tab w:leader="none" w:pos="993" w:val="left"/>
          <w:tab w:leader="none" w:pos="1134" w:val="left"/>
          <w:tab w:leader="none" w:pos="1276" w:val="left"/>
        </w:tabs>
        <w:spacing w:after="0" w:before="0" w:line="240" w:lineRule="auto"/>
        <w:ind w:firstLine="709" w:left="0" w:righ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>словием предоставления субсидии является соответствие получателя субсидии, следующим требованиям:</w:t>
      </w:r>
    </w:p>
    <w:p w14:paraId="6E000000">
      <w:pPr>
        <w:pStyle w:val="Style_3"/>
        <w:numPr>
          <w:numId w:val="5"/>
        </w:num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 xml:space="preserve">на первое число месяца, </w:t>
      </w:r>
      <w:r>
        <w:rPr>
          <w:rFonts w:ascii="Times New Roman" w:hAnsi="Times New Roman"/>
          <w:sz w:val="28"/>
        </w:rPr>
        <w:t>в котором планируется заключение соглашения о предоставлении субсидии (далее – Соглашение):</w:t>
      </w:r>
    </w:p>
    <w:p w14:paraId="6F000000">
      <w:pPr>
        <w:pStyle w:val="Style_3"/>
        <w:numPr>
          <w:numId w:val="6"/>
        </w:num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получатель субсидии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strike w:val="0"/>
          <w:color w:val="000000"/>
          <w:sz w:val="28"/>
        </w:rPr>
        <w:t>перечень</w:t>
      </w:r>
      <w:r>
        <w:rPr>
          <w:rFonts w:ascii="Times New Roman" w:hAnsi="Times New Roman"/>
          <w:b w:val="0"/>
          <w:sz w:val="28"/>
        </w:rPr>
        <w:t xml:space="preserve"> государств и территорий, используемых для промежуточного (офшорного) владения активами в Российской Федерации (далее –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14:paraId="70000000">
      <w:pPr>
        <w:pStyle w:val="Style_3"/>
        <w:numPr>
          <w:numId w:val="6"/>
        </w:num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получатель субсидии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14:paraId="71000000">
      <w:pPr>
        <w:pStyle w:val="Style_3"/>
        <w:numPr>
          <w:numId w:val="6"/>
        </w:num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получатель субсидии не находится в составляемых в рамках реализации полномочий, предусмотренных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strike w:val="0"/>
          <w:color w:val="000000"/>
          <w:sz w:val="28"/>
        </w:rPr>
        <w:t>главой VII</w:t>
      </w:r>
      <w:r>
        <w:rPr>
          <w:rFonts w:ascii="Times New Roman" w:hAnsi="Times New Roman"/>
          <w:b w:val="0"/>
          <w:sz w:val="28"/>
        </w:rPr>
        <w:t xml:space="preserve">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14:paraId="72000000">
      <w:pPr>
        <w:pStyle w:val="Style_3"/>
        <w:numPr>
          <w:numId w:val="6"/>
        </w:num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получатель субсидии не получает средства из краевого бюджета на основании иных нормативных правовых актов Камчатского края на цели, установленные настоящим Порядком;</w:t>
      </w:r>
    </w:p>
    <w:p w14:paraId="73000000">
      <w:pPr>
        <w:pStyle w:val="Style_3"/>
        <w:numPr>
          <w:numId w:val="6"/>
        </w:num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получатель субсидии не является иностранным агентом в соответствии с Федеральным </w:t>
      </w:r>
      <w:r>
        <w:rPr>
          <w:rFonts w:ascii="Times New Roman" w:hAnsi="Times New Roman"/>
          <w:b w:val="0"/>
          <w:strike w:val="0"/>
          <w:color w:val="000000"/>
          <w:sz w:val="28"/>
        </w:rPr>
        <w:t>законом от 14.07.2022 № 255-ФЗ</w:t>
      </w:r>
      <w:r>
        <w:rPr>
          <w:rFonts w:ascii="Times New Roman" w:hAnsi="Times New Roman"/>
          <w:b w:val="0"/>
          <w:sz w:val="28"/>
        </w:rPr>
        <w:t xml:space="preserve"> «О контроле за деятельностью лиц, находящихся под иностранным влиянием»;</w:t>
      </w:r>
    </w:p>
    <w:p w14:paraId="74000000">
      <w:pPr>
        <w:pStyle w:val="Style_3"/>
        <w:numPr>
          <w:numId w:val="6"/>
        </w:num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у получателя субсидии отсутствуют просроченная задолженность по возврату в краевой бюджет иных субсидий, бюджетных инвестиций, предоставленных в том числе в соответствии с иными нормативными правовыми актами Камчатского края, и иная просроченная (неурегулируемая) задолженность по денежным обязательствам перед Камчатским краем;</w:t>
      </w:r>
    </w:p>
    <w:p w14:paraId="75000000">
      <w:pPr>
        <w:pStyle w:val="Style_3"/>
        <w:numPr>
          <w:numId w:val="6"/>
        </w:num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получатель субсидии не находится в процессе реорганизации (за исключением реорганизации в форме присоединения к юридическому лицу, являющемуся получателем субсидии (участником отбора), другого юридического лица), ликвидации, в отношении 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Федерации;</w:t>
      </w:r>
    </w:p>
    <w:p w14:paraId="76000000">
      <w:pPr>
        <w:pStyle w:val="Style_3"/>
        <w:numPr>
          <w:numId w:val="6"/>
        </w:num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в реестре дисквалифицированных лиц отсутствуют сведения о дисквалифицированных руководителе или главном бухгалтере получателя субсидии;</w:t>
      </w:r>
    </w:p>
    <w:p w14:paraId="77000000">
      <w:pPr>
        <w:pStyle w:val="Style_3"/>
        <w:numPr>
          <w:numId w:val="5"/>
        </w:num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>по состоянию на любую дату в течение периода, равного 30 календарным дням, предшествующего дате подачи документов для получения субсидии</w:t>
      </w:r>
      <w:r>
        <w:rPr>
          <w:rFonts w:ascii="Times New Roman" w:hAnsi="Times New Roman"/>
          <w:b w:val="0"/>
          <w:color w:val="000000"/>
          <w:sz w:val="28"/>
        </w:rPr>
        <w:t xml:space="preserve">, у получателя субсидии на едином налоговом счете отсутствует или не превышает размер, определенный </w:t>
      </w:r>
      <w:r>
        <w:rPr>
          <w:rFonts w:ascii="Times New Roman" w:hAnsi="Times New Roman"/>
          <w:b w:val="0"/>
          <w:strike w:val="0"/>
          <w:color w:val="000000"/>
          <w:sz w:val="28"/>
        </w:rPr>
        <w:t>пунктом 3 статьи 47</w:t>
      </w:r>
      <w:r>
        <w:rPr>
          <w:rFonts w:ascii="Times New Roman" w:hAnsi="Times New Roman"/>
          <w:b w:val="0"/>
          <w:color w:val="000000"/>
          <w:sz w:val="28"/>
        </w:rPr>
        <w:t xml:space="preserve">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Федерации.</w:t>
      </w:r>
    </w:p>
    <w:p w14:paraId="78000000">
      <w:pPr>
        <w:numPr>
          <w:ilvl w:val="0"/>
          <w:numId w:val="4"/>
        </w:numPr>
        <w:tabs>
          <w:tab w:leader="none" w:pos="1140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Получатель субсидии направляет в Министерство в срок до 1 марта текущего финансового года </w:t>
      </w:r>
      <w:r>
        <w:rPr>
          <w:rFonts w:ascii="Times New Roman" w:hAnsi="Times New Roman"/>
          <w:sz w:val="28"/>
        </w:rPr>
        <w:t>документы,</w:t>
      </w:r>
      <w:r>
        <w:rPr>
          <w:rFonts w:ascii="Times New Roman" w:hAnsi="Times New Roman"/>
          <w:sz w:val="28"/>
        </w:rPr>
        <w:t xml:space="preserve"> перечень которых определен в части 9 настоящего Порядка, посредством почтового отправления или на адрес электронной почты, или иным способом, обеспечивающим подтверждение получения указанного уведомления получателем субсидии.</w:t>
      </w:r>
    </w:p>
    <w:p w14:paraId="79000000">
      <w:pPr>
        <w:numPr>
          <w:ilvl w:val="0"/>
          <w:numId w:val="4"/>
        </w:numPr>
        <w:tabs>
          <w:tab w:leader="none" w:pos="1080" w:val="left"/>
          <w:tab w:leader="none" w:pos="1276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предоставления субсидии получатель субсидии представляет в Министерство</w:t>
      </w:r>
      <w:r>
        <w:rPr>
          <w:rFonts w:ascii="Times New Roman" w:hAnsi="Times New Roman"/>
          <w:sz w:val="28"/>
        </w:rPr>
        <w:t xml:space="preserve"> следующие документы:</w:t>
      </w:r>
    </w:p>
    <w:p w14:paraId="7A000000">
      <w:pPr>
        <w:tabs>
          <w:tab w:leader="none" w:pos="1276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заявление на предоставление субсидии по форме, утвержденной Министерством;</w:t>
      </w:r>
    </w:p>
    <w:p w14:paraId="7B000000">
      <w:pPr>
        <w:tabs>
          <w:tab w:leader="none" w:pos="1276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справку, подписанную руководителем получателя субсидии, о соответствии получателя субсидии условиям предоставления субсидии, установленным частью 7 настоящего Порядка; </w:t>
      </w:r>
    </w:p>
    <w:p w14:paraId="7C000000">
      <w:pPr>
        <w:tabs>
          <w:tab w:leader="none" w:pos="1276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справку территориального органа Федеральной налоговой службы, подписанную ее руководителем (уполномоченным лицом), об исполнении получателем субсидии по состоянию на любую дату в течение периода, равного 30 календарным дням, предшествующего дате подачи документов для получения субсидии,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7D000000">
      <w:pPr>
        <w:tabs>
          <w:tab w:leader="none" w:pos="1276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справку, подтверждающую отсутствие у получателя субсидии на первое число месяца, предшествующего месяцу, в котором планируется заключение соглашения о предоставлении Субсидии, просроченной задолженности по возврату в краевой бюджет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Камчатским краем по форме, утвержденной Министерством</w:t>
      </w:r>
      <w:r>
        <w:rPr>
          <w:rFonts w:ascii="Times New Roman" w:hAnsi="Times New Roman"/>
          <w:sz w:val="28"/>
        </w:rPr>
        <w:t>;</w:t>
      </w:r>
    </w:p>
    <w:p w14:paraId="7E000000">
      <w:pPr>
        <w:tabs>
          <w:tab w:leader="none" w:pos="1080" w:val="left"/>
          <w:tab w:leader="none" w:pos="1140" w:val="left"/>
          <w:tab w:leader="none" w:pos="1276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заверенную копию устава;</w:t>
      </w:r>
    </w:p>
    <w:p w14:paraId="7F000000">
      <w:pPr>
        <w:tabs>
          <w:tab w:leader="none" w:pos="1276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6) </w:t>
      </w:r>
      <w:r>
        <w:rPr>
          <w:rFonts w:ascii="Times New Roman" w:hAnsi="Times New Roman"/>
          <w:sz w:val="28"/>
        </w:rPr>
        <w:t>план-график перечисления субсидии по форме, утвержденной Министерством</w:t>
      </w:r>
      <w:r>
        <w:rPr>
          <w:rFonts w:ascii="Times New Roman" w:hAnsi="Times New Roman"/>
          <w:sz w:val="28"/>
        </w:rPr>
        <w:t>.</w:t>
      </w:r>
    </w:p>
    <w:p w14:paraId="80000000">
      <w:pPr>
        <w:numPr>
          <w:ilvl w:val="0"/>
          <w:numId w:val="4"/>
        </w:numPr>
        <w:tabs>
          <w:tab w:leader="none" w:pos="1276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Документы, указанные в части 9 настоящего Порядка, подлежат обязательной регистрации в день их поступления в Министерство.</w:t>
      </w:r>
    </w:p>
    <w:p w14:paraId="81000000">
      <w:pPr>
        <w:pStyle w:val="Style_3"/>
        <w:numPr>
          <w:numId w:val="4"/>
        </w:numPr>
        <w:tabs>
          <w:tab w:leader="none" w:pos="708" w:val="clear"/>
          <w:tab w:leader="none" w:pos="993" w:val="left"/>
          <w:tab w:leader="none" w:pos="1134" w:val="left"/>
          <w:tab w:leader="none" w:pos="1276" w:val="left"/>
        </w:tabs>
        <w:spacing w:after="0" w:before="0" w:line="240" w:lineRule="auto"/>
        <w:ind w:firstLine="709" w:left="0" w:righ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Министерство проводит проверку на соответствие требованиям, указанным в части 7 настоящего Порядка, в течение 2 рабочих дней со дня получения документов, указанных в </w:t>
      </w:r>
      <w:r>
        <w:rPr>
          <w:rFonts w:ascii="Times New Roman" w:hAnsi="Times New Roman"/>
          <w:b w:val="0"/>
          <w:strike w:val="0"/>
          <w:color w:val="000000"/>
          <w:sz w:val="28"/>
        </w:rPr>
        <w:t xml:space="preserve">части </w:t>
      </w:r>
      <w:r>
        <w:rPr>
          <w:rFonts w:ascii="Times New Roman" w:hAnsi="Times New Roman"/>
          <w:b w:val="0"/>
          <w:color w:val="000000"/>
          <w:sz w:val="28"/>
        </w:rPr>
        <w:t>9 настоящего Порядка, рассматривает их, получает в отношении получателя субсидии информацию необходимую для осуществления проверки полноты и достоверности содержащихся в документах сведений получателя субсидии</w:t>
      </w:r>
      <w:r>
        <w:rPr>
          <w:rFonts w:ascii="Times New Roman" w:hAnsi="Times New Roman"/>
          <w:b w:val="0"/>
          <w:color w:val="000000"/>
          <w:sz w:val="28"/>
        </w:rPr>
        <w:t>:</w:t>
      </w:r>
    </w:p>
    <w:p w14:paraId="82000000">
      <w:pPr>
        <w:pStyle w:val="Style_3"/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1) в соответствии с по</w:t>
      </w:r>
      <w:r>
        <w:rPr>
          <w:rFonts w:ascii="Times New Roman" w:hAnsi="Times New Roman"/>
          <w:b w:val="0"/>
          <w:strike w:val="0"/>
          <w:color w:val="000000"/>
          <w:sz w:val="28"/>
        </w:rPr>
        <w:t xml:space="preserve">дпунктами «а» и «ж» пункта </w:t>
      </w:r>
      <w:r>
        <w:rPr>
          <w:rFonts w:ascii="Times New Roman" w:hAnsi="Times New Roman"/>
          <w:b w:val="0"/>
          <w:color w:val="000000"/>
          <w:sz w:val="28"/>
        </w:rPr>
        <w:t>1</w:t>
      </w:r>
      <w:r>
        <w:rPr>
          <w:rFonts w:ascii="Times New Roman" w:hAnsi="Times New Roman"/>
          <w:b w:val="0"/>
          <w:strike w:val="0"/>
          <w:color w:val="000000"/>
          <w:sz w:val="28"/>
        </w:rPr>
        <w:t xml:space="preserve"> части 7</w:t>
      </w:r>
      <w:r>
        <w:rPr>
          <w:rFonts w:ascii="Times New Roman" w:hAnsi="Times New Roman"/>
          <w:b w:val="0"/>
          <w:color w:val="000000"/>
          <w:sz w:val="28"/>
        </w:rPr>
        <w:t xml:space="preserve"> настоящего Порядка на основании сведений из Единого государственного реестра юридических лиц на официальном сайте Федеральной налоговой службы путем использования сервиса «Предоставление сведений из ЕГРЮЛ/ЕГРИП в электронном виде»;</w:t>
      </w:r>
    </w:p>
    <w:p w14:paraId="83000000">
      <w:pPr>
        <w:pStyle w:val="Style_3"/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2) в соответствии с подпунктом «б» </w:t>
      </w:r>
      <w:r>
        <w:rPr>
          <w:rFonts w:ascii="Times New Roman" w:hAnsi="Times New Roman"/>
          <w:b w:val="0"/>
          <w:strike w:val="0"/>
          <w:color w:val="000000"/>
          <w:sz w:val="28"/>
        </w:rPr>
        <w:t>пункта 1 части 7</w:t>
      </w:r>
      <w:r>
        <w:rPr>
          <w:rFonts w:ascii="Times New Roman" w:hAnsi="Times New Roman"/>
          <w:b w:val="0"/>
          <w:color w:val="000000"/>
          <w:sz w:val="28"/>
        </w:rPr>
        <w:t xml:space="preserve"> настоящего Порядка на официальном сайте Росфинмониторинга на странице «Перечень организаций и физических лиц, в отношении которых имеются сведения об их причастности к экстремистской деятельности или терроризму»;</w:t>
      </w:r>
    </w:p>
    <w:p w14:paraId="84000000">
      <w:pPr>
        <w:pStyle w:val="Style_3"/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3) в соответствии с подпунктом «в» </w:t>
      </w:r>
      <w:r>
        <w:rPr>
          <w:rFonts w:ascii="Times New Roman" w:hAnsi="Times New Roman"/>
          <w:b w:val="0"/>
          <w:strike w:val="0"/>
          <w:color w:val="000000"/>
          <w:sz w:val="28"/>
        </w:rPr>
        <w:t>пункта 1 части 7</w:t>
      </w:r>
      <w:r>
        <w:rPr>
          <w:rFonts w:ascii="Times New Roman" w:hAnsi="Times New Roman"/>
          <w:b w:val="0"/>
          <w:color w:val="000000"/>
          <w:sz w:val="28"/>
        </w:rPr>
        <w:t xml:space="preserve"> настоящего Порядка на официальном сайте Росфинмониторинга на странице «Перечни организаций и физических лиц, связанных с терроризмом или с распространением оружия массового уничтожения, составляемые в соответствии с решениями Совета Безопасности ООН»;</w:t>
      </w:r>
    </w:p>
    <w:p w14:paraId="85000000">
      <w:pPr>
        <w:pStyle w:val="Style_3"/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4) в соответствии с подпунктом «г» </w:t>
      </w:r>
      <w:r>
        <w:rPr>
          <w:rFonts w:ascii="Times New Roman" w:hAnsi="Times New Roman"/>
          <w:b w:val="0"/>
          <w:strike w:val="0"/>
          <w:color w:val="000000"/>
          <w:sz w:val="28"/>
        </w:rPr>
        <w:t>пункта 1 части 7</w:t>
      </w:r>
      <w:r>
        <w:rPr>
          <w:rFonts w:ascii="Times New Roman" w:hAnsi="Times New Roman"/>
          <w:b w:val="0"/>
          <w:color w:val="000000"/>
          <w:sz w:val="28"/>
        </w:rPr>
        <w:t xml:space="preserve"> настоящего Порядка на основании иных нормативных правовых актов Камчатского края и данных, полученных от главных распорядителей бюджетных средств, предоставляющих из краевого бюджета субсидий получателю субсидий;</w:t>
      </w:r>
    </w:p>
    <w:p w14:paraId="86000000">
      <w:pPr>
        <w:pStyle w:val="Style_3"/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5) в соответствии с подпунктом «д» </w:t>
      </w:r>
      <w:r>
        <w:rPr>
          <w:rFonts w:ascii="Times New Roman" w:hAnsi="Times New Roman"/>
          <w:b w:val="0"/>
          <w:strike w:val="0"/>
          <w:color w:val="000000"/>
          <w:sz w:val="28"/>
        </w:rPr>
        <w:t>пункта 1 части 7</w:t>
      </w:r>
      <w:r>
        <w:rPr>
          <w:rFonts w:ascii="Times New Roman" w:hAnsi="Times New Roman"/>
          <w:b w:val="0"/>
          <w:color w:val="000000"/>
          <w:sz w:val="28"/>
        </w:rPr>
        <w:t xml:space="preserve"> настоящего Порядка на официальном сайте Министерства юстиции Российской Федерации на странице «Реестр иностранных агентов»;</w:t>
      </w:r>
    </w:p>
    <w:p w14:paraId="87000000">
      <w:pPr>
        <w:pStyle w:val="Style_3"/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6) в соответствии с подпунктом «а» пункта 2 части 7 настоящего Порядка на основании данных Федеральной налоговой службы путем использования государственной информационной системы «Региональная система межведомственного электронного взаимодействия»;</w:t>
      </w:r>
    </w:p>
    <w:p w14:paraId="88000000">
      <w:pPr>
        <w:pStyle w:val="Style_3"/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7) в соответствии с подпунктом «е» </w:t>
      </w:r>
      <w:r>
        <w:rPr>
          <w:rFonts w:ascii="Times New Roman" w:hAnsi="Times New Roman"/>
          <w:b w:val="0"/>
          <w:strike w:val="0"/>
          <w:color w:val="000000"/>
          <w:sz w:val="28"/>
        </w:rPr>
        <w:t>пункта 1 части 7</w:t>
      </w:r>
      <w:r>
        <w:rPr>
          <w:rFonts w:ascii="Times New Roman" w:hAnsi="Times New Roman"/>
          <w:b w:val="0"/>
          <w:color w:val="000000"/>
          <w:sz w:val="28"/>
        </w:rPr>
        <w:t xml:space="preserve"> настоящего Порядка на основании данных, полученных от главных распорядителей бюджетных средств, предоставляющих из краевого бюджета субсидий получателю субсидий;</w:t>
      </w:r>
    </w:p>
    <w:p w14:paraId="89000000">
      <w:pPr>
        <w:pStyle w:val="Style_3"/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8) в соответствии с подпунктом «з» </w:t>
      </w:r>
      <w:r>
        <w:rPr>
          <w:rFonts w:ascii="Times New Roman" w:hAnsi="Times New Roman"/>
          <w:b w:val="0"/>
          <w:strike w:val="0"/>
          <w:color w:val="000000"/>
          <w:sz w:val="28"/>
        </w:rPr>
        <w:t>пункта 1 части 7</w:t>
      </w:r>
      <w:r>
        <w:rPr>
          <w:rFonts w:ascii="Times New Roman" w:hAnsi="Times New Roman"/>
          <w:b w:val="0"/>
          <w:color w:val="000000"/>
          <w:sz w:val="28"/>
        </w:rPr>
        <w:t xml:space="preserve"> настоящего Порядка на официальном сайте Федеральной налоговой службы на странице «Поиск сведений в реестре дисквалифицированных лиц».</w:t>
      </w:r>
    </w:p>
    <w:p w14:paraId="8A000000">
      <w:pPr>
        <w:numPr>
          <w:numId w:val="4"/>
        </w:num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sz w:val="28"/>
        </w:rPr>
        <w:t xml:space="preserve">Министерство в течение 10 рабочих дней после дня регистрации документов получателя субсидии, определенных частью 9 настоящего Порядка, </w:t>
      </w:r>
      <w:r>
        <w:rPr>
          <w:rFonts w:ascii="Times New Roman" w:hAnsi="Times New Roman"/>
          <w:sz w:val="28"/>
        </w:rPr>
        <w:t>принимает решение о согласовании предоставления субсидии получателю субсидии в форме приказа Министерства либо об отказе в предоставлении субсидии.</w:t>
      </w:r>
    </w:p>
    <w:p w14:paraId="8B000000">
      <w:pPr>
        <w:numPr>
          <w:ilvl w:val="0"/>
          <w:numId w:val="4"/>
        </w:numPr>
        <w:tabs>
          <w:tab w:leader="none" w:pos="1245" w:val="left"/>
        </w:tabs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Основаниями для отказа получателю субсидии в предоставлении субсидии являются:</w:t>
      </w:r>
    </w:p>
    <w:p w14:paraId="8C000000">
      <w:pPr>
        <w:pStyle w:val="Style_3"/>
        <w:numPr>
          <w:numId w:val="7"/>
        </w:numPr>
        <w:tabs>
          <w:tab w:leader="none" w:pos="708" w:val="clear"/>
          <w:tab w:leader="none" w:pos="851" w:val="left"/>
          <w:tab w:leader="none" w:pos="993" w:val="left"/>
          <w:tab w:leader="none" w:pos="1134" w:val="left"/>
          <w:tab w:leader="none" w:pos="1276" w:val="left"/>
        </w:tabs>
        <w:spacing w:after="0" w:before="0" w:line="240" w:lineRule="auto"/>
        <w:ind w:firstLine="709" w:left="0" w:righ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несоответствие представленных получателем субсидии документов требованиям, определенным частью 9</w:t>
      </w:r>
      <w:r>
        <w:rPr>
          <w:rFonts w:ascii="Times New Roman" w:hAnsi="Times New Roman"/>
          <w:sz w:val="28"/>
        </w:rPr>
        <w:t xml:space="preserve"> настоящего Порядка, или непредставление (представление не в полном объеме) указанных документов;</w:t>
      </w:r>
    </w:p>
    <w:p w14:paraId="8D000000">
      <w:pPr>
        <w:pStyle w:val="Style_3"/>
        <w:numPr>
          <w:numId w:val="7"/>
        </w:numPr>
        <w:tabs>
          <w:tab w:leader="none" w:pos="708" w:val="clear"/>
          <w:tab w:leader="none" w:pos="851" w:val="left"/>
          <w:tab w:leader="none" w:pos="993" w:val="left"/>
          <w:tab w:leader="none" w:pos="1134" w:val="left"/>
          <w:tab w:leader="none" w:pos="1276" w:val="left"/>
        </w:tabs>
        <w:spacing w:after="0" w:before="0" w:line="240" w:lineRule="auto"/>
        <w:ind w:firstLine="709" w:left="0" w:righ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установление факта недостоверности</w:t>
      </w:r>
      <w:r>
        <w:rPr>
          <w:rFonts w:ascii="Times New Roman" w:hAnsi="Times New Roman"/>
          <w:sz w:val="28"/>
        </w:rPr>
        <w:t xml:space="preserve"> представленной получателем субсидии информации, в том числе информации о месте нахождения и адресе юридического лица;</w:t>
      </w:r>
    </w:p>
    <w:p w14:paraId="8E000000">
      <w:pPr>
        <w:pStyle w:val="Style_3"/>
        <w:numPr>
          <w:numId w:val="7"/>
        </w:numPr>
        <w:tabs>
          <w:tab w:leader="none" w:pos="708" w:val="clear"/>
          <w:tab w:leader="none" w:pos="851" w:val="left"/>
          <w:tab w:leader="none" w:pos="993" w:val="left"/>
          <w:tab w:leader="none" w:pos="1134" w:val="left"/>
          <w:tab w:leader="none" w:pos="1276" w:val="left"/>
        </w:tabs>
        <w:spacing w:after="0" w:before="0" w:line="240" w:lineRule="auto"/>
        <w:ind w:firstLine="709" w:left="0" w:righ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несоответствие получателя субсидии условиям предоставления субсидии, установленным частью</w:t>
      </w:r>
      <w:r>
        <w:rPr>
          <w:rFonts w:ascii="Times New Roman" w:hAnsi="Times New Roman"/>
          <w:sz w:val="28"/>
        </w:rPr>
        <w:t xml:space="preserve"> 7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настоящего Порядка.</w:t>
      </w:r>
    </w:p>
    <w:p w14:paraId="8F000000">
      <w:pPr>
        <w:numPr>
          <w:ilvl w:val="0"/>
          <w:numId w:val="4"/>
        </w:numPr>
        <w:tabs>
          <w:tab w:leader="none" w:pos="1276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 принятия решения об отказе в предоставлении субсидии Министерство в течение 3 рабочих дней после дня принятия такого решения направляет получателю субсидии уведомление о принятии решения об отказе в предоставлении субсидии с обоснованием причин отказа посредством почтового отправления или на адрес электронной почты, или иным способом, обеспечивающим подтверждение получения указанного уведомления получателем субсидии.</w:t>
      </w:r>
    </w:p>
    <w:p w14:paraId="90000000">
      <w:pPr>
        <w:numPr>
          <w:ilvl w:val="0"/>
          <w:numId w:val="4"/>
        </w:numPr>
        <w:tabs>
          <w:tab w:leader="none" w:pos="1276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Субсидия предоставляется на основании Соглашения, заключаемого Министерством с получателем субсидии на один финансовый год.</w:t>
      </w:r>
    </w:p>
    <w:p w14:paraId="91000000">
      <w:pPr>
        <w:tabs>
          <w:tab w:leader="none" w:pos="993" w:val="left"/>
          <w:tab w:leader="none" w:pos="1245" w:val="left"/>
          <w:tab w:leader="none" w:pos="1276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Соглашение, дополнительное соглашение к Соглашению о внесении в него изменений, в том числе дополнительное соглашение о расторжении Соглашения (при необходимости), заключаются между Министерством и получателем субсидии в соответствии с типовой формой, утвержденной Министерством финансов Российской Федерации, с использованием государственной интеграционной информационной системы управления общественными финансами «Электронный бюджет» (далее – ГИИС «Электронный бюджет»), в порядке и сроки, установленные частями</w:t>
      </w:r>
      <w:r>
        <w:rPr>
          <w:rFonts w:ascii="Times New Roman" w:hAnsi="Times New Roman"/>
          <w:sz w:val="28"/>
        </w:rPr>
        <w:t xml:space="preserve"> 18 и 19 </w:t>
      </w:r>
      <w:r>
        <w:rPr>
          <w:rFonts w:ascii="Times New Roman" w:hAnsi="Times New Roman"/>
          <w:sz w:val="28"/>
        </w:rPr>
        <w:t>настоящего Порядка.</w:t>
      </w:r>
    </w:p>
    <w:p w14:paraId="92000000">
      <w:pPr>
        <w:pStyle w:val="Style_3"/>
        <w:tabs>
          <w:tab w:leader="none" w:pos="708" w:val="clear"/>
          <w:tab w:leader="none" w:pos="993" w:val="left"/>
          <w:tab w:leader="none" w:pos="1134" w:val="left"/>
          <w:tab w:leader="none" w:pos="1276" w:val="left"/>
        </w:tabs>
        <w:spacing w:after="0" w:before="0" w:line="240" w:lineRule="auto"/>
        <w:ind w:firstLine="709" w:left="0" w:righ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>При реорганизации получателя субсидии в форме слияния, присоединения или преобразования в Соглашение вносятся изменения путем заключения дополнительного соглашения к Соглашению в части перемены получателя субсидии с указанием в Соглашении юридического лица, являющегося правопреемником.</w:t>
      </w:r>
    </w:p>
    <w:p w14:paraId="93000000">
      <w:pPr>
        <w:pStyle w:val="Style_3"/>
        <w:tabs>
          <w:tab w:leader="none" w:pos="708" w:val="clear"/>
          <w:tab w:leader="none" w:pos="993" w:val="left"/>
          <w:tab w:leader="none" w:pos="1134" w:val="left"/>
          <w:tab w:leader="none" w:pos="1276" w:val="left"/>
        </w:tabs>
        <w:spacing w:after="0" w:before="0" w:line="240" w:lineRule="auto"/>
        <w:ind w:firstLine="709" w:left="0" w:righ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>При реорганизации получателя субсидии в форме разделения, выделения, а также при ликвидации получателя субсидии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обязательствах, источником финансового обеспечения которых является субсидия, и возврате неиспользованного остатка субсидии в краевой бюджет.</w:t>
      </w:r>
    </w:p>
    <w:p w14:paraId="94000000">
      <w:pPr>
        <w:numPr>
          <w:ilvl w:val="0"/>
          <w:numId w:val="4"/>
        </w:numPr>
        <w:tabs>
          <w:tab w:leader="none" w:pos="1020" w:val="left"/>
          <w:tab w:leader="none" w:pos="1276" w:val="left"/>
          <w:tab w:leader="none" w:pos="1530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Обязательными условиями предоставления субсидии, включаемыми в Соглашение и в договоры, заключенные в целях исполнения обязательств по Соглашению, являются:</w:t>
      </w:r>
    </w:p>
    <w:p w14:paraId="95000000">
      <w:pPr>
        <w:pStyle w:val="Style_3"/>
        <w:tabs>
          <w:tab w:leader="none" w:pos="708" w:val="clear"/>
          <w:tab w:leader="none" w:pos="993" w:val="left"/>
          <w:tab w:leader="none" w:pos="1134" w:val="left"/>
        </w:tabs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согласие получателя субсидии, лиц, получающих средства на основании договоров, заключенных с получателями субсидии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их проверки Министерством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финансового контроля в соответствии со статьями 268</w:t>
      </w:r>
      <w:r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 xml:space="preserve"> и 269</w:t>
      </w:r>
      <w:r>
        <w:rPr>
          <w:rFonts w:ascii="Times New Roman" w:hAnsi="Times New Roman"/>
          <w:sz w:val="28"/>
          <w:vertAlign w:val="superscript"/>
        </w:rPr>
        <w:t>2</w:t>
      </w:r>
      <w:r>
        <w:rPr>
          <w:rFonts w:ascii="Times New Roman" w:hAnsi="Times New Roman"/>
          <w:sz w:val="28"/>
        </w:rPr>
        <w:t xml:space="preserve"> Бюджетного кодекса Российской Федерации и на включение таких положений в Соглашение;</w:t>
      </w:r>
    </w:p>
    <w:p w14:paraId="96000000">
      <w:pPr>
        <w:pStyle w:val="Style_3"/>
        <w:tabs>
          <w:tab w:leader="none" w:pos="708" w:val="clear"/>
          <w:tab w:leader="none" w:pos="993" w:val="left"/>
          <w:tab w:leader="none" w:pos="1134" w:val="left"/>
          <w:tab w:leader="none" w:pos="1276" w:val="left"/>
        </w:tabs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запрет приобретения получателем субсидии, а также иными юридическими лицами, получающими средства на основании договоров, заключенных с получателем субсидии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 операций.</w:t>
      </w:r>
    </w:p>
    <w:p w14:paraId="97000000">
      <w:pPr>
        <w:numPr>
          <w:ilvl w:val="0"/>
          <w:numId w:val="4"/>
        </w:numPr>
        <w:tabs>
          <w:tab w:leader="none" w:pos="993" w:val="left"/>
          <w:tab w:leader="none" w:pos="1134" w:val="left"/>
          <w:tab w:leader="none" w:pos="1276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Обязательным условием предоставления субсидии, включаемым в Соглашение, является условие о согласовании новых условий Соглашения или о расторжении Соглашения при недостижении согласия по новым условиям в случае уменьшения Министерству ранее доведенных лимитов бюджетных обязательств, приводящего к невозможности предоставления субсидии в размере, определенном в Соглашении.</w:t>
      </w:r>
    </w:p>
    <w:p w14:paraId="98000000">
      <w:pPr>
        <w:numPr>
          <w:ilvl w:val="0"/>
          <w:numId w:val="4"/>
        </w:numPr>
        <w:tabs>
          <w:tab w:leader="none" w:pos="993" w:val="left"/>
          <w:tab w:leader="none" w:pos="1245" w:val="left"/>
          <w:tab w:leader="none" w:pos="1276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Заключение Соглашения осуществляется в следующем порядке и сроки:</w:t>
      </w:r>
    </w:p>
    <w:p w14:paraId="9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Министерство в течение 5 рабочих дней со дня принятия решения о согласовании предоставления субсидии получателю субсидии направляет получателю субсидии соответствующее уведомление о формировании Соглашения в ГИИС «Электронный бюджет»;</w:t>
      </w:r>
    </w:p>
    <w:p w14:paraId="9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получатель субсидии в течение 10 рабочих дней со дня получения уведомления, предусмотренного пунктом 1 настоящей части, организует рассмотрение и согласование условий Соглашения, а после подписывает усиленной квалифицированной электронной подписью Соглашение в ГИИС «Электронный бюджет».</w:t>
      </w:r>
    </w:p>
    <w:p w14:paraId="9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Если получатель субсидии в течение 10 рабочих дней со дня получения им уведомления, предусмотренного пунктом 1 настоящей части, не подписывает усиленной квалифицированной электронной подписью Соглашение в ГИИС «Электронный бюджет», это расценивается как односторонний отказ получателя субсидии от получения субсидии;</w:t>
      </w:r>
    </w:p>
    <w:p w14:paraId="9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Министерство в течение 10 рабочих дней со дня подписания получателем субсидии Соглашения усиленной квалифицированной электронной подписью подписывает его со своей стороны усиленной квалифицированной электронной подписью в ГИИС «Электронный бюджет»;</w:t>
      </w:r>
    </w:p>
    <w:p w14:paraId="9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Соглашение считается заключенным после подписания его Министерством и получателем субсидии в ГИИС «Электронный бюджет», при этом день заключения Соглашения считается днем принятия решения о предоставлении субсидии;</w:t>
      </w:r>
    </w:p>
    <w:p w14:paraId="9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в течение 3 рабочих дней после заключения Соглашения Министерство готовит приказ на предоставление (перечисление) субсидии, зарегистрированный в установленном порядке и необходимый для дальнейшего перечисления денежных средств получателю субсидии.</w:t>
      </w:r>
    </w:p>
    <w:p w14:paraId="9F000000">
      <w:pPr>
        <w:numPr>
          <w:ilvl w:val="0"/>
          <w:numId w:val="4"/>
        </w:numPr>
        <w:tabs>
          <w:tab w:leader="none" w:pos="1245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случаях, предусмотренных законодательством Российской Федерации и (или) законодательством Камчатского края, в Соглашение могут быть внесены изменения. Внесение изменений в Соглашение оформляется в виде дополнительного соглашения посредством ГИИС «Электронный бюджет».</w:t>
      </w:r>
    </w:p>
    <w:p w14:paraId="A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Министерство в течение 7 рабочих дней со дня принятия решения о заключении дополнительного соглашения уведомляет получателя субсидии, с которым заключено Соглашение о данном намерении, любым доступным способом, обеспечивающим своевременное получение уведомления получателем субсидии.</w:t>
      </w:r>
    </w:p>
    <w:p w14:paraId="A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Получатель субсидии в течение 10 рабочих дней со дня получения уведомления, указанного в абзаце втором настоящей части, но не позднее 20 декабря соответствующего финансового года, организует рассмотрение и согласование условий дополнительного соглашения, а после его подписание </w:t>
      </w:r>
      <w:r>
        <w:rPr>
          <w:rFonts w:ascii="Times New Roman" w:hAnsi="Times New Roman"/>
          <w:color w:val="151515"/>
          <w:sz w:val="28"/>
        </w:rPr>
        <w:t>посредством ГИИС «Электронный бюджет».</w:t>
      </w:r>
    </w:p>
    <w:p w14:paraId="A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151515"/>
          <w:sz w:val="28"/>
        </w:rPr>
        <w:t xml:space="preserve">Министерство в течение 5 рабочих дней со дня </w:t>
      </w:r>
      <w:r>
        <w:rPr>
          <w:rFonts w:ascii="Times New Roman" w:hAnsi="Times New Roman"/>
          <w:color w:val="151515"/>
          <w:sz w:val="28"/>
        </w:rPr>
        <w:t>получения</w:t>
      </w:r>
      <w:r>
        <w:rPr>
          <w:rFonts w:ascii="Times New Roman" w:hAnsi="Times New Roman"/>
          <w:color w:val="151515"/>
          <w:sz w:val="28"/>
        </w:rPr>
        <w:t xml:space="preserve"> подписанного полу</w:t>
      </w:r>
      <w:r>
        <w:rPr>
          <w:rFonts w:ascii="Times New Roman" w:hAnsi="Times New Roman"/>
          <w:sz w:val="28"/>
        </w:rPr>
        <w:t>чателем субсидии дополнительного соглашения подписывает его посредством ГИИС «Электронный бюджет».</w:t>
      </w:r>
    </w:p>
    <w:p w14:paraId="A3000000">
      <w:pPr>
        <w:numPr>
          <w:ilvl w:val="0"/>
          <w:numId w:val="4"/>
        </w:numPr>
        <w:tabs>
          <w:tab w:leader="none" w:pos="1276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Размер субсидий для достижения результатов предоставления субсидии в рамках регионального проекта Программы, указанного в части 1 настоящего Порядка, определен Законом Камчатского края от 23.11.2023 № 300 «О краевом бюджете на 2024 год и на плановый период 2025 и 2026 годов» и составляет в 2024 году 5 011 313,14 рублей, в том числе: из средств федерального бюджета –</w:t>
      </w:r>
      <w:r>
        <w:rPr>
          <w:rFonts w:ascii="Times New Roman" w:hAnsi="Times New Roman"/>
          <w:sz w:val="23"/>
          <w:highlight w:val="white"/>
        </w:rPr>
        <w:t xml:space="preserve"> </w:t>
      </w:r>
      <w:r>
        <w:rPr>
          <w:rFonts w:ascii="Times New Roman" w:hAnsi="Times New Roman"/>
          <w:sz w:val="28"/>
          <w:highlight w:val="white"/>
        </w:rPr>
        <w:t xml:space="preserve">4 961 200 рублей, из средств краевого бюджета – </w:t>
      </w:r>
      <w:r>
        <w:br/>
      </w:r>
      <w:r>
        <w:rPr>
          <w:rFonts w:ascii="Times New Roman" w:hAnsi="Times New Roman"/>
          <w:sz w:val="28"/>
          <w:highlight w:val="white"/>
        </w:rPr>
        <w:t>50 113,14 рублей.</w:t>
      </w:r>
    </w:p>
    <w:p w14:paraId="A4000000">
      <w:pPr>
        <w:tabs>
          <w:tab w:leader="none" w:pos="993" w:val="left"/>
          <w:tab w:leader="none" w:pos="1134" w:val="left"/>
          <w:tab w:leader="none" w:pos="1276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Предельный размер средств субсидии, направляемых по каждому направлению расходов, указанному в части 6 настоящего Порядка, устанавливается в приложении к Соглашению. </w:t>
      </w:r>
    </w:p>
    <w:p w14:paraId="A5000000">
      <w:pPr>
        <w:numPr>
          <w:ilvl w:val="0"/>
          <w:numId w:val="4"/>
        </w:numPr>
        <w:tabs>
          <w:tab w:leader="none" w:pos="1276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Результатом предоставления субсидии по состоянию на 31 декабря отчетного года является предоставление получателем субсидии комплекса услуг гражданам, желающим вести бизнес, начинающим и действующим </w:t>
      </w:r>
      <w:r>
        <w:rPr>
          <w:rFonts w:ascii="Times New Roman" w:hAnsi="Times New Roman"/>
          <w:sz w:val="28"/>
        </w:rPr>
        <w:t>предпринимателям, направленных на вовлечение в предпринимательскую деятельность, а также информационно-консультационных и образовательных услуг в офлайн- и онлайн-форматах (количество уникальных граждан, желающих вести бизнес, начинающих и действующих предпринимателей, получивших услуги)</w:t>
      </w:r>
      <w:r>
        <w:rPr>
          <w:rFonts w:ascii="Times New Roman" w:hAnsi="Times New Roman"/>
          <w:sz w:val="28"/>
          <w:highlight w:val="white"/>
        </w:rPr>
        <w:t>.</w:t>
      </w:r>
    </w:p>
    <w:p w14:paraId="A6000000">
      <w:pPr>
        <w:numPr>
          <w:ilvl w:val="0"/>
          <w:numId w:val="4"/>
        </w:numPr>
        <w:tabs>
          <w:tab w:leader="none" w:pos="1276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Значения результата предоставления субсидии и план мероприятий устанавливаются Соглашением.</w:t>
      </w:r>
    </w:p>
    <w:p w14:paraId="A7000000">
      <w:pPr>
        <w:numPr>
          <w:ilvl w:val="0"/>
          <w:numId w:val="4"/>
        </w:numPr>
        <w:tabs>
          <w:tab w:leader="none" w:pos="1276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i w:val="0"/>
          <w:caps w:val="0"/>
          <w:smallCaps w:val="0"/>
          <w:color w:val="000000"/>
          <w:spacing w:val="0"/>
          <w:sz w:val="28"/>
        </w:rPr>
        <w:t>Министерство перечисляет средства субсидии на расчетный</w:t>
      </w:r>
      <w:r>
        <w:rPr>
          <w:rFonts w:ascii="Times New Roman" w:hAnsi="Times New Roman"/>
          <w:b w:val="0"/>
          <w:sz w:val="28"/>
        </w:rPr>
        <w:t xml:space="preserve"> или корреспондентский счет, открытый получателем субсидии в учреждениях Центрального банка Российской Федерации или кредитной организации, реквизиты которого указаны в Соглашении.</w:t>
      </w:r>
    </w:p>
    <w:p w14:paraId="A8000000">
      <w:pPr>
        <w:numPr>
          <w:ilvl w:val="0"/>
          <w:numId w:val="4"/>
        </w:numPr>
        <w:tabs>
          <w:tab w:leader="none" w:pos="1276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Получатель субсидии ежеквартально, не позднее 3 рабочего дня, следующего за отчетным кварталом, в котором была получена субсидия, представляет в Министерство в электронном виде следующую отчетность по формам, предусмотренным типовыми формами, установленными Министерством финансов Российской Федерации для соглашений, в системе «Электронный бюджет», для соответствующего вида субсидии:</w:t>
      </w:r>
    </w:p>
    <w:p w14:paraId="A9000000">
      <w:pPr>
        <w:numPr>
          <w:ilvl w:val="0"/>
          <w:numId w:val="8"/>
        </w:numPr>
        <w:tabs>
          <w:tab w:leader="none" w:pos="1276" w:val="left"/>
          <w:tab w:leader="none" w:pos="1305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отчет о достижении значений результатов предоставления субсидии, установленных частью 21 настоящего Порядка;</w:t>
      </w:r>
    </w:p>
    <w:p w14:paraId="AA000000">
      <w:pPr>
        <w:tabs>
          <w:tab w:leader="none" w:pos="1276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отчет об осуществлении расходов, источником финансового обеспечения которых является субсидия;</w:t>
      </w:r>
    </w:p>
    <w:p w14:paraId="AB000000">
      <w:pPr>
        <w:tabs>
          <w:tab w:leader="none" w:pos="1134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отчет о реализации Плана мероприятий по достижению результатов предоставления субсидии (далее – Отчет), формируемого получателем субсидии, в котором ежемесячно по состоянию на первое число месяца, следующего за отчетным периодом, а также не позднее десятого рабочего дня после достижения конечного значения результата предоставления субсидии, отражаются:</w:t>
      </w:r>
    </w:p>
    <w:p w14:paraId="A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достигнутые в отчетном периоде значения результатов предоставления субсидии и контрольные точки:</w:t>
      </w:r>
    </w:p>
    <w:p w14:paraId="A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срок достижения которых наступает в отчетном периоде;</w:t>
      </w:r>
    </w:p>
    <w:p w14:paraId="A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достигнутые с нарушением установленных сроков;</w:t>
      </w:r>
    </w:p>
    <w:p w14:paraId="A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достигнутые до наступления срока;</w:t>
      </w:r>
    </w:p>
    <w:p w14:paraId="B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недостигнутые значения результатов предоставления субсидии и контрольные точки:</w:t>
      </w:r>
    </w:p>
    <w:p w14:paraId="B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срок достижения которых наступил в периодах, предшествующих отчетному;</w:t>
      </w:r>
    </w:p>
    <w:p w14:paraId="B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срок достижения которых наступает в отчетном периоде;</w:t>
      </w:r>
    </w:p>
    <w:p w14:paraId="B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значения результатов предоставления субсидии и контрольные точки, достижение которых запланировано в течение трех месяцев, следующих за отчетным периодом:</w:t>
      </w:r>
    </w:p>
    <w:p w14:paraId="B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отсутствием отклонений от плановых сроков их достижения;</w:t>
      </w:r>
    </w:p>
    <w:p w14:paraId="B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наличием отклонений от плановых сроков их достижения.</w:t>
      </w:r>
    </w:p>
    <w:p w14:paraId="B6000000">
      <w:pPr>
        <w:numPr>
          <w:ilvl w:val="0"/>
          <w:numId w:val="4"/>
        </w:numPr>
        <w:tabs>
          <w:tab w:leader="none" w:pos="1185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Получатель субсидии несет ответственность за достоверность данных, отражаемых в отчетах и документах, прилагаемых к ним, в соответствии с законодательством Российской Федерации.</w:t>
      </w:r>
    </w:p>
    <w:p w14:paraId="B7000000">
      <w:pPr>
        <w:numPr>
          <w:ilvl w:val="0"/>
          <w:numId w:val="4"/>
        </w:numPr>
        <w:tabs>
          <w:tab w:leader="none" w:pos="1185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Отчет, указанный в пункте 3 части 24 Порядка, формируется с указанием значений результатов предоставления субсидии, достигнутых на отчетную дату с начала текущего финансового года, и контрольных точек, достигнутых в отчетном периоде, в указанный в Соглашении срок для предоставления отчетности о достижении значений результатов, с формированием предварительного Отчета за 3 рабочих дня до окончания отчетного периода.</w:t>
      </w:r>
    </w:p>
    <w:p w14:paraId="B8000000">
      <w:pPr>
        <w:numPr>
          <w:ilvl w:val="0"/>
          <w:numId w:val="4"/>
        </w:numPr>
        <w:tabs>
          <w:tab w:leader="none" w:pos="1185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Датой принятия Министерством отчетов, указанных в части 24 настоящего Порядка, считается день их поступления в ГИИС «Электронный бюджет».</w:t>
      </w:r>
    </w:p>
    <w:p w14:paraId="B9000000">
      <w:pPr>
        <w:tabs>
          <w:tab w:leader="none" w:pos="1185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Министерство осуществляет рассмотрение отчетов, проверку на полноту и достоверность содержащихся в них сведений, не превышающий 20 рабочих дней со дня предоставления таких отчетов.</w:t>
      </w:r>
    </w:p>
    <w:p w14:paraId="BA000000">
      <w:pPr>
        <w:numPr>
          <w:ilvl w:val="0"/>
          <w:numId w:val="4"/>
        </w:numPr>
        <w:tabs>
          <w:tab w:leader="none" w:pos="1140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 xml:space="preserve">Отчетность получателя субсидии, направленная Министерству, считается принятой Министерством, если получателю субсидии в течение 10 рабочих дней не поступили замечания с указанием на неточность заполнения или неполноту содержащихся в отчетности сведений. </w:t>
      </w:r>
    </w:p>
    <w:p w14:paraId="BB000000">
      <w:pPr>
        <w:numPr>
          <w:ilvl w:val="0"/>
          <w:numId w:val="4"/>
        </w:numPr>
        <w:tabs>
          <w:tab w:leader="none" w:pos="1140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Мониторинг достижения результатов предоставления субсидии,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Федерации, осуществляется Министерством.</w:t>
      </w:r>
    </w:p>
    <w:p w14:paraId="BC000000">
      <w:pPr>
        <w:pStyle w:val="Style_3"/>
        <w:numPr>
          <w:numId w:val="4"/>
        </w:numPr>
        <w:tabs>
          <w:tab w:leader="none" w:pos="708" w:val="clear"/>
          <w:tab w:leader="none" w:pos="993" w:val="left"/>
          <w:tab w:leader="none" w:pos="1134" w:val="left"/>
          <w:tab w:leader="none" w:pos="1276" w:val="left"/>
        </w:tabs>
        <w:spacing w:after="0" w:before="0" w:line="240" w:lineRule="auto"/>
        <w:ind w:firstLine="709" w:left="0" w:righ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i w:val="0"/>
          <w:caps w:val="0"/>
          <w:smallCaps w:val="0"/>
          <w:color w:val="000000"/>
          <w:spacing w:val="0"/>
          <w:sz w:val="28"/>
          <w:highlight w:val="white"/>
        </w:rPr>
        <w:t>Министерство осуществляет в отношении получателя субсидии и лиц, являющихся поставщиками (подрядчиками, исполнителями) по договорам (соглашениям), заключенным в целях исполнения обязательств по соглашению о предоставлении субсидии плановые и (или) внеплановые проверки соблюдения ими порядка и условий предоставления субсидии, в том числе в части достижения результатов ее предоставления, а органы государственного финансового контроля осуществляют проверки в соответствии со статьями 268</w:t>
      </w:r>
      <w:r>
        <w:rPr>
          <w:rFonts w:ascii="Times New Roman" w:hAnsi="Times New Roman"/>
          <w:b w:val="0"/>
          <w:i w:val="0"/>
          <w:caps w:val="0"/>
          <w:smallCaps w:val="0"/>
          <w:color w:val="000000"/>
          <w:spacing w:val="0"/>
          <w:sz w:val="28"/>
          <w:highlight w:val="white"/>
          <w:vertAlign w:val="superscript"/>
        </w:rPr>
        <w:t>1</w:t>
      </w:r>
      <w:r>
        <w:rPr>
          <w:rFonts w:ascii="Times New Roman" w:hAnsi="Times New Roman"/>
          <w:b w:val="0"/>
          <w:i w:val="0"/>
          <w:caps w:val="0"/>
          <w:smallCaps w:val="0"/>
          <w:color w:val="000000"/>
          <w:spacing w:val="0"/>
          <w:sz w:val="28"/>
          <w:highlight w:val="white"/>
        </w:rPr>
        <w:t xml:space="preserve"> и 269</w:t>
      </w:r>
      <w:r>
        <w:rPr>
          <w:rFonts w:ascii="Times New Roman" w:hAnsi="Times New Roman"/>
          <w:b w:val="0"/>
          <w:i w:val="0"/>
          <w:caps w:val="0"/>
          <w:smallCaps w:val="0"/>
          <w:color w:val="000000"/>
          <w:spacing w:val="0"/>
          <w:sz w:val="28"/>
          <w:highlight w:val="white"/>
          <w:vertAlign w:val="superscript"/>
        </w:rPr>
        <w:t>2</w:t>
      </w:r>
      <w:r>
        <w:rPr>
          <w:rFonts w:ascii="Times New Roman" w:hAnsi="Times New Roman"/>
          <w:b w:val="0"/>
          <w:i w:val="0"/>
          <w:caps w:val="0"/>
          <w:smallCaps w:val="0"/>
          <w:color w:val="000000"/>
          <w:spacing w:val="0"/>
          <w:sz w:val="28"/>
          <w:highlight w:val="white"/>
        </w:rPr>
        <w:t xml:space="preserve"> Бюджетного кодекса Российской Федерации.</w:t>
      </w:r>
    </w:p>
    <w:p w14:paraId="BD000000">
      <w:pPr>
        <w:pStyle w:val="Style_3"/>
        <w:tabs>
          <w:tab w:leader="none" w:pos="708" w:val="clear"/>
          <w:tab w:leader="none" w:pos="993" w:val="left"/>
          <w:tab w:leader="none" w:pos="1134" w:val="left"/>
          <w:tab w:leader="none" w:pos="1276" w:val="left"/>
        </w:tabs>
        <w:spacing w:after="0" w:before="0" w:line="240" w:lineRule="auto"/>
        <w:ind w:firstLine="709" w:left="0" w:right="0"/>
        <w:contextualSpacing w:val="1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0"/>
          <w:i w:val="0"/>
          <w:caps w:val="0"/>
          <w:smallCaps w:val="0"/>
          <w:color w:val="000000"/>
          <w:spacing w:val="0"/>
          <w:sz w:val="28"/>
          <w:highlight w:val="white"/>
        </w:rPr>
        <w:t xml:space="preserve">Оформление результатов проверок осуществляется в порядке, установленном разделом IV Федерального стандарта внутреннего государственного (муниципального) финансового контроля «Проведение проверок, ревизий и обследований и оформление их результатов», утвержденного постановлением Правительства Российской Федерации </w:t>
      </w:r>
      <w:r>
        <w:br/>
      </w:r>
      <w:r>
        <w:rPr>
          <w:rFonts w:ascii="Times New Roman" w:hAnsi="Times New Roman"/>
          <w:b w:val="0"/>
          <w:i w:val="0"/>
          <w:caps w:val="0"/>
          <w:smallCaps w:val="0"/>
          <w:color w:val="000000"/>
          <w:spacing w:val="0"/>
          <w:sz w:val="28"/>
          <w:highlight w:val="white"/>
        </w:rPr>
        <w:t>от 17.08.2020 № 1235.</w:t>
      </w:r>
    </w:p>
    <w:p w14:paraId="BE000000">
      <w:pPr>
        <w:pStyle w:val="Style_3"/>
        <w:numPr>
          <w:numId w:val="4"/>
        </w:numPr>
        <w:tabs>
          <w:tab w:leader="none" w:pos="708" w:val="clear"/>
          <w:tab w:leader="none" w:pos="851" w:val="left"/>
          <w:tab w:leader="none" w:pos="993" w:val="left"/>
          <w:tab w:leader="none" w:pos="1134" w:val="left"/>
          <w:tab w:leader="none" w:pos="1276" w:val="left"/>
        </w:tabs>
        <w:spacing w:after="0" w:before="0" w:line="240" w:lineRule="auto"/>
        <w:ind w:firstLine="709" w:left="0" w:righ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i w:val="0"/>
          <w:caps w:val="0"/>
          <w:smallCaps w:val="0"/>
          <w:color w:val="000000"/>
          <w:spacing w:val="0"/>
          <w:sz w:val="28"/>
          <w:highlight w:val="white"/>
        </w:rPr>
        <w:t>Остаток субсидии, неиспользованной в отчетном финансовом году (за исключением субсидии, предоставленной в пределах суммы для оплаты денежных обязательств получателя субсидии, источником финансового обеспечения которой является указанная субсидия) подлежит возврату получателем субсидии в краевой бюджет на лицевой счет Министерства не позднее 15 февраля текущего финансового года.</w:t>
      </w:r>
    </w:p>
    <w:p w14:paraId="BF000000">
      <w:pPr>
        <w:pStyle w:val="Style_3"/>
        <w:widowControl w:val="1"/>
        <w:numPr>
          <w:numId w:val="4"/>
        </w:numPr>
        <w:spacing w:after="0" w:before="0" w:line="240" w:lineRule="auto"/>
        <w:ind w:firstLine="709" w:left="0" w:righ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0"/>
          <w:i w:val="0"/>
          <w:caps w:val="0"/>
          <w:smallCaps w:val="0"/>
          <w:color w:val="000000"/>
          <w:spacing w:val="0"/>
          <w:sz w:val="28"/>
          <w:highlight w:val="white"/>
        </w:rPr>
        <w:t>В случае нарушения получателем субсидии условий и порядка, установленных при предоставлении субсидии, выявленного в том числе по фактам проверок, проведенных Министерством и органами государственного финансового контроля, а также в случае недостижения значений результатов предоставления субсидии, субсидия подлежит возврату в краевой бюджет.</w:t>
      </w:r>
    </w:p>
    <w:p w14:paraId="C0000000">
      <w:pPr>
        <w:pStyle w:val="Style_3"/>
        <w:widowControl w:val="1"/>
        <w:spacing w:after="0" w:before="0" w:line="240" w:lineRule="auto"/>
        <w:ind w:firstLine="709" w:left="0" w:righ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0"/>
          <w:i w:val="0"/>
          <w:caps w:val="0"/>
          <w:smallCaps w:val="0"/>
          <w:color w:val="000000"/>
          <w:spacing w:val="0"/>
          <w:sz w:val="28"/>
          <w:highlight w:val="white"/>
        </w:rPr>
        <w:t>Получатель субсидии обязан возвратить субсидию в краевой бюджет в следующем порядке и сроки:</w:t>
      </w:r>
    </w:p>
    <w:p w14:paraId="C1000000">
      <w:pPr>
        <w:pStyle w:val="Style_3"/>
        <w:widowControl w:val="1"/>
        <w:spacing w:after="0" w:before="0" w:line="240" w:lineRule="auto"/>
        <w:ind w:firstLine="709" w:left="0" w:righ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0"/>
          <w:i w:val="0"/>
          <w:caps w:val="0"/>
          <w:smallCaps w:val="0"/>
          <w:color w:val="000000"/>
          <w:spacing w:val="0"/>
          <w:sz w:val="28"/>
          <w:highlight w:val="white"/>
        </w:rPr>
        <w:t>1) в случае выявления нарушения органами государственного финансового контроля – на основании представления и (или) предписания органа государственного финансового контроля в сроки, указанные в представлении и (или) предписании;</w:t>
      </w:r>
    </w:p>
    <w:p w14:paraId="C2000000">
      <w:pPr>
        <w:pStyle w:val="Style_3"/>
        <w:widowControl w:val="1"/>
        <w:spacing w:after="0" w:before="0" w:line="240" w:lineRule="auto"/>
        <w:ind w:firstLine="709" w:left="0" w:righ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0"/>
          <w:i w:val="0"/>
          <w:caps w:val="0"/>
          <w:smallCaps w:val="0"/>
          <w:color w:val="000000"/>
          <w:spacing w:val="0"/>
          <w:sz w:val="28"/>
          <w:highlight w:val="white"/>
        </w:rPr>
        <w:t>2) в случае выявления нарушения Министерством – в течение 20 рабочих дней со дня получения требования Министерства;</w:t>
      </w:r>
    </w:p>
    <w:p w14:paraId="C3000000">
      <w:pPr>
        <w:pStyle w:val="Style_3"/>
        <w:widowControl w:val="1"/>
        <w:spacing w:after="0" w:before="0" w:line="240" w:lineRule="auto"/>
        <w:ind w:firstLine="709" w:left="0" w:righ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0"/>
          <w:i w:val="0"/>
          <w:caps w:val="0"/>
          <w:smallCaps w:val="0"/>
          <w:color w:val="000000"/>
          <w:spacing w:val="0"/>
          <w:sz w:val="28"/>
          <w:highlight w:val="white"/>
        </w:rPr>
        <w:t>3) в иных случаях – в течение 20 рабочих дней со дня нарушения.</w:t>
      </w:r>
    </w:p>
    <w:p w14:paraId="C4000000">
      <w:pPr>
        <w:pStyle w:val="Style_3"/>
        <w:widowControl w:val="1"/>
        <w:numPr>
          <w:numId w:val="4"/>
        </w:numPr>
        <w:spacing w:after="0" w:before="0" w:line="240" w:lineRule="auto"/>
        <w:ind w:firstLine="709" w:left="0" w:righ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0"/>
          <w:i w:val="0"/>
          <w:caps w:val="0"/>
          <w:smallCaps w:val="0"/>
          <w:color w:val="000000"/>
          <w:spacing w:val="0"/>
          <w:sz w:val="28"/>
          <w:highlight w:val="white"/>
        </w:rPr>
        <w:t>Получатель субсидии обязан возвратить субсидию в краевой бюджет в следующих размерах:</w:t>
      </w:r>
    </w:p>
    <w:p w14:paraId="C5000000">
      <w:pPr>
        <w:pStyle w:val="Style_3"/>
        <w:widowControl w:val="1"/>
        <w:spacing w:after="0" w:before="0" w:line="240" w:lineRule="auto"/>
        <w:ind w:firstLine="709" w:left="0" w:righ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0"/>
          <w:i w:val="0"/>
          <w:caps w:val="0"/>
          <w:smallCaps w:val="0"/>
          <w:color w:val="000000"/>
          <w:spacing w:val="0"/>
          <w:sz w:val="28"/>
          <w:highlight w:val="white"/>
        </w:rPr>
        <w:t>1) в случае нарушения целей предоставления субсидии – в размере нецелевого использования денежных средств;</w:t>
      </w:r>
    </w:p>
    <w:p w14:paraId="C6000000">
      <w:pPr>
        <w:pStyle w:val="Style_3"/>
        <w:widowControl w:val="1"/>
        <w:spacing w:after="0" w:before="0" w:line="240" w:lineRule="auto"/>
        <w:ind w:firstLine="709" w:left="0" w:righ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0"/>
          <w:i w:val="0"/>
          <w:caps w:val="0"/>
          <w:smallCaps w:val="0"/>
          <w:color w:val="000000"/>
          <w:spacing w:val="0"/>
          <w:sz w:val="28"/>
          <w:highlight w:val="white"/>
        </w:rPr>
        <w:t>2) в случае нарушения условий и порядка, установленных при предоставлении субсидии – в полном объеме;</w:t>
      </w:r>
    </w:p>
    <w:p w14:paraId="C7000000">
      <w:pPr>
        <w:pStyle w:val="Style_3"/>
        <w:widowControl w:val="1"/>
        <w:spacing w:after="0" w:before="0" w:line="240" w:lineRule="auto"/>
        <w:ind w:firstLine="709" w:left="0" w:righ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0"/>
          <w:i w:val="0"/>
          <w:caps w:val="0"/>
          <w:smallCaps w:val="0"/>
          <w:color w:val="000000"/>
          <w:spacing w:val="0"/>
          <w:sz w:val="28"/>
          <w:highlight w:val="white"/>
        </w:rPr>
        <w:t>3) в случае недостижения значений результатов предоставления субсидии, определенных Соглашением, – в размере, определенном по формуле:</w:t>
      </w:r>
    </w:p>
    <w:tbl>
      <w:tblPr>
        <w:tblStyle w:val="Style_1"/>
        <w:tblInd w:type="dxa" w:w="108"/>
        <w:tblLayout w:type="fixed"/>
      </w:tblPr>
      <w:tblGrid>
        <w:gridCol w:w="6770"/>
        <w:gridCol w:w="2112"/>
      </w:tblGrid>
      <w:tr>
        <w:tc>
          <w:tcPr>
            <w:tcW w:type="dxa" w:w="67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8000000">
            <w:pPr>
              <w:widowControl w:val="0"/>
              <w:tabs>
                <w:tab w:leader="none" w:pos="1276" w:val="left"/>
              </w:tabs>
              <w:ind w:firstLine="567" w:left="1559"/>
              <w:contextualSpacing w:val="1"/>
              <w:jc w:val="center"/>
            </w:pPr>
            <w:r>
              <w:drawing>
                <wp:inline>
                  <wp:extent cx="3048000" cy="981075"/>
                  <wp:effectExtent b="0" l="0" r="0" t="0"/>
                  <wp:docPr hidden="false" id="4" name="Picture 4"/>
                  <a:graphic>
                    <a:graphicData uri="http://schemas.openxmlformats.org/drawingml/2006/picture">
                      <pic:pic>
                        <pic:nvPicPr>
                          <pic:cNvPr hidden="false" id="3" name="Picture 3"/>
                          <pic:cNvPicPr preferRelativeResize="true"/>
                        </pic:nvPicPr>
                        <pic:blipFill>
                          <a:blip r:embed="rId3"/>
                          <a:stretch/>
                        </pic:blipFill>
                        <pic:spPr>
                          <a:xfrm flipH="false" flipV="false" rot="0">
                            <a:ext cx="3048000" cy="981075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112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9000000">
            <w:pPr>
              <w:widowControl w:val="0"/>
              <w:ind w:hanging="1559" w:left="1559"/>
              <w:rPr>
                <w:rFonts w:ascii="Times New Roman" w:hAnsi="Times New Roman"/>
                <w:sz w:val="28"/>
                <w:highlight w:val="yellow"/>
              </w:rPr>
            </w:pPr>
          </w:p>
          <w:p w14:paraId="CA000000">
            <w:pPr>
              <w:widowControl w:val="0"/>
              <w:ind/>
              <w:rPr>
                <w:rFonts w:ascii="Times New Roman" w:hAnsi="Times New Roman"/>
                <w:sz w:val="18"/>
              </w:rPr>
            </w:pPr>
          </w:p>
          <w:p w14:paraId="CB000000">
            <w:pPr>
              <w:widowControl w:val="0"/>
              <w:ind w:hanging="1559" w:left="155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, где:</w:t>
            </w:r>
          </w:p>
          <w:p w14:paraId="CC000000">
            <w:pPr>
              <w:widowControl w:val="0"/>
              <w:tabs>
                <w:tab w:leader="none" w:pos="1276" w:val="left"/>
              </w:tabs>
              <w:ind w:hanging="1559" w:left="1559"/>
              <w:contextualSpacing w:val="1"/>
              <w:rPr>
                <w:rFonts w:ascii="Times New Roman" w:hAnsi="Times New Roman"/>
                <w:sz w:val="28"/>
              </w:rPr>
            </w:pPr>
          </w:p>
        </w:tc>
      </w:tr>
    </w:tbl>
    <w:p w14:paraId="CD000000">
      <w:pPr>
        <w:spacing w:after="120" w:before="120" w:line="240" w:lineRule="auto"/>
        <w:ind w:firstLine="709" w:left="0" w:right="120"/>
        <w:jc w:val="both"/>
      </w:pPr>
      <w:r>
        <w:rPr>
          <w:rFonts w:ascii="Times New Roman" w:hAnsi="Times New Roman"/>
          <w:sz w:val="28"/>
        </w:rPr>
        <w:t>V</w:t>
      </w:r>
      <w:r>
        <w:rPr>
          <w:rFonts w:ascii="Times New Roman" w:hAnsi="Times New Roman"/>
          <w:sz w:val="28"/>
          <w:vertAlign w:val="subscript"/>
        </w:rPr>
        <w:t>возврата</w:t>
      </w:r>
      <w:r>
        <w:rPr>
          <w:rFonts w:ascii="Times New Roman" w:hAnsi="Times New Roman"/>
          <w:sz w:val="28"/>
        </w:rPr>
        <w:t xml:space="preserve"> – размер субсидии, подлежащей возврату;</w:t>
      </w:r>
    </w:p>
    <w:p w14:paraId="CE000000">
      <w:pPr>
        <w:tabs>
          <w:tab w:leader="none" w:pos="1276" w:val="left"/>
        </w:tabs>
        <w:spacing w:after="0" w:line="240" w:lineRule="auto"/>
        <w:ind w:firstLine="709" w:left="0"/>
        <w:jc w:val="both"/>
      </w:pPr>
      <w:r>
        <w:rPr>
          <w:rFonts w:ascii="Times New Roman" w:hAnsi="Times New Roman"/>
          <w:sz w:val="28"/>
        </w:rPr>
        <w:t>V</w:t>
      </w:r>
      <w:r>
        <w:rPr>
          <w:rFonts w:ascii="Times New Roman" w:hAnsi="Times New Roman"/>
          <w:sz w:val="28"/>
          <w:vertAlign w:val="subscript"/>
        </w:rPr>
        <w:t>субсидии</w:t>
      </w:r>
      <w:r>
        <w:rPr>
          <w:rFonts w:ascii="Times New Roman" w:hAnsi="Times New Roman"/>
          <w:sz w:val="28"/>
        </w:rPr>
        <w:t xml:space="preserve"> – размер субсидии, предоставленной получателю субсидии;</w:t>
      </w:r>
    </w:p>
    <w:p w14:paraId="CF000000">
      <w:pPr>
        <w:tabs>
          <w:tab w:leader="none" w:pos="1276" w:val="left"/>
        </w:tabs>
        <w:spacing w:after="0" w:line="240" w:lineRule="auto"/>
        <w:ind w:firstLine="709" w:left="0"/>
        <w:jc w:val="both"/>
      </w:pPr>
      <w:r>
        <w:rPr>
          <w:rFonts w:ascii="Times New Roman" w:hAnsi="Times New Roman"/>
          <w:sz w:val="28"/>
        </w:rPr>
        <w:t>Ф</w:t>
      </w:r>
      <w:r>
        <w:rPr>
          <w:rFonts w:ascii="Times New Roman" w:hAnsi="Times New Roman"/>
          <w:sz w:val="28"/>
          <w:vertAlign w:val="subscript"/>
        </w:rPr>
        <w:t>i</w:t>
      </w:r>
      <w:r>
        <w:rPr>
          <w:rFonts w:ascii="Times New Roman" w:hAnsi="Times New Roman"/>
          <w:sz w:val="28"/>
        </w:rPr>
        <w:t xml:space="preserve"> – фактически достигнутое значение i-го результата предоставления субсидии на отчетную дату;</w:t>
      </w:r>
    </w:p>
    <w:p w14:paraId="D0000000">
      <w:pPr>
        <w:tabs>
          <w:tab w:leader="none" w:pos="1276" w:val="left"/>
        </w:tabs>
        <w:spacing w:after="0" w:line="240" w:lineRule="auto"/>
        <w:ind w:firstLine="709" w:left="0"/>
        <w:jc w:val="both"/>
      </w:pP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  <w:vertAlign w:val="subscript"/>
        </w:rPr>
        <w:t>i</w:t>
      </w:r>
      <w:r>
        <w:rPr>
          <w:rFonts w:ascii="Times New Roman" w:hAnsi="Times New Roman"/>
          <w:sz w:val="28"/>
          <w:vertAlign w:val="subscript"/>
        </w:rPr>
        <w:t xml:space="preserve"> </w:t>
      </w:r>
      <w:r>
        <w:rPr>
          <w:rFonts w:ascii="Times New Roman" w:hAnsi="Times New Roman"/>
          <w:sz w:val="28"/>
        </w:rPr>
        <w:t>– плановое значение i-</w:t>
      </w:r>
      <w:r>
        <w:rPr>
          <w:rFonts w:ascii="Times New Roman" w:hAnsi="Times New Roman"/>
          <w:sz w:val="28"/>
        </w:rPr>
        <w:t>гo</w:t>
      </w:r>
      <w:r>
        <w:rPr>
          <w:rFonts w:ascii="Times New Roman" w:hAnsi="Times New Roman"/>
          <w:sz w:val="28"/>
        </w:rPr>
        <w:t xml:space="preserve"> результата предоставления субсидии, установленное Соглашением;</w:t>
      </w:r>
    </w:p>
    <w:p w14:paraId="D1000000">
      <w:pPr>
        <w:tabs>
          <w:tab w:leader="none" w:pos="1276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n – общее количество результатов предоставления субсидии, установленных Соглашением.</w:t>
      </w:r>
    </w:p>
    <w:p w14:paraId="D2000000">
      <w:pPr>
        <w:pStyle w:val="Style_3"/>
        <w:widowControl w:val="1"/>
        <w:numPr>
          <w:numId w:val="4"/>
        </w:numPr>
        <w:spacing w:after="0" w:before="0" w:line="240" w:lineRule="auto"/>
        <w:ind w:firstLine="709" w:left="0" w:righ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0"/>
          <w:i w:val="0"/>
          <w:caps w:val="0"/>
          <w:smallCaps w:val="0"/>
          <w:color w:val="000000"/>
          <w:spacing w:val="0"/>
          <w:sz w:val="28"/>
          <w:highlight w:val="white"/>
        </w:rPr>
        <w:t>Письменное требование о возврате субсидии в краевой бюджет направляется Министерством получателю субсидии в течение 20 рабочих дней со дня выявления нарушений, указанных в частях 32 и 33 настоящего Порядка, посредством почтового отправления, нарочным способом, на адрес электронной почты или иным способом, обеспечивающим подтверждение получения указанного требования.</w:t>
      </w:r>
    </w:p>
    <w:p w14:paraId="D3000000">
      <w:pPr>
        <w:pStyle w:val="Style_3"/>
        <w:widowControl w:val="1"/>
        <w:numPr>
          <w:numId w:val="4"/>
        </w:numPr>
        <w:spacing w:after="0" w:before="0" w:line="240" w:lineRule="auto"/>
        <w:ind w:firstLine="709" w:left="0" w:righ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0"/>
          <w:i w:val="0"/>
          <w:caps w:val="0"/>
          <w:smallCaps w:val="0"/>
          <w:color w:val="000000"/>
          <w:spacing w:val="0"/>
          <w:sz w:val="28"/>
          <w:highlight w:val="white"/>
        </w:rPr>
        <w:t>При невозврате субсидии в сроки, установленные частью 32 настоящего Порядка, Министерство принимает необходимые меры по взысканию подлежащей возврату в краевой бюджет субсидии в судебном порядке в срок не позднее 30 рабочих дней со дня, когда Министерству стало известно о неисполнении получателем субсидии обязанности возвратить субсидию в краевой бюджет.</w:t>
      </w:r>
    </w:p>
    <w:p w14:paraId="D4000000">
      <w:pPr>
        <w:pStyle w:val="Style_3"/>
        <w:widowControl w:val="1"/>
        <w:numPr>
          <w:numId w:val="4"/>
        </w:numPr>
        <w:spacing w:after="0" w:before="0" w:line="240" w:lineRule="auto"/>
        <w:ind w:firstLine="709" w:left="0" w:righ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0"/>
          <w:i w:val="0"/>
          <w:caps w:val="0"/>
          <w:smallCaps w:val="0"/>
          <w:color w:val="000000"/>
          <w:spacing w:val="0"/>
          <w:sz w:val="28"/>
          <w:highlight w:val="white"/>
        </w:rPr>
        <w:t>В случае выявления нарушений, в том числе по фактам проверок, указанных в части 33 настоящего Порядка, лица, получившие средства на основании договоров, заключенных с получателем субсидии, обязаны возвратить в сроки, не превышающие сроки, указанные в части 32 настоящего Порядка, средства на счет получателя субсидии в целях последующего возврата указанных средств получателем субсидии в краевой бюджет в срок не позднее 10 рабочих дней со дня поступления денежных средств на его счет.</w:t>
      </w:r>
    </w:p>
    <w:p w14:paraId="D5000000">
      <w:pPr>
        <w:pStyle w:val="Style_3"/>
        <w:widowControl w:val="1"/>
        <w:numPr>
          <w:numId w:val="4"/>
        </w:numPr>
        <w:spacing w:after="0" w:before="0" w:line="240" w:lineRule="auto"/>
        <w:ind w:firstLine="709" w:left="0" w:righ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0"/>
          <w:i w:val="0"/>
          <w:caps w:val="0"/>
          <w:smallCaps w:val="0"/>
          <w:color w:val="000000"/>
          <w:spacing w:val="0"/>
          <w:sz w:val="28"/>
          <w:highlight w:val="white"/>
        </w:rPr>
        <w:t>В случае невозврата лицами, указанными в части 36 настоящего Порядка, средств, полученных за счет средств субсидии, на счет получателя субсидии в сроки, указанные в требовании о возврате средств, полученных за счет средств субсидии, получатель субсидии принимает необходимые меры по взысканию подлежащих возврату в краевой бюджет средств, полученных за счет средств субсидии, в судебном порядке в срок, не позднее тридцати рабочих дней со дня, когда получателю субсидии стало известно о неисполнении лицами, указанные в части 36 настоящего Порядка, обязанности возвратить средства, полученных на основании договоров, заключенных с получателем субсидии, на счет получателя субсидии.</w:t>
      </w:r>
    </w:p>
    <w:p w14:paraId="D6000000">
      <w:pPr>
        <w:spacing w:after="0" w:line="240" w:lineRule="auto"/>
        <w:ind w:firstLine="709" w:left="0"/>
        <w:rPr>
          <w:rFonts w:ascii="Times New Roman" w:hAnsi="Times New Roman"/>
          <w:color w:val="4472C4"/>
          <w:sz w:val="28"/>
        </w:rPr>
      </w:pPr>
    </w:p>
    <w:sectPr>
      <w:headerReference r:id="rId1" w:type="default"/>
      <w:pgSz w:h="16838" w:orient="portrait" w:w="11906"/>
      <w:pgMar w:bottom="1134" w:footer="0" w:gutter="0" w:header="709" w:left="1418" w:right="851" w:top="1134"/>
      <w:pgNumType w:start="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ind/>
      <w:jc w:val="center"/>
      <w:rPr>
        <w:rFonts w:ascii="Times New Roman" w:hAnsi="Times New Roman"/>
        <w:sz w:val="28"/>
      </w:rPr>
    </w:pPr>
    <w:bookmarkStart w:id="1" w:name="PageNumWizard_HEADER_Базовый2"/>
    <w:r>
      <w:rPr>
        <w:rFonts w:ascii="Times New Roman" w:hAnsi="Times New Roman"/>
        <w:sz w:val="28"/>
      </w:rPr>
      <w:fldChar w:fldCharType="begin"/>
    </w:r>
    <w:r>
      <w:rPr>
        <w:rFonts w:ascii="Times New Roman" w:hAnsi="Times New Roman"/>
        <w:sz w:val="28"/>
      </w:rPr>
      <w:instrText xml:space="preserve">PAGE </w:instrText>
    </w:r>
    <w:r>
      <w:rPr>
        <w:rFonts w:ascii="Times New Roman" w:hAnsi="Times New Roman"/>
        <w:sz w:val="28"/>
      </w:rPr>
      <w:fldChar w:fldCharType="separate"/>
    </w:r>
    <w:r>
      <w:rPr>
        <w:rFonts w:ascii="Times New Roman" w:hAnsi="Times New Roman"/>
        <w:sz w:val="28"/>
      </w:rPr>
      <w:t xml:space="preserve"> </w:t>
    </w:r>
    <w:r>
      <w:rPr>
        <w:rFonts w:ascii="Times New Roman" w:hAnsi="Times New Roman"/>
        <w:sz w:val="28"/>
      </w:rPr>
      <w:fldChar w:fldCharType="end"/>
    </w:r>
    <w:bookmarkEnd w:id="1"/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tabs>
          <w:tab w:leader="none" w:pos="0" w:val="left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leader="none" w:pos="0" w:val="left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leader="none" w:pos="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0" w:val="left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0" w:val="left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0" w:val="left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0" w:val="left"/>
        </w:tabs>
        <w:ind w:hanging="360" w:left="6480"/>
      </w:pPr>
    </w:lvl>
  </w:abstractNum>
  <w:abstractNum w:abstractNumId="1">
    <w:lvl w:ilvl="0">
      <w:start w:val="1"/>
      <w:numFmt w:val="decimal"/>
      <w:lvlText w:val="%1)"/>
      <w:pPr>
        <w:ind w:hanging="360" w:left="720"/>
      </w:pPr>
    </w:lvl>
    <w:lvl w:ilvl="1">
      <w:start w:val="1"/>
      <w:numFmt w:val="russianLower"/>
      <w:lvlText w:val="%2)"/>
      <w:pPr>
        <w:ind w:hanging="360" w:left="1440"/>
      </w:pPr>
    </w:lvl>
    <w:lvl w:ilvl="2">
      <w:start w:val="1"/>
      <w:numFmt w:val="lowerRoman"/>
      <w:lvlText w:val="%3)"/>
      <w:lvlJc w:val="right"/>
      <w:pPr>
        <w:ind w:hanging="360" w:left="2160"/>
      </w:pPr>
    </w:lvl>
    <w:lvl w:ilvl="3">
      <w:start w:val="1"/>
      <w:numFmt w:val="decimal"/>
      <w:lvlText w:val="%4)"/>
      <w:pPr>
        <w:ind w:hanging="360" w:left="2880"/>
      </w:pPr>
    </w:lvl>
    <w:lvl w:ilvl="4">
      <w:start w:val="1"/>
      <w:numFmt w:val="russianLower"/>
      <w:lvlText w:val="%5)"/>
      <w:pPr>
        <w:ind w:hanging="360" w:left="3600"/>
      </w:pPr>
    </w:lvl>
    <w:lvl w:ilvl="5">
      <w:start w:val="1"/>
      <w:numFmt w:val="lowerRoman"/>
      <w:lvlText w:val="%6)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russianLow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2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leader="none" w:pos="0" w:val="left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leader="none" w:pos="0" w:val="left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leader="none" w:pos="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0" w:val="left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0" w:val="left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0" w:val="left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0" w:val="left"/>
        </w:tabs>
        <w:ind w:hanging="360" w:left="6480"/>
      </w:pPr>
    </w:lvl>
  </w:abstractNum>
  <w:abstractNum w:abstractNumId="4">
    <w:lvl w:ilvl="0">
      <w:start w:val="1"/>
      <w:numFmt w:val="decimal"/>
      <w:lvlText w:val="%1)"/>
      <w:pPr>
        <w:ind w:hanging="360" w:left="720"/>
      </w:pPr>
    </w:lvl>
    <w:lvl w:ilvl="1">
      <w:start w:val="1"/>
      <w:numFmt w:val="russianLower"/>
      <w:lvlText w:val="%2)"/>
      <w:pPr>
        <w:ind w:hanging="360" w:left="1440"/>
      </w:pPr>
    </w:lvl>
    <w:lvl w:ilvl="2">
      <w:start w:val="1"/>
      <w:numFmt w:val="lowerRoman"/>
      <w:lvlText w:val="%3)"/>
      <w:lvlJc w:val="right"/>
      <w:pPr>
        <w:ind w:hanging="360" w:left="2160"/>
      </w:pPr>
    </w:lvl>
    <w:lvl w:ilvl="3">
      <w:start w:val="1"/>
      <w:numFmt w:val="decimal"/>
      <w:lvlText w:val="%4)"/>
      <w:pPr>
        <w:ind w:hanging="360" w:left="2880"/>
      </w:pPr>
    </w:lvl>
    <w:lvl w:ilvl="4">
      <w:start w:val="1"/>
      <w:numFmt w:val="russianLower"/>
      <w:lvlText w:val="%5)"/>
      <w:pPr>
        <w:ind w:hanging="360" w:left="3600"/>
      </w:pPr>
    </w:lvl>
    <w:lvl w:ilvl="5">
      <w:start w:val="1"/>
      <w:numFmt w:val="lowerRoman"/>
      <w:lvlText w:val="%6)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russianLow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5">
    <w:lvl w:ilvl="0">
      <w:start w:val="1"/>
      <w:numFmt w:val="russianLower"/>
      <w:lvlText w:val="%1)"/>
      <w:pPr>
        <w:ind w:hanging="360" w:left="720"/>
      </w:pPr>
    </w:lvl>
    <w:lvl w:ilvl="1">
      <w:start w:val="1"/>
      <w:numFmt w:val="decimal"/>
      <w:lvlText w:val="%2)"/>
      <w:pPr>
        <w:ind w:hanging="360" w:left="1440"/>
      </w:pPr>
    </w:lvl>
    <w:lvl w:ilvl="2">
      <w:start w:val="1"/>
      <w:numFmt w:val="lowerRoman"/>
      <w:lvlText w:val="%3)"/>
      <w:lvlJc w:val="right"/>
      <w:pPr>
        <w:ind w:hanging="360" w:left="2160"/>
      </w:pPr>
    </w:lvl>
    <w:lvl w:ilvl="3">
      <w:start w:val="1"/>
      <w:numFmt w:val="russianLower"/>
      <w:lvlText w:val="%4)"/>
      <w:pPr>
        <w:ind w:hanging="360" w:left="2880"/>
      </w:pPr>
    </w:lvl>
    <w:lvl w:ilvl="4">
      <w:start w:val="1"/>
      <w:numFmt w:val="decimal"/>
      <w:lvlText w:val="%5)"/>
      <w:pPr>
        <w:ind w:hanging="360" w:left="3600"/>
      </w:pPr>
    </w:lvl>
    <w:lvl w:ilvl="5">
      <w:start w:val="1"/>
      <w:numFmt w:val="lowerRoman"/>
      <w:lvlText w:val="%6)"/>
      <w:lvlJc w:val="right"/>
      <w:pPr>
        <w:ind w:hanging="360" w:left="4320"/>
      </w:pPr>
    </w:lvl>
    <w:lvl w:ilvl="6">
      <w:start w:val="1"/>
      <w:numFmt w:val="russianLower"/>
      <w:lvlText w:val="%7)"/>
      <w:pPr>
        <w:ind w:hanging="360" w:left="5040"/>
      </w:pPr>
    </w:lvl>
    <w:lvl w:ilvl="7">
      <w:start w:val="1"/>
      <w:numFmt w:val="decimal"/>
      <w:lvlText w:val="%8)"/>
      <w:pPr>
        <w:ind w:hanging="360" w:left="5760"/>
      </w:pPr>
    </w:lvl>
    <w:lvl w:ilvl="8">
      <w:start w:val="1"/>
      <w:numFmt w:val="lowerRoman"/>
      <w:lvlText w:val="%9)"/>
      <w:lvlJc w:val="right"/>
      <w:pPr>
        <w:ind w:hanging="360" w:left="6480"/>
      </w:pPr>
    </w:lvl>
  </w:abstractNum>
  <w:abstractNum w:abstractNumId="6">
    <w:lvl w:ilvl="0">
      <w:start w:val="1"/>
      <w:numFmt w:val="decimal"/>
      <w:lvlText w:val="%1)"/>
      <w:lvlJc w:val="left"/>
      <w:pPr>
        <w:tabs>
          <w:tab w:leader="none" w:pos="0" w:val="left"/>
        </w:tabs>
        <w:ind w:hanging="360" w:left="720"/>
      </w:pPr>
    </w:lvl>
    <w:lvl w:ilvl="1">
      <w:start w:val="1"/>
      <w:numFmt w:val="russianLower"/>
      <w:lvlText w:val="%2)"/>
      <w:lvlJc w:val="left"/>
      <w:pPr>
        <w:tabs>
          <w:tab w:leader="none" w:pos="0" w:val="left"/>
        </w:tabs>
        <w:ind w:hanging="360" w:left="1440"/>
      </w:pPr>
    </w:lvl>
    <w:lvl w:ilvl="2">
      <w:start w:val="1"/>
      <w:numFmt w:val="lowerRoman"/>
      <w:lvlText w:val="%3)"/>
      <w:lvlJc w:val="right"/>
      <w:pPr>
        <w:tabs>
          <w:tab w:leader="none" w:pos="0" w:val="left"/>
        </w:tabs>
        <w:ind w:hanging="360" w:left="2160"/>
      </w:pPr>
    </w:lvl>
    <w:lvl w:ilvl="3">
      <w:start w:val="1"/>
      <w:numFmt w:val="decimal"/>
      <w:lvlText w:val="%4)"/>
      <w:lvlJc w:val="left"/>
      <w:pPr>
        <w:tabs>
          <w:tab w:leader="none" w:pos="0" w:val="left"/>
        </w:tabs>
        <w:ind w:hanging="360" w:left="2880"/>
      </w:pPr>
    </w:lvl>
    <w:lvl w:ilvl="4">
      <w:start w:val="1"/>
      <w:numFmt w:val="russianLower"/>
      <w:lvlText w:val="%5)"/>
      <w:lvlJc w:val="left"/>
      <w:pPr>
        <w:tabs>
          <w:tab w:leader="none" w:pos="0" w:val="left"/>
        </w:tabs>
        <w:ind w:hanging="360" w:left="3600"/>
      </w:pPr>
    </w:lvl>
    <w:lvl w:ilvl="5">
      <w:start w:val="1"/>
      <w:numFmt w:val="lowerRoman"/>
      <w:lvlText w:val="%6)"/>
      <w:lvlJc w:val="right"/>
      <w:pPr>
        <w:tabs>
          <w:tab w:leader="none" w:pos="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0" w:val="left"/>
        </w:tabs>
        <w:ind w:hanging="360" w:left="5040"/>
      </w:pPr>
    </w:lvl>
    <w:lvl w:ilvl="7">
      <w:start w:val="1"/>
      <w:numFmt w:val="russianLower"/>
      <w:lvlText w:val="%8."/>
      <w:lvlJc w:val="left"/>
      <w:pPr>
        <w:tabs>
          <w:tab w:leader="none" w:pos="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0" w:val="left"/>
        </w:tabs>
        <w:ind w:hanging="360" w:left="6480"/>
      </w:pPr>
    </w:lvl>
  </w:abstractNum>
  <w:abstractNum w:abstractNumId="7">
    <w:lvl w:ilvl="0">
      <w:start w:val="1"/>
      <w:numFmt w:val="decimal"/>
      <w:lvlText w:val="%1)"/>
      <w:lvlJc w:val="left"/>
      <w:pPr>
        <w:tabs>
          <w:tab w:leader="none" w:pos="0" w:val="left"/>
        </w:tabs>
        <w:ind w:hanging="360" w:left="720"/>
      </w:pPr>
    </w:lvl>
    <w:lvl w:ilvl="1">
      <w:start w:val="1"/>
      <w:numFmt w:val="russianLower"/>
      <w:lvlText w:val="%2)"/>
      <w:lvlJc w:val="left"/>
      <w:pPr>
        <w:tabs>
          <w:tab w:leader="none" w:pos="0" w:val="left"/>
        </w:tabs>
        <w:ind w:hanging="360" w:left="1440"/>
      </w:pPr>
    </w:lvl>
    <w:lvl w:ilvl="2">
      <w:start w:val="1"/>
      <w:numFmt w:val="lowerRoman"/>
      <w:lvlText w:val="%3)"/>
      <w:lvlJc w:val="right"/>
      <w:pPr>
        <w:tabs>
          <w:tab w:leader="none" w:pos="0" w:val="left"/>
        </w:tabs>
        <w:ind w:hanging="360" w:left="2160"/>
      </w:pPr>
    </w:lvl>
    <w:lvl w:ilvl="3">
      <w:start w:val="1"/>
      <w:numFmt w:val="decimal"/>
      <w:lvlText w:val="%4)"/>
      <w:lvlJc w:val="left"/>
      <w:pPr>
        <w:tabs>
          <w:tab w:leader="none" w:pos="0" w:val="left"/>
        </w:tabs>
        <w:ind w:hanging="360" w:left="2880"/>
      </w:pPr>
    </w:lvl>
    <w:lvl w:ilvl="4">
      <w:start w:val="1"/>
      <w:numFmt w:val="russianLower"/>
      <w:lvlText w:val="%5)"/>
      <w:lvlJc w:val="left"/>
      <w:pPr>
        <w:tabs>
          <w:tab w:leader="none" w:pos="0" w:val="left"/>
        </w:tabs>
        <w:ind w:hanging="360" w:left="3600"/>
      </w:pPr>
    </w:lvl>
    <w:lvl w:ilvl="5">
      <w:start w:val="1"/>
      <w:numFmt w:val="lowerRoman"/>
      <w:lvlText w:val="%6)"/>
      <w:lvlJc w:val="right"/>
      <w:pPr>
        <w:tabs>
          <w:tab w:leader="none" w:pos="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0" w:val="left"/>
        </w:tabs>
        <w:ind w:hanging="360" w:left="5040"/>
      </w:pPr>
    </w:lvl>
    <w:lvl w:ilvl="7">
      <w:start w:val="1"/>
      <w:numFmt w:val="russianLower"/>
      <w:lvlText w:val="%8."/>
      <w:lvlJc w:val="left"/>
      <w:pPr>
        <w:tabs>
          <w:tab w:leader="none" w:pos="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0" w:val="left"/>
        </w:tabs>
        <w:ind w:hanging="360" w:left="6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pPr>
      <w:spacing w:after="160" w:line="264" w:lineRule="auto"/>
      <w:ind/>
    </w:pPr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spacing w:after="160" w:line="264" w:lineRule="auto"/>
      <w:ind w:firstLine="0" w:left="200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Footnote1"/>
    <w:link w:val="Style_5_ch"/>
    <w:pPr>
      <w:spacing w:after="160" w:line="264" w:lineRule="auto"/>
      <w:ind w:firstLine="851" w:left="0"/>
      <w:jc w:val="both"/>
    </w:pPr>
    <w:rPr>
      <w:rFonts w:ascii="XO Thames" w:hAnsi="XO Thames"/>
    </w:rPr>
  </w:style>
  <w:style w:styleId="Style_5_ch" w:type="character">
    <w:name w:val="Footnote1"/>
    <w:link w:val="Style_5"/>
    <w:rPr>
      <w:rFonts w:ascii="XO Thames" w:hAnsi="XO Thames"/>
    </w:rPr>
  </w:style>
  <w:style w:styleId="Style_6" w:type="paragraph">
    <w:name w:val="Footer1"/>
    <w:link w:val="Style_6_ch"/>
    <w:rPr>
      <w:rFonts w:ascii="Times New Roman" w:hAnsi="Times New Roman"/>
      <w:sz w:val="28"/>
    </w:rPr>
  </w:style>
  <w:style w:styleId="Style_6_ch" w:type="character">
    <w:name w:val="Footer1"/>
    <w:link w:val="Style_6"/>
    <w:rPr>
      <w:rFonts w:ascii="Times New Roman" w:hAnsi="Times New Roman"/>
      <w:sz w:val="28"/>
    </w:rPr>
  </w:style>
  <w:style w:styleId="Style_7" w:type="paragraph">
    <w:name w:val="Heading 11"/>
    <w:link w:val="Style_7_ch"/>
    <w:rPr>
      <w:rFonts w:ascii="XO Thames" w:hAnsi="XO Thames"/>
      <w:b w:val="1"/>
      <w:sz w:val="32"/>
    </w:rPr>
  </w:style>
  <w:style w:styleId="Style_7_ch" w:type="character">
    <w:name w:val="Heading 11"/>
    <w:link w:val="Style_7"/>
    <w:rPr>
      <w:rFonts w:ascii="XO Thames" w:hAnsi="XO Thames"/>
      <w:b w:val="1"/>
      <w:sz w:val="32"/>
    </w:rPr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9" w:type="paragraph">
    <w:name w:val="toc 4"/>
    <w:next w:val="Style_3"/>
    <w:link w:val="Style_9_ch"/>
    <w:uiPriority w:val="39"/>
    <w:pPr>
      <w:spacing w:after="160" w:line="264" w:lineRule="auto"/>
      <w:ind w:firstLine="0" w:left="600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10" w:type="paragraph">
    <w:name w:val="Plain Text1"/>
    <w:basedOn w:val="Style_3"/>
    <w:link w:val="Style_10_ch"/>
    <w:pPr>
      <w:spacing w:after="0" w:line="240" w:lineRule="auto"/>
      <w:ind/>
    </w:pPr>
    <w:rPr>
      <w:rFonts w:ascii="Calibri" w:hAnsi="Calibri"/>
    </w:rPr>
  </w:style>
  <w:style w:styleId="Style_10_ch" w:type="character">
    <w:name w:val="Plain Text1"/>
    <w:basedOn w:val="Style_3_ch"/>
    <w:link w:val="Style_10"/>
    <w:rPr>
      <w:rFonts w:ascii="Calibri" w:hAnsi="Calibri"/>
    </w:rPr>
  </w:style>
  <w:style w:styleId="Style_11" w:type="paragraph">
    <w:name w:val="toc 6"/>
    <w:next w:val="Style_3"/>
    <w:link w:val="Style_11_ch"/>
    <w:uiPriority w:val="39"/>
    <w:pPr>
      <w:spacing w:after="160" w:line="264" w:lineRule="auto"/>
      <w:ind w:firstLine="0" w:left="1000"/>
    </w:pPr>
    <w:rPr>
      <w:rFonts w:ascii="XO Thames" w:hAnsi="XO Thames"/>
      <w:sz w:val="28"/>
    </w:rPr>
  </w:style>
  <w:style w:styleId="Style_11_ch" w:type="character">
    <w:name w:val="toc 6"/>
    <w:link w:val="Style_11"/>
    <w:rPr>
      <w:rFonts w:ascii="XO Thames" w:hAnsi="XO Thames"/>
      <w:sz w:val="28"/>
    </w:rPr>
  </w:style>
  <w:style w:styleId="Style_12" w:type="paragraph">
    <w:name w:val="toc 7"/>
    <w:next w:val="Style_3"/>
    <w:link w:val="Style_12_ch"/>
    <w:uiPriority w:val="39"/>
    <w:pPr>
      <w:spacing w:after="160" w:line="264" w:lineRule="auto"/>
      <w:ind w:firstLine="0" w:left="1200"/>
    </w:pPr>
    <w:rPr>
      <w:rFonts w:ascii="XO Thames" w:hAnsi="XO Thames"/>
      <w:sz w:val="28"/>
    </w:rPr>
  </w:style>
  <w:style w:styleId="Style_12_ch" w:type="character">
    <w:name w:val="toc 7"/>
    <w:link w:val="Style_12"/>
    <w:rPr>
      <w:rFonts w:ascii="XO Thames" w:hAnsi="XO Thames"/>
      <w:sz w:val="28"/>
    </w:rPr>
  </w:style>
  <w:style w:styleId="Style_13" w:type="paragraph">
    <w:name w:val="header"/>
    <w:basedOn w:val="Style_3"/>
    <w:link w:val="Style_13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3_ch" w:type="character">
    <w:name w:val="header"/>
    <w:basedOn w:val="Style_3_ch"/>
    <w:link w:val="Style_13"/>
  </w:style>
  <w:style w:styleId="Style_14" w:type="paragraph">
    <w:name w:val="Contents 2"/>
    <w:link w:val="Style_14_ch"/>
    <w:rPr>
      <w:rFonts w:ascii="XO Thames" w:hAnsi="XO Thames"/>
      <w:sz w:val="28"/>
    </w:rPr>
  </w:style>
  <w:style w:styleId="Style_14_ch" w:type="character">
    <w:name w:val="Contents 2"/>
    <w:link w:val="Style_14"/>
    <w:rPr>
      <w:rFonts w:ascii="XO Thames" w:hAnsi="XO Thames"/>
      <w:sz w:val="28"/>
    </w:rPr>
  </w:style>
  <w:style w:styleId="Style_15" w:type="paragraph">
    <w:name w:val="heading 3"/>
    <w:next w:val="Style_3"/>
    <w:link w:val="Style_15_ch"/>
    <w:uiPriority w:val="9"/>
    <w:qFormat/>
    <w:pPr>
      <w:spacing w:after="120" w:before="120" w:line="264" w:lineRule="auto"/>
      <w:ind/>
      <w:jc w:val="both"/>
      <w:outlineLvl w:val="2"/>
    </w:pPr>
    <w:rPr>
      <w:rFonts w:ascii="XO Thames" w:hAnsi="XO Thames"/>
      <w:b w:val="1"/>
      <w:sz w:val="26"/>
    </w:rPr>
  </w:style>
  <w:style w:styleId="Style_15_ch" w:type="character">
    <w:name w:val="heading 3"/>
    <w:link w:val="Style_15"/>
    <w:rPr>
      <w:rFonts w:ascii="XO Thames" w:hAnsi="XO Thames"/>
      <w:b w:val="1"/>
      <w:sz w:val="26"/>
    </w:rPr>
  </w:style>
  <w:style w:styleId="Style_16" w:type="paragraph">
    <w:name w:val="Содержимое врезки"/>
    <w:basedOn w:val="Style_3"/>
    <w:link w:val="Style_16_ch"/>
  </w:style>
  <w:style w:styleId="Style_16_ch" w:type="character">
    <w:name w:val="Содержимое врезки"/>
    <w:basedOn w:val="Style_3_ch"/>
    <w:link w:val="Style_16"/>
  </w:style>
  <w:style w:styleId="Style_17" w:type="paragraph">
    <w:name w:val="Contents 5"/>
    <w:link w:val="Style_17_ch"/>
    <w:rPr>
      <w:rFonts w:ascii="XO Thames" w:hAnsi="XO Thames"/>
      <w:sz w:val="28"/>
    </w:rPr>
  </w:style>
  <w:style w:styleId="Style_17_ch" w:type="character">
    <w:name w:val="Contents 5"/>
    <w:link w:val="Style_17"/>
    <w:rPr>
      <w:rFonts w:ascii="XO Thames" w:hAnsi="XO Thames"/>
      <w:sz w:val="28"/>
    </w:rPr>
  </w:style>
  <w:style w:styleId="Style_18" w:type="paragraph">
    <w:name w:val="caption"/>
    <w:basedOn w:val="Style_3"/>
    <w:link w:val="Style_18_ch"/>
    <w:pPr>
      <w:spacing w:after="120" w:before="120"/>
      <w:ind/>
    </w:pPr>
    <w:rPr>
      <w:i w:val="1"/>
      <w:sz w:val="24"/>
    </w:rPr>
  </w:style>
  <w:style w:styleId="Style_18_ch" w:type="character">
    <w:name w:val="caption"/>
    <w:basedOn w:val="Style_3_ch"/>
    <w:link w:val="Style_18"/>
    <w:rPr>
      <w:i w:val="1"/>
      <w:sz w:val="24"/>
    </w:rPr>
  </w:style>
  <w:style w:styleId="Style_19" w:type="paragraph">
    <w:name w:val="Заголовок1"/>
    <w:basedOn w:val="Style_20"/>
    <w:link w:val="Style_19_ch"/>
    <w:rPr>
      <w:rFonts w:ascii="Open Sans" w:hAnsi="Open Sans"/>
      <w:color w:val="000000"/>
      <w:spacing w:val="0"/>
      <w:sz w:val="28"/>
    </w:rPr>
  </w:style>
  <w:style w:styleId="Style_19_ch" w:type="character">
    <w:name w:val="Заголовок1"/>
    <w:basedOn w:val="Style_20_ch"/>
    <w:link w:val="Style_19"/>
    <w:rPr>
      <w:rFonts w:ascii="Open Sans" w:hAnsi="Open Sans"/>
      <w:color w:val="000000"/>
      <w:spacing w:val="0"/>
      <w:sz w:val="28"/>
    </w:rPr>
  </w:style>
  <w:style w:styleId="Style_21" w:type="paragraph">
    <w:name w:val="toc 3"/>
    <w:next w:val="Style_3"/>
    <w:link w:val="Style_21_ch"/>
    <w:uiPriority w:val="39"/>
    <w:pPr>
      <w:spacing w:after="160" w:line="264" w:lineRule="auto"/>
      <w:ind w:firstLine="0" w:left="400"/>
    </w:pPr>
    <w:rPr>
      <w:rFonts w:ascii="XO Thames" w:hAnsi="XO Thames"/>
      <w:sz w:val="28"/>
    </w:rPr>
  </w:style>
  <w:style w:styleId="Style_21_ch" w:type="character">
    <w:name w:val="toc 3"/>
    <w:link w:val="Style_21"/>
    <w:rPr>
      <w:rFonts w:ascii="XO Thames" w:hAnsi="XO Thames"/>
      <w:sz w:val="28"/>
    </w:rPr>
  </w:style>
  <w:style w:styleId="Style_22" w:type="paragraph">
    <w:name w:val="Balloon Text1"/>
    <w:basedOn w:val="Style_3"/>
    <w:link w:val="Style_22_ch"/>
    <w:pPr>
      <w:spacing w:after="0" w:line="240" w:lineRule="auto"/>
      <w:ind/>
    </w:pPr>
    <w:rPr>
      <w:rFonts w:ascii="Segoe UI" w:hAnsi="Segoe UI"/>
      <w:sz w:val="18"/>
    </w:rPr>
  </w:style>
  <w:style w:styleId="Style_22_ch" w:type="character">
    <w:name w:val="Balloon Text1"/>
    <w:basedOn w:val="Style_3_ch"/>
    <w:link w:val="Style_22"/>
    <w:rPr>
      <w:rFonts w:ascii="Segoe UI" w:hAnsi="Segoe UI"/>
      <w:sz w:val="18"/>
    </w:rPr>
  </w:style>
  <w:style w:styleId="Style_23" w:type="paragraph">
    <w:name w:val="Contents 6"/>
    <w:link w:val="Style_23_ch"/>
    <w:rPr>
      <w:rFonts w:ascii="XO Thames" w:hAnsi="XO Thames"/>
      <w:sz w:val="28"/>
    </w:rPr>
  </w:style>
  <w:style w:styleId="Style_23_ch" w:type="character">
    <w:name w:val="Contents 6"/>
    <w:link w:val="Style_23"/>
    <w:rPr>
      <w:rFonts w:ascii="XO Thames" w:hAnsi="XO Thames"/>
      <w:sz w:val="28"/>
    </w:rPr>
  </w:style>
  <w:style w:styleId="Style_24" w:type="paragraph">
    <w:name w:val="Contents 4"/>
    <w:link w:val="Style_24_ch"/>
    <w:rPr>
      <w:rFonts w:ascii="XO Thames" w:hAnsi="XO Thames"/>
      <w:sz w:val="28"/>
    </w:rPr>
  </w:style>
  <w:style w:styleId="Style_24_ch" w:type="character">
    <w:name w:val="Contents 4"/>
    <w:link w:val="Style_24"/>
    <w:rPr>
      <w:rFonts w:ascii="XO Thames" w:hAnsi="XO Thames"/>
      <w:sz w:val="28"/>
    </w:rPr>
  </w:style>
  <w:style w:styleId="Style_25" w:type="paragraph">
    <w:name w:val="Гиперссылка11"/>
    <w:basedOn w:val="Style_26"/>
    <w:link w:val="Style_25_ch"/>
    <w:rPr>
      <w:color w:themeColor="hyperlink" w:val="0563C1"/>
      <w:u w:val="single"/>
    </w:rPr>
  </w:style>
  <w:style w:styleId="Style_25_ch" w:type="character">
    <w:name w:val="Гиперссылка11"/>
    <w:basedOn w:val="Style_26_ch"/>
    <w:link w:val="Style_25"/>
    <w:rPr>
      <w:color w:themeColor="hyperlink" w:val="0563C1"/>
      <w:u w:val="single"/>
    </w:rPr>
  </w:style>
  <w:style w:styleId="Style_27" w:type="paragraph">
    <w:name w:val="heading 5"/>
    <w:next w:val="Style_3"/>
    <w:link w:val="Style_27_ch"/>
    <w:uiPriority w:val="9"/>
    <w:qFormat/>
    <w:pPr>
      <w:spacing w:after="120" w:before="120" w:line="264" w:lineRule="auto"/>
      <w:ind/>
      <w:jc w:val="both"/>
      <w:outlineLvl w:val="4"/>
    </w:pPr>
    <w:rPr>
      <w:rFonts w:ascii="XO Thames" w:hAnsi="XO Thames"/>
      <w:b w:val="1"/>
    </w:rPr>
  </w:style>
  <w:style w:styleId="Style_27_ch" w:type="character">
    <w:name w:val="heading 5"/>
    <w:link w:val="Style_27"/>
    <w:rPr>
      <w:rFonts w:ascii="XO Thames" w:hAnsi="XO Thames"/>
      <w:b w:val="1"/>
    </w:rPr>
  </w:style>
  <w:style w:styleId="Style_28" w:type="paragraph">
    <w:name w:val="Contents 1"/>
    <w:link w:val="Style_28_ch"/>
    <w:rPr>
      <w:rFonts w:ascii="XO Thames" w:hAnsi="XO Thames"/>
      <w:b w:val="1"/>
      <w:sz w:val="28"/>
    </w:rPr>
  </w:style>
  <w:style w:styleId="Style_28_ch" w:type="character">
    <w:name w:val="Contents 1"/>
    <w:link w:val="Style_28"/>
    <w:rPr>
      <w:rFonts w:ascii="XO Thames" w:hAnsi="XO Thames"/>
      <w:b w:val="1"/>
      <w:sz w:val="28"/>
    </w:rPr>
  </w:style>
  <w:style w:styleId="Style_29" w:type="paragraph">
    <w:name w:val="heading 1"/>
    <w:next w:val="Style_3"/>
    <w:link w:val="Style_29_ch"/>
    <w:uiPriority w:val="9"/>
    <w:qFormat/>
    <w:pPr>
      <w:spacing w:after="120" w:before="120" w:line="264" w:lineRule="auto"/>
      <w:ind/>
      <w:jc w:val="both"/>
      <w:outlineLvl w:val="0"/>
    </w:pPr>
    <w:rPr>
      <w:rFonts w:ascii="XO Thames" w:hAnsi="XO Thames"/>
      <w:b w:val="1"/>
      <w:sz w:val="32"/>
    </w:rPr>
  </w:style>
  <w:style w:styleId="Style_29_ch" w:type="character">
    <w:name w:val="heading 1"/>
    <w:link w:val="Style_29"/>
    <w:rPr>
      <w:rFonts w:ascii="XO Thames" w:hAnsi="XO Thames"/>
      <w:b w:val="1"/>
      <w:sz w:val="32"/>
    </w:rPr>
  </w:style>
  <w:style w:styleId="Style_30" w:type="paragraph">
    <w:name w:val="Hyperlink"/>
    <w:link w:val="Style_30_ch"/>
    <w:rPr>
      <w:color w:val="0000FF"/>
      <w:u w:val="single"/>
    </w:rPr>
  </w:style>
  <w:style w:styleId="Style_30_ch" w:type="character">
    <w:name w:val="Hyperlink"/>
    <w:link w:val="Style_30"/>
    <w:rPr>
      <w:color w:val="0000FF"/>
      <w:u w:val="single"/>
    </w:rPr>
  </w:style>
  <w:style w:styleId="Style_31" w:type="paragraph">
    <w:name w:val="Footnote"/>
    <w:link w:val="Style_31_ch"/>
    <w:pPr>
      <w:ind w:firstLine="851" w:left="0"/>
      <w:jc w:val="both"/>
    </w:pPr>
    <w:rPr>
      <w:rFonts w:ascii="XO Thames" w:hAnsi="XO Thames"/>
    </w:rPr>
  </w:style>
  <w:style w:styleId="Style_31_ch" w:type="character">
    <w:name w:val="Footnote"/>
    <w:link w:val="Style_31"/>
    <w:rPr>
      <w:rFonts w:ascii="XO Thames" w:hAnsi="XO Thames"/>
    </w:rPr>
  </w:style>
  <w:style w:styleId="Style_32" w:type="paragraph">
    <w:name w:val="toc 1"/>
    <w:next w:val="Style_3"/>
    <w:link w:val="Style_32_ch"/>
    <w:uiPriority w:val="39"/>
    <w:pPr>
      <w:spacing w:after="160" w:line="264" w:lineRule="auto"/>
      <w:ind/>
    </w:pPr>
    <w:rPr>
      <w:rFonts w:ascii="XO Thames" w:hAnsi="XO Thames"/>
      <w:b w:val="1"/>
      <w:sz w:val="28"/>
    </w:rPr>
  </w:style>
  <w:style w:styleId="Style_32_ch" w:type="character">
    <w:name w:val="toc 1"/>
    <w:link w:val="Style_32"/>
    <w:rPr>
      <w:rFonts w:ascii="XO Thames" w:hAnsi="XO Thames"/>
      <w:b w:val="1"/>
      <w:sz w:val="28"/>
    </w:rPr>
  </w:style>
  <w:style w:styleId="Style_33" w:type="paragraph">
    <w:name w:val="Header and Footer"/>
    <w:link w:val="Style_33_ch"/>
    <w:rPr>
      <w:rFonts w:ascii="XO Thames" w:hAnsi="XO Thames"/>
      <w:sz w:val="20"/>
    </w:rPr>
  </w:style>
  <w:style w:styleId="Style_33_ch" w:type="character">
    <w:name w:val="Header and Footer"/>
    <w:link w:val="Style_33"/>
    <w:rPr>
      <w:rFonts w:ascii="XO Thames" w:hAnsi="XO Thames"/>
      <w:sz w:val="20"/>
    </w:rPr>
  </w:style>
  <w:style w:styleId="Style_34" w:type="paragraph">
    <w:name w:val="Contents 8"/>
    <w:link w:val="Style_34_ch"/>
    <w:rPr>
      <w:rFonts w:ascii="XO Thames" w:hAnsi="XO Thames"/>
      <w:sz w:val="28"/>
    </w:rPr>
  </w:style>
  <w:style w:styleId="Style_34_ch" w:type="character">
    <w:name w:val="Contents 8"/>
    <w:link w:val="Style_34"/>
    <w:rPr>
      <w:rFonts w:ascii="XO Thames" w:hAnsi="XO Thames"/>
      <w:sz w:val="28"/>
    </w:rPr>
  </w:style>
  <w:style w:styleId="Style_35" w:type="paragraph">
    <w:name w:val="Heading 41"/>
    <w:link w:val="Style_35_ch"/>
    <w:rPr>
      <w:rFonts w:ascii="XO Thames" w:hAnsi="XO Thames"/>
      <w:b w:val="1"/>
      <w:sz w:val="24"/>
    </w:rPr>
  </w:style>
  <w:style w:styleId="Style_35_ch" w:type="character">
    <w:name w:val="Heading 41"/>
    <w:link w:val="Style_35"/>
    <w:rPr>
      <w:rFonts w:ascii="XO Thames" w:hAnsi="XO Thames"/>
      <w:b w:val="1"/>
      <w:sz w:val="24"/>
    </w:rPr>
  </w:style>
  <w:style w:styleId="Style_36" w:type="paragraph">
    <w:name w:val="Body Text"/>
    <w:basedOn w:val="Style_3"/>
    <w:link w:val="Style_36_ch"/>
    <w:pPr>
      <w:spacing w:after="140" w:line="276" w:lineRule="auto"/>
      <w:ind/>
    </w:pPr>
  </w:style>
  <w:style w:styleId="Style_36_ch" w:type="character">
    <w:name w:val="Body Text"/>
    <w:basedOn w:val="Style_3_ch"/>
    <w:link w:val="Style_36"/>
  </w:style>
  <w:style w:styleId="Style_37" w:type="paragraph">
    <w:name w:val="Колонтитул"/>
    <w:link w:val="Style_37_ch"/>
    <w:pPr>
      <w:spacing w:after="160"/>
      <w:ind/>
      <w:jc w:val="both"/>
    </w:pPr>
    <w:rPr>
      <w:rFonts w:ascii="XO Thames" w:hAnsi="XO Thames"/>
      <w:sz w:val="20"/>
    </w:rPr>
  </w:style>
  <w:style w:styleId="Style_37_ch" w:type="character">
    <w:name w:val="Колонтитул"/>
    <w:link w:val="Style_37"/>
    <w:rPr>
      <w:rFonts w:ascii="XO Thames" w:hAnsi="XO Thames"/>
      <w:sz w:val="20"/>
    </w:rPr>
  </w:style>
  <w:style w:styleId="Style_38" w:type="paragraph">
    <w:name w:val="toc 9"/>
    <w:next w:val="Style_3"/>
    <w:link w:val="Style_38_ch"/>
    <w:uiPriority w:val="39"/>
    <w:pPr>
      <w:spacing w:after="160" w:line="264" w:lineRule="auto"/>
      <w:ind w:firstLine="0" w:left="1600"/>
    </w:pPr>
    <w:rPr>
      <w:rFonts w:ascii="XO Thames" w:hAnsi="XO Thames"/>
      <w:sz w:val="28"/>
    </w:rPr>
  </w:style>
  <w:style w:styleId="Style_38_ch" w:type="character">
    <w:name w:val="toc 9"/>
    <w:link w:val="Style_38"/>
    <w:rPr>
      <w:rFonts w:ascii="XO Thames" w:hAnsi="XO Thames"/>
      <w:sz w:val="28"/>
    </w:rPr>
  </w:style>
  <w:style w:styleId="Style_20" w:type="paragraph">
    <w:name w:val="Обычный1"/>
    <w:link w:val="Style_20_ch"/>
    <w:rPr>
      <w:rFonts w:asciiTheme="minorAscii" w:hAnsiTheme="minorHAnsi"/>
      <w:color w:val="000000"/>
      <w:spacing w:val="0"/>
      <w:sz w:val="22"/>
    </w:rPr>
  </w:style>
  <w:style w:styleId="Style_20_ch" w:type="character">
    <w:name w:val="Обычный1"/>
    <w:link w:val="Style_20"/>
    <w:rPr>
      <w:rFonts w:asciiTheme="minorAscii" w:hAnsiTheme="minorHAnsi"/>
      <w:color w:val="000000"/>
      <w:spacing w:val="0"/>
      <w:sz w:val="22"/>
    </w:rPr>
  </w:style>
  <w:style w:styleId="Style_39" w:type="paragraph">
    <w:name w:val="Heading 21"/>
    <w:link w:val="Style_39_ch"/>
    <w:rPr>
      <w:rFonts w:ascii="XO Thames" w:hAnsi="XO Thames"/>
      <w:b w:val="1"/>
      <w:sz w:val="28"/>
    </w:rPr>
  </w:style>
  <w:style w:styleId="Style_39_ch" w:type="character">
    <w:name w:val="Heading 21"/>
    <w:link w:val="Style_39"/>
    <w:rPr>
      <w:rFonts w:ascii="XO Thames" w:hAnsi="XO Thames"/>
      <w:b w:val="1"/>
      <w:sz w:val="28"/>
    </w:rPr>
  </w:style>
  <w:style w:styleId="Style_40" w:type="paragraph">
    <w:name w:val="Гиперссылка1"/>
    <w:link w:val="Style_40_ch"/>
    <w:rPr>
      <w:color w:val="0000FF"/>
      <w:u w:val="single"/>
    </w:rPr>
  </w:style>
  <w:style w:styleId="Style_40_ch" w:type="character">
    <w:name w:val="Гиперссылка1"/>
    <w:link w:val="Style_40"/>
    <w:rPr>
      <w:color w:val="0000FF"/>
      <w:u w:val="single"/>
    </w:rPr>
  </w:style>
  <w:style w:styleId="Style_41" w:type="paragraph">
    <w:name w:val="Contents 3"/>
    <w:link w:val="Style_41_ch"/>
    <w:rPr>
      <w:rFonts w:ascii="XO Thames" w:hAnsi="XO Thames"/>
      <w:sz w:val="28"/>
    </w:rPr>
  </w:style>
  <w:style w:styleId="Style_41_ch" w:type="character">
    <w:name w:val="Contents 3"/>
    <w:link w:val="Style_41"/>
    <w:rPr>
      <w:rFonts w:ascii="XO Thames" w:hAnsi="XO Thames"/>
      <w:sz w:val="28"/>
    </w:rPr>
  </w:style>
  <w:style w:styleId="Style_42" w:type="paragraph">
    <w:name w:val="Internet link"/>
    <w:link w:val="Style_42_ch"/>
    <w:pPr>
      <w:spacing w:after="160" w:line="264" w:lineRule="auto"/>
      <w:ind/>
    </w:pPr>
    <w:rPr>
      <w:rFonts w:ascii="Calibri" w:hAnsi="Calibri"/>
      <w:color w:val="0000FF"/>
      <w:u w:val="single"/>
    </w:rPr>
  </w:style>
  <w:style w:styleId="Style_42_ch" w:type="character">
    <w:name w:val="Internet link"/>
    <w:link w:val="Style_42"/>
    <w:rPr>
      <w:rFonts w:ascii="Calibri" w:hAnsi="Calibri"/>
      <w:color w:val="0000FF"/>
      <w:u w:val="single"/>
    </w:rPr>
  </w:style>
  <w:style w:styleId="Style_43" w:type="paragraph">
    <w:name w:val="toc 8"/>
    <w:next w:val="Style_3"/>
    <w:link w:val="Style_43_ch"/>
    <w:uiPriority w:val="39"/>
    <w:pPr>
      <w:spacing w:after="160" w:line="264" w:lineRule="auto"/>
      <w:ind w:firstLine="0" w:left="1400"/>
    </w:pPr>
    <w:rPr>
      <w:rFonts w:ascii="XO Thames" w:hAnsi="XO Thames"/>
      <w:sz w:val="28"/>
    </w:rPr>
  </w:style>
  <w:style w:styleId="Style_43_ch" w:type="character">
    <w:name w:val="toc 8"/>
    <w:link w:val="Style_43"/>
    <w:rPr>
      <w:rFonts w:ascii="XO Thames" w:hAnsi="XO Thames"/>
      <w:sz w:val="28"/>
    </w:rPr>
  </w:style>
  <w:style w:styleId="Style_44" w:type="paragraph">
    <w:name w:val="Heading 51"/>
    <w:link w:val="Style_44_ch"/>
    <w:rPr>
      <w:rFonts w:ascii="XO Thames" w:hAnsi="XO Thames"/>
      <w:b w:val="1"/>
    </w:rPr>
  </w:style>
  <w:style w:styleId="Style_44_ch" w:type="character">
    <w:name w:val="Heading 51"/>
    <w:link w:val="Style_44"/>
    <w:rPr>
      <w:rFonts w:ascii="XO Thames" w:hAnsi="XO Thames"/>
      <w:b w:val="1"/>
    </w:rPr>
  </w:style>
  <w:style w:styleId="Style_45" w:type="paragraph">
    <w:name w:val="List"/>
    <w:basedOn w:val="Style_36"/>
    <w:link w:val="Style_45_ch"/>
  </w:style>
  <w:style w:styleId="Style_45_ch" w:type="character">
    <w:name w:val="List"/>
    <w:basedOn w:val="Style_36_ch"/>
    <w:link w:val="Style_45"/>
  </w:style>
  <w:style w:styleId="Style_46" w:type="paragraph">
    <w:name w:val="Title1"/>
    <w:link w:val="Style_46_ch"/>
    <w:rPr>
      <w:rFonts w:ascii="XO Thames" w:hAnsi="XO Thames"/>
      <w:b w:val="1"/>
      <w:caps w:val="1"/>
      <w:sz w:val="40"/>
    </w:rPr>
  </w:style>
  <w:style w:styleId="Style_46_ch" w:type="character">
    <w:name w:val="Title1"/>
    <w:link w:val="Style_46"/>
    <w:rPr>
      <w:rFonts w:ascii="XO Thames" w:hAnsi="XO Thames"/>
      <w:b w:val="1"/>
      <w:caps w:val="1"/>
      <w:sz w:val="40"/>
    </w:rPr>
  </w:style>
  <w:style w:styleId="Style_47" w:type="paragraph">
    <w:name w:val="toc 5"/>
    <w:next w:val="Style_3"/>
    <w:link w:val="Style_47_ch"/>
    <w:uiPriority w:val="39"/>
    <w:pPr>
      <w:spacing w:after="160" w:line="264" w:lineRule="auto"/>
      <w:ind w:firstLine="0" w:left="800"/>
    </w:pPr>
    <w:rPr>
      <w:rFonts w:ascii="XO Thames" w:hAnsi="XO Thames"/>
      <w:sz w:val="28"/>
    </w:rPr>
  </w:style>
  <w:style w:styleId="Style_47_ch" w:type="character">
    <w:name w:val="toc 5"/>
    <w:link w:val="Style_47"/>
    <w:rPr>
      <w:rFonts w:ascii="XO Thames" w:hAnsi="XO Thames"/>
      <w:sz w:val="28"/>
    </w:rPr>
  </w:style>
  <w:style w:styleId="Style_48" w:type="paragraph">
    <w:name w:val="Heading 31"/>
    <w:link w:val="Style_48_ch"/>
    <w:rPr>
      <w:rFonts w:ascii="XO Thames" w:hAnsi="XO Thames"/>
      <w:b w:val="1"/>
      <w:sz w:val="26"/>
    </w:rPr>
  </w:style>
  <w:style w:styleId="Style_48_ch" w:type="character">
    <w:name w:val="Heading 31"/>
    <w:link w:val="Style_48"/>
    <w:rPr>
      <w:rFonts w:ascii="XO Thames" w:hAnsi="XO Thames"/>
      <w:b w:val="1"/>
      <w:sz w:val="26"/>
    </w:rPr>
  </w:style>
  <w:style w:styleId="Style_49" w:type="paragraph">
    <w:name w:val="index heading"/>
    <w:basedOn w:val="Style_3"/>
    <w:link w:val="Style_49_ch"/>
  </w:style>
  <w:style w:styleId="Style_49_ch" w:type="character">
    <w:name w:val="index heading"/>
    <w:basedOn w:val="Style_3_ch"/>
    <w:link w:val="Style_49"/>
  </w:style>
  <w:style w:styleId="Style_26" w:type="paragraph">
    <w:name w:val="Основной шрифт абзаца11"/>
    <w:link w:val="Style_26_ch"/>
    <w:pPr>
      <w:spacing w:after="160" w:line="264" w:lineRule="auto"/>
      <w:ind/>
    </w:pPr>
  </w:style>
  <w:style w:styleId="Style_26_ch" w:type="character">
    <w:name w:val="Основной шрифт абзаца11"/>
    <w:link w:val="Style_26"/>
  </w:style>
  <w:style w:styleId="Style_50" w:type="paragraph">
    <w:name w:val="footer"/>
    <w:basedOn w:val="Style_3"/>
    <w:link w:val="Style_50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50_ch" w:type="character">
    <w:name w:val="footer"/>
    <w:basedOn w:val="Style_3_ch"/>
    <w:link w:val="Style_50"/>
    <w:rPr>
      <w:rFonts w:ascii="Times New Roman" w:hAnsi="Times New Roman"/>
      <w:sz w:val="28"/>
    </w:rPr>
  </w:style>
  <w:style w:styleId="Style_51" w:type="paragraph">
    <w:name w:val="Contents 7"/>
    <w:link w:val="Style_51_ch"/>
    <w:rPr>
      <w:rFonts w:ascii="XO Thames" w:hAnsi="XO Thames"/>
      <w:sz w:val="28"/>
    </w:rPr>
  </w:style>
  <w:style w:styleId="Style_51_ch" w:type="character">
    <w:name w:val="Contents 7"/>
    <w:link w:val="Style_51"/>
    <w:rPr>
      <w:rFonts w:ascii="XO Thames" w:hAnsi="XO Thames"/>
      <w:sz w:val="28"/>
    </w:rPr>
  </w:style>
  <w:style w:styleId="Style_52" w:type="paragraph">
    <w:name w:val="Subtitle1"/>
    <w:link w:val="Style_52_ch"/>
    <w:rPr>
      <w:rFonts w:ascii="XO Thames" w:hAnsi="XO Thames"/>
      <w:i w:val="1"/>
      <w:sz w:val="24"/>
    </w:rPr>
  </w:style>
  <w:style w:styleId="Style_52_ch" w:type="character">
    <w:name w:val="Subtitle1"/>
    <w:link w:val="Style_52"/>
    <w:rPr>
      <w:rFonts w:ascii="XO Thames" w:hAnsi="XO Thames"/>
      <w:i w:val="1"/>
      <w:sz w:val="24"/>
    </w:rPr>
  </w:style>
  <w:style w:styleId="Style_53" w:type="paragraph">
    <w:name w:val="Subtitle"/>
    <w:next w:val="Style_3"/>
    <w:link w:val="Style_53_ch"/>
    <w:uiPriority w:val="11"/>
    <w:qFormat/>
    <w:pPr>
      <w:spacing w:after="160" w:line="264" w:lineRule="auto"/>
      <w:ind/>
      <w:jc w:val="both"/>
    </w:pPr>
    <w:rPr>
      <w:rFonts w:ascii="XO Thames" w:hAnsi="XO Thames"/>
      <w:i w:val="1"/>
      <w:sz w:val="24"/>
    </w:rPr>
  </w:style>
  <w:style w:styleId="Style_53_ch" w:type="character">
    <w:name w:val="Subtitle"/>
    <w:link w:val="Style_53"/>
    <w:rPr>
      <w:rFonts w:ascii="XO Thames" w:hAnsi="XO Thames"/>
      <w:i w:val="1"/>
      <w:sz w:val="24"/>
    </w:rPr>
  </w:style>
  <w:style w:styleId="Style_54" w:type="paragraph">
    <w:name w:val="Обычный11"/>
    <w:link w:val="Style_54_ch"/>
    <w:pPr>
      <w:spacing w:after="160" w:line="264" w:lineRule="auto"/>
      <w:ind/>
    </w:pPr>
  </w:style>
  <w:style w:styleId="Style_54_ch" w:type="character">
    <w:name w:val="Обычный11"/>
    <w:link w:val="Style_54"/>
  </w:style>
  <w:style w:styleId="Style_55" w:type="paragraph">
    <w:name w:val="Header1"/>
    <w:link w:val="Style_55_ch"/>
  </w:style>
  <w:style w:styleId="Style_55_ch" w:type="character">
    <w:name w:val="Header1"/>
    <w:link w:val="Style_55"/>
  </w:style>
  <w:style w:styleId="Style_56" w:type="paragraph">
    <w:name w:val="Title"/>
    <w:next w:val="Style_36"/>
    <w:link w:val="Style_56_ch"/>
    <w:uiPriority w:val="10"/>
    <w:qFormat/>
    <w:pPr>
      <w:spacing w:after="567" w:before="567" w:line="264" w:lineRule="auto"/>
      <w:ind/>
      <w:jc w:val="center"/>
    </w:pPr>
    <w:rPr>
      <w:rFonts w:ascii="XO Thames" w:hAnsi="XO Thames"/>
      <w:b w:val="1"/>
      <w:caps w:val="1"/>
      <w:sz w:val="40"/>
    </w:rPr>
  </w:style>
  <w:style w:styleId="Style_56_ch" w:type="character">
    <w:name w:val="Title"/>
    <w:link w:val="Style_56"/>
    <w:rPr>
      <w:rFonts w:ascii="XO Thames" w:hAnsi="XO Thames"/>
      <w:b w:val="1"/>
      <w:caps w:val="1"/>
      <w:sz w:val="40"/>
    </w:rPr>
  </w:style>
  <w:style w:styleId="Style_57" w:type="paragraph">
    <w:name w:val="heading 4"/>
    <w:next w:val="Style_3"/>
    <w:link w:val="Style_57_ch"/>
    <w:uiPriority w:val="9"/>
    <w:qFormat/>
    <w:pPr>
      <w:spacing w:after="120" w:before="120" w:line="264" w:lineRule="auto"/>
      <w:ind/>
      <w:jc w:val="both"/>
      <w:outlineLvl w:val="3"/>
    </w:pPr>
    <w:rPr>
      <w:rFonts w:ascii="XO Thames" w:hAnsi="XO Thames"/>
      <w:b w:val="1"/>
      <w:sz w:val="24"/>
    </w:rPr>
  </w:style>
  <w:style w:styleId="Style_57_ch" w:type="character">
    <w:name w:val="heading 4"/>
    <w:link w:val="Style_57"/>
    <w:rPr>
      <w:rFonts w:ascii="XO Thames" w:hAnsi="XO Thames"/>
      <w:b w:val="1"/>
      <w:sz w:val="24"/>
    </w:rPr>
  </w:style>
  <w:style w:styleId="Style_58" w:type="paragraph">
    <w:name w:val="Contents 9"/>
    <w:link w:val="Style_58_ch"/>
    <w:rPr>
      <w:rFonts w:ascii="XO Thames" w:hAnsi="XO Thames"/>
      <w:sz w:val="28"/>
    </w:rPr>
  </w:style>
  <w:style w:styleId="Style_58_ch" w:type="character">
    <w:name w:val="Contents 9"/>
    <w:link w:val="Style_58"/>
    <w:rPr>
      <w:rFonts w:ascii="XO Thames" w:hAnsi="XO Thames"/>
      <w:sz w:val="28"/>
    </w:rPr>
  </w:style>
  <w:style w:styleId="Style_59" w:type="paragraph">
    <w:name w:val="heading 2"/>
    <w:next w:val="Style_3"/>
    <w:link w:val="Style_59_ch"/>
    <w:uiPriority w:val="9"/>
    <w:qFormat/>
    <w:pPr>
      <w:spacing w:after="120" w:before="120" w:line="264" w:lineRule="auto"/>
      <w:ind/>
      <w:jc w:val="both"/>
      <w:outlineLvl w:val="1"/>
    </w:pPr>
    <w:rPr>
      <w:rFonts w:ascii="XO Thames" w:hAnsi="XO Thames"/>
      <w:b w:val="1"/>
      <w:sz w:val="28"/>
    </w:rPr>
  </w:style>
  <w:style w:styleId="Style_59_ch" w:type="character">
    <w:name w:val="heading 2"/>
    <w:link w:val="Style_59"/>
    <w:rPr>
      <w:rFonts w:ascii="XO Thames" w:hAnsi="XO Thames"/>
      <w:b w:val="1"/>
      <w:sz w:val="28"/>
    </w:rPr>
  </w:style>
  <w:style w:styleId="Style_60" w:type="paragraph">
    <w:name w:val="Добавленный текст"/>
    <w:link w:val="Style_60_ch"/>
    <w:rPr>
      <w:color w:val="000000"/>
    </w:rPr>
  </w:style>
  <w:style w:styleId="Style_60_ch" w:type="character">
    <w:name w:val="Добавленный текст"/>
    <w:link w:val="Style_60"/>
    <w:rPr>
      <w:color w:val="000000"/>
    </w:rPr>
  </w:style>
  <w:style w:styleId="Style_61" w:type="paragraph">
    <w:name w:val="Default Paragraph Font1"/>
    <w:link w:val="Style_61_ch"/>
    <w:pPr>
      <w:spacing w:after="160" w:line="264" w:lineRule="auto"/>
      <w:ind/>
    </w:pPr>
  </w:style>
  <w:style w:styleId="Style_61_ch" w:type="character">
    <w:name w:val="Default Paragraph Font1"/>
    <w:link w:val="Style_61"/>
  </w:style>
  <w:style w:styleId="Style_62" w:type="table">
    <w:name w:val="Сетка таблицы1"/>
    <w:basedOn w:val="Style_1"/>
    <w:rPr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" w:type="table">
    <w:name w:val="Table Grid"/>
    <w:basedOn w:val="Style_1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63" w:type="table">
    <w:name w:val="Сетка таблицы2"/>
    <w:basedOn w:val="Style_1"/>
    <w:rPr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0" Target="numbering.xml" Type="http://schemas.openxmlformats.org/officeDocument/2006/relationships/numbering"/>
  <Relationship Id="rId9" Target="theme/theme1.xml" Type="http://schemas.openxmlformats.org/officeDocument/2006/relationships/theme"/>
  <Relationship Id="rId8" Target="webSettings.xml" Type="http://schemas.openxmlformats.org/officeDocument/2006/relationships/webSettings"/>
  <Relationship Id="rId7" Target="stylesWithEffects.xml" Type="http://schemas.microsoft.com/office/2007/relationships/stylesWithEffects"/>
  <Relationship Id="rId6" Target="styles.xml" Type="http://schemas.openxmlformats.org/officeDocument/2006/relationships/styles"/>
  <Relationship Id="rId5" Target="settings.xml" Type="http://schemas.openxmlformats.org/officeDocument/2006/relationships/settings"/>
  <Relationship Id="rId4" Target="fontTable.xml" Type="http://schemas.openxmlformats.org/officeDocument/2006/relationships/fontTable"/>
  <Relationship Id="rId3" Target="media/2.emf" Type="http://schemas.openxmlformats.org/officeDocument/2006/relationships/image"/>
  <Relationship Id="rId2" Target="media/1.jpe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</a:gradFill>
      </a:fillStyleLst>
      <a:lnStyleLst>
        <a:ln w="6350">
          <a:prstDash val="solid"/>
        </a:ln>
        <a:ln w="12700">
          <a:prstDash val="solid"/>
        </a:ln>
        <a:ln w="19050"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2024-02-02T01:43:24Z</dcterms:modified>
</cp:coreProperties>
</file>