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5528" w:right="0"/>
        <w:jc w:val="right"/>
        <w:rPr>
          <w:color w:val="111111"/>
        </w:rPr>
      </w:pPr>
      <w:r>
        <w:rPr>
          <w:rFonts w:ascii="Times New Roman" w:hAnsi="Times New Roman"/>
          <w:b w:val="false"/>
          <w:color w:val="111111"/>
          <w:sz w:val="28"/>
          <w:shd w:fill="auto" w:val="clear"/>
        </w:rPr>
        <w:t>Приложение к письму Минэкономразвития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111111"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color w:val="111111"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111111"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color w:val="111111"/>
          <w:sz w:val="28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color w:val="111111"/>
        </w:rPr>
      </w:pPr>
      <w:r>
        <w:rPr>
          <w:rFonts w:ascii="Times New Roman" w:hAnsi="Times New Roman"/>
          <w:b/>
          <w:color w:val="111111"/>
          <w:sz w:val="28"/>
          <w:shd w:fill="auto" w:val="clear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color w:val="111111"/>
        </w:rPr>
      </w:pPr>
      <w:r>
        <w:rPr>
          <w:rFonts w:ascii="Times New Roman" w:hAnsi="Times New Roman"/>
          <w:b/>
          <w:color w:val="111111"/>
          <w:sz w:val="28"/>
          <w:shd w:fill="auto" w:val="clear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color w:val="111111"/>
        </w:rPr>
      </w:pPr>
      <w:r>
        <w:rPr>
          <w:rFonts w:ascii="Times New Roman" w:hAnsi="Times New Roman"/>
          <w:b/>
          <w:color w:val="111111"/>
          <w:sz w:val="28"/>
          <w:shd w:fill="auto" w:val="clear"/>
        </w:rPr>
        <w:t>за январь-март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111111"/>
          <w:sz w:val="28"/>
          <w:highlight w:val="none"/>
          <w:shd w:fill="auto" w:val="clear"/>
        </w:rPr>
      </w:pPr>
      <w:r>
        <w:rPr>
          <w:rFonts w:ascii="Times New Roman" w:hAnsi="Times New Roman"/>
          <w:color w:val="111111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В январе-марте 2024 года динамику роста показали: индекс промышленного производства, объем платных услуг населению, оборот розничной торговли, грузооборот и пассажирооборот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 xml:space="preserve">Вместе с тем, наблюдается снижение объема строительных работ, оборота оптовой торговли, оборота общественного питания.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Оборот организаций по всем видам экономической деятельности за январь-март 2024 года составил 138 136,7 млн рублей, вырос на 11,7% к январю-марту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Индекс промышленного производства составил 108,3%. Рост в добывающей промышленности – 21,3%, обрабатывающих производствах – 7,1%, в деятельности организаций по обеспечению электрической энергией, газом и паром; кондиционированию воздуха – 4,0%, по виду деятельности «водоснабжение, водоотведение, организация сбора и утилизации отходов, ликвидации загрязнений – 1,7%.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 xml:space="preserve">Предприятиями, осуществляющими добычу полезных ископаемых, отгружено продукции на 15 772,6 млн рублей (222,4% к январю-марту 2023 года в действующих ценах). Индекс производства составил 121,3%, что обусловлено увеличением добычи угля в 2 раза и металлических руд на 23,6%.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111111"/>
          <w:sz w:val="28"/>
          <w:szCs w:val="28"/>
          <w:u w:val="none"/>
          <w:shd w:fill="auto" w:val="clear"/>
          <w:em w:val="none"/>
        </w:rPr>
        <w:t>Объем добычи золота и серебра составил 137,5% и 192,9% соответственно к январю-марту 2023 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В обрабатывающих производствах отгружено товаров собственного производства на сумму 37 452,8 млн рублей или 119,2% по отношению к январю-марту 2023 года, индекс производства составил 107,1%.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Индекс производства пищевых продуктов составил 109,7% к январю-марту 2023 года, объем отгруженной продукции составил 35 397,0 млн рублей (122,0% к январю-марту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Рыбы переработанной и консервированной, ракообразных и моллюсков произведено 355,5 тыс. тонн или 114,6% к к январю-марту 2023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 xml:space="preserve">За январь-март 2024 года объем вылова водных биологических ресурсов составил </w:t>
      </w:r>
      <w:r>
        <w:rPr>
          <w:rFonts w:eastAsia="Times New Roman" w:cs="Times New Roman" w:ascii="Times New Roman" w:hAnsi="Times New Roman"/>
          <w:color w:val="111111"/>
          <w:sz w:val="28"/>
          <w:shd w:fill="auto" w:val="clear"/>
        </w:rPr>
        <w:t>501,3</w:t>
      </w:r>
      <w:r>
        <w:rPr>
          <w:rFonts w:ascii="Times New Roman" w:hAnsi="Times New Roman"/>
          <w:color w:val="111111"/>
          <w:sz w:val="28"/>
          <w:shd w:fill="auto" w:val="clear"/>
        </w:rPr>
        <w:t xml:space="preserve"> тыс. тонн, что на 11,0% больше, чем за январь-март 2023 года. </w:t>
      </w:r>
      <w:r>
        <w:rPr>
          <w:rFonts w:ascii="Times New Roman" w:hAnsi="Times New Roman"/>
          <w:color w:val="111111"/>
          <w:spacing w:val="0"/>
          <w:sz w:val="28"/>
          <w:shd w:fill="auto" w:val="clear"/>
        </w:rPr>
        <w:t xml:space="preserve">Увеличение объемов вылова отмечается: по кальмару в 13,5 раза, тихоокеанской сельди в 2,1 раза, наваге в 2,2 раза, палтуса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в 1,5 раза,</w:t>
      </w:r>
      <w:r>
        <w:rPr>
          <w:rFonts w:ascii="Times New Roman" w:hAnsi="Times New Roman"/>
          <w:color w:val="111111"/>
          <w:spacing w:val="0"/>
          <w:sz w:val="28"/>
          <w:shd w:fill="auto" w:val="clear"/>
        </w:rPr>
        <w:t xml:space="preserve"> терпугам в 1,4 раза, камбале +8,3%, минтаю +2,9% и треске +2,6%.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В секторе производства пищевых продуктов отмечено увеличение производства мяса и субпродуктов домашней птицы (+5,8%) и колбасных изделий (+1,5%).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Снижение отмечалось по переработке мяса крупного рогатого скота (–17,8%), производству мясных полуфабрикатов (–57,4%), кондитерских изделий (–27,8%), хлебобулочных изделий (–8,7%), молока (–2,8%).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Наблюдается снижение производства по ремонту и монтажу машин и оборудования (судоремонт) на 41,5% к январю-марту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На предприятиях по обеспечению электрической энергией, газом и паром отгружено продукции собственного производства на сумму 8 246,4 млн рублей, что составляет 100,3% к январю-марту 2023 года, индекс производства составил 104,0%. Производство электроэнергии увеличилось на 6,7% к январю-марту 2023 года и составило 632,9 млн кВт-ч. Отмечается рост потребления электрической энергии предприятиями сельского хозяйства, транспорта, связи, организациями жилищно-коммунального хозяйства и населением. Производство тепловой энергии, пара и горячей воды увеличилось на 1,1% (произведено 1 326,6 тыс. 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Объем отгруженных товаров предприятиями водоснабжения; водоотведения, сбора и утилизации отходов составил 1003,3 млн рублей (103,5% к январю-марту 2023 года), индекс производства составил 101,7%.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 Увеличено производство по забору, очистке и распределению воды на 1,0%, по сбору, обработке и утилизации отходов; обработке вторичного сырья на 4,8%. Отмечается снижение деятельности по сбору и обработке сточных вод на 2,1%.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>Производство продукции сельского хозяйства</w:t>
      </w:r>
      <w:r>
        <w:rPr>
          <w:rFonts w:ascii="Times New Roman" w:hAnsi="Times New Roman"/>
          <w:color w:val="111111"/>
          <w:sz w:val="28"/>
          <w:shd w:fill="auto" w:val="clear"/>
        </w:rPr>
        <w:t xml:space="preserve"> за 2023 год составило 11 650,3 млн рублей (96,5% к 2022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 xml:space="preserve">В январе-марте 2024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– </w:t>
      </w:r>
      <w:r>
        <w:rPr>
          <w:rFonts w:ascii="Times New Roman" w:hAnsi="Times New Roman"/>
          <w:color w:val="111111"/>
          <w:sz w:val="28"/>
          <w:shd w:fill="auto" w:val="clear"/>
        </w:rPr>
        <w:t>производство мяса составило 1,9 тыс. тонн (89,6% к январю-марту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– </w:t>
      </w:r>
      <w:r>
        <w:rPr>
          <w:rFonts w:ascii="Times New Roman" w:hAnsi="Times New Roman"/>
          <w:color w:val="111111"/>
          <w:sz w:val="28"/>
          <w:shd w:fill="auto" w:val="clear"/>
        </w:rPr>
        <w:t>производство молока составило 5,2 тыс. тонн (97,9% к январю-марту 2023 года). Средний надой молока на одну корову увеличился на 0,7%;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– </w:t>
      </w:r>
      <w:r>
        <w:rPr>
          <w:rFonts w:ascii="Times New Roman" w:hAnsi="Times New Roman"/>
          <w:color w:val="111111"/>
          <w:sz w:val="28"/>
          <w:shd w:fill="auto" w:val="clear"/>
        </w:rPr>
        <w:t>производство яйца увеличено на 3,5% к январю-марту 2023 года. Яйценоскость кур-несушек выросла на 11,8%.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 xml:space="preserve">Объём инвестиций в основной капитал за 2023 год составил 128 156,7 млн рублей или 124,1 % к 2022 году (в сопоставимой оценке).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Объём работ, выполненных по виду экономической деятельности «Строительство», в январе-марте 2024 года составил 5 090,2 млн рублей, что в сопоставимой оценке составляет 93,0% относительно показателя за аналогичный период предыдущего года.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 Снижение показателя обусловлено завершением основного объема строительных работ по таким объектам как краевая больница, здание аэровокзального комплекса и перехода подрядчиков к этапу отделочных работ.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zCs w:val="28"/>
          <w:shd w:fill="auto" w:val="clear"/>
        </w:rPr>
        <w:t>За январь-март 2024 года на территории Камчатского края введено в действие жилых домов (с учето</w:t>
      </w:r>
      <w:r>
        <w:rPr>
          <w:rFonts w:ascii="Times New Roman" w:hAnsi="Times New Roman"/>
          <w:color w:val="111111"/>
          <w:sz w:val="28"/>
          <w:shd w:fill="auto" w:val="clear"/>
        </w:rPr>
        <w:t xml:space="preserve">м жилых домов, построенных на земельных участках, предназначенных для ведения гражданами садоводства) общей площадью 24,3 тыс. кв. метров (93,9% к аналогичному периоду 2023 года).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>Весь объем введенного жилья (214 индивидуальных домов, в том числе за счет прироста площади) построен населением за счет собственных и привлеченных средств (128,8% к январю-марту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</w:t>
      </w:r>
      <w:r>
        <w:rPr>
          <w:color w:val="111111"/>
          <w:shd w:fill="auto" w:val="clear"/>
        </w:rPr>
        <w:t xml:space="preserve"> </w:t>
      </w:r>
      <w:r>
        <w:rPr>
          <w:rFonts w:ascii="Times New Roman" w:hAnsi="Times New Roman"/>
          <w:color w:val="111111"/>
          <w:sz w:val="28"/>
          <w:shd w:fill="auto" w:val="clear"/>
        </w:rPr>
        <w:t>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 xml:space="preserve">В 2024 году на реализацию инвестиционных мероприятий предусмотрены ассигнования за счет всех источников финансирования в сумме </w:t>
      </w:r>
      <w:r>
        <w:rPr>
          <w:rFonts w:eastAsia="Calibri" w:cs="Times New Roman" w:ascii="Times New Roman" w:hAnsi="Times New Roman"/>
          <w:b w:val="false"/>
          <w:bCs w:val="false"/>
          <w:color w:val="111111"/>
          <w:kern w:val="0"/>
          <w:sz w:val="28"/>
          <w:szCs w:val="28"/>
          <w:u w:val="none"/>
          <w:shd w:fill="auto" w:val="clear"/>
          <w:lang w:val="ru-RU" w:eastAsia="zh-CN" w:bidi="hi-IN"/>
        </w:rPr>
        <w:t>25 542,81 млн рублей, в том числе за счет средств федерального бюджета – 15 081,23 млн рублей (59,0%), краевого бюджета – 7 768,28 млн рублей (30,4%), Фонда развития территорий – 905,69 млн рублей (3,5%).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В рамках Инвестиционной программы ведется строительство значимых для Камчатского края объектов, в том числе: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zCs w:val="28"/>
          <w:shd w:fill="auto" w:val="clear"/>
        </w:rPr>
        <w:t>строительство Камчатской краевой больницы, техническая готовность объекта на отчетную дату составила 62%;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63,6%, общая готовность – 76,9%;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zCs w:val="28"/>
          <w:shd w:fill="auto" w:val="clear"/>
        </w:rPr>
        <w:t xml:space="preserve">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км. </w:t>
      </w:r>
      <w:r>
        <w:rPr>
          <w:rFonts w:ascii="Times New Roman" w:hAnsi="Times New Roman"/>
          <w:b w:val="false"/>
          <w:bCs w:val="false"/>
          <w:color w:val="111111"/>
          <w:sz w:val="28"/>
          <w:szCs w:val="28"/>
          <w:u w:val="none"/>
          <w:shd w:fill="auto" w:val="clear"/>
        </w:rPr>
        <w:t>окончание работ 30.10.2025</w:t>
      </w:r>
      <w:r>
        <w:rPr>
          <w:rFonts w:ascii="Times New Roman" w:hAnsi="Times New Roman"/>
          <w:color w:val="111111"/>
          <w:sz w:val="28"/>
          <w:szCs w:val="28"/>
          <w:shd w:fill="auto" w:val="clear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76,2%;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строительные работы на объекте «Водовод с водозабором в с. Тигиль», срок окончания работ по контракту 01.11.2024;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реализуется мероприятие «Регазификационный комплекс СПГ в Камчатском крае», мощность 446 тонн в год;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реализуются 18 мероприятий на проектные и строительные работы (фельдшерско-акушерские пункты, офисы врача общей практики и районные больницы);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37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строительство Учебного корпуса МБОУ «Елизовская средняя школа № 1  им. М.В. Ломоносова» на 500 учащихся, срок окончания работ 30.11.2025;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b w:val="false"/>
          <w:bCs w:val="false"/>
          <w:color w:val="111111"/>
          <w:sz w:val="28"/>
          <w:szCs w:val="28"/>
          <w:u w:val="none"/>
          <w:shd w:fill="auto" w:val="clear"/>
        </w:rPr>
        <w:t>работы по сохранению объекта культурного наследия регионального значения «Дом № 13 по ул. Красинцев в г. Петропавловске-Камчатском».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>Фактический объем финансирования за отчетный период составил 446,94 млн рублей (1,7% от предусмотренного объема), в том числе за счет средств федерального бюджета – 155,14 млн рублей (1,0%), за счет средств краевого бюджета – 216,76 млн рублей (2,8%), Фонда развития территорий – 73,55 млн рублей (8,1%).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>Освоение на 01.04.2024 составило 462,17 млн рублей (1,8% от предусмотренного объема), в том числе за счет средств федерального бюджета – 261,18 млн рублей (1,7%), за счет средств краевого бюджета – 127,36 млн рублей (1,6%), Фонда развития территорий – 73,55 млн рублей (8,1%).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В секторе потребительского рынка в январе-марте 2024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– </w:t>
      </w:r>
      <w:r>
        <w:rPr>
          <w:rFonts w:ascii="Times New Roman" w:hAnsi="Times New Roman"/>
          <w:color w:val="111111"/>
          <w:sz w:val="28"/>
          <w:shd w:fill="auto" w:val="clear"/>
        </w:rPr>
        <w:t>оборот розничной торговли составил 26 487,5 млн рублей (107,0% к январю-марту 2023 года) и на 94,5%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– </w:t>
      </w:r>
      <w:r>
        <w:rPr>
          <w:rFonts w:ascii="Times New Roman" w:hAnsi="Times New Roman"/>
          <w:color w:val="111111"/>
          <w:sz w:val="28"/>
          <w:shd w:fill="auto" w:val="clear"/>
        </w:rPr>
        <w:t>оборот общественного питания составил 1 837,9 млн рублей (77,8% к январю-марту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– </w:t>
      </w:r>
      <w:r>
        <w:rPr>
          <w:rFonts w:ascii="Times New Roman" w:hAnsi="Times New Roman"/>
          <w:color w:val="111111"/>
          <w:sz w:val="28"/>
          <w:shd w:fill="auto" w:val="clear"/>
        </w:rPr>
        <w:t>платных услуг населению края было оказано на сумму 9 100,3 млн рублей (102,1% к январю-марту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более 70% общего объема потребляемых услуг. Удельный вес бытовых услуг в общем объеме платных услуг населению составил 6,2%. В январе-марте 2024 года населению края было оказано бытовых услуг на 564,5 млн рублей, что в сопоставимых ценах на 8,1% больше, чем в январе-марте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Пассажирооборот автомобильного транспорта за январь-март 2024 года составил 69,5 млн пасс.-км (103,1% к январю-марту 2023 года). Число перевезенных пассажиров автомобильным транспортом составило 8,0 млн человек (97,5% к январю-марту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Грузооборот автомобильного транспорта за январь-март 2024 года составил 17,3 млн т-км (рост в 3,9 раза к январю-марту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Объем перевезенного груза на морском транспорте за январь-март 2024 года составил 170,1 тыс. тонн (140,7% к январю-марту 2023 года). Грузооборот морского транспорта увеличился в 1,7 раза и составил 378,1 млн т-км. Рост в каботажном плавании увеличился на 42,6%, в заграничном – в 2,8 раза к январю-марту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Индекс потребительских цен в январе-марте 2024 года составил 107,8%, в том числе: 107,7% на продовольственные товары, 107,7% – на непродовольственные товары и 108,3%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Среднемесячная номинальная начисленная заработная плата одного работника за январь-февраль 2024 года составила 117 658,9 рубля (117,6% к январю-февралю 2023 года). Реальная заработная плата составила 109,1% к январю-февралю 2023 года.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На 01.04.2024 просроченная задолженность по заработной плате составила 2 451,0 тыс. рублей (МУП «Автодор»).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Численность официально зарегистрированных безработных по состоянию на 01.04.2024 составила 1,4 тыс. человек. Уровень регистрируемой безработицы – 0,8% (на 01.04.2023 – 1,2%). Напряженность на рынке труда составила 0,3 человека на одну заявленную работодателями вакансию (01.04.2023 – 0,4).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По состоянию на 01.03.2024 численность населения составила 288,8 тыс. человек, уменьшившись по сравнению с 1 января 2024 года на 132 человека за счет естественной убыли населения (-156 человек). Миграционный прирост составил 24 человека.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>Сальдированный финансовый результат деятельности учтенного круга крупных и средних предприятий за январь-февраль 2024 года составил 11 057,4 млн рублей, что больше аналогичного периода прошлого года на 733,9%.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 – 4 328,8 млн рублей; «обрабатывающие производства» – 193,0 млн рублей; «транспортировка и хранение» – 55,6 млн рублей; «обеспечение электрической энергией, газом и паром» – 1 684,4 млн рублей; «строительство» – 1 106,6 млн руб.; «торговля оптовая и розничная; ремонт автотранспортных средств и мотоциклов» – 270,4 млн рублей; «деятельность гостиниц и предприятий общественного питания» – 137,6 млн рублей; «добыча полезных ископаемых» – 3 239,8 млн рублей; «водоснабжение, водоотведение, сбор и утилизация отходов, деятельность по ликвидации загрязнений»</w:t>
      </w:r>
      <w:r>
        <w:rPr>
          <w:rFonts w:eastAsia="Tahoma" w:cs="Lohit Devanagari" w:ascii="Times New Roman" w:hAnsi="Times New Roman"/>
          <w:i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 –</w:t>
      </w:r>
      <w:r>
        <w:rPr>
          <w:rFonts w:eastAsia="Tahoma" w:cs="Lohit Devanagari" w:ascii="Times New Roman" w:hAnsi="Times New Roman"/>
          <w:i w:val="false"/>
          <w:iCs w:val="false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 xml:space="preserve"> 96,6 млн рублей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Удельный вес убыточных организаций в общем числе организаций составил 40,0% от их общего числа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>.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Дебиторская задолженность по состоянию на 01.03.2024 составила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127 992,9 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млн рублей, что на 17,1% выше, чем на 01.03.2023. Удельный вес просроченной дебиторской задолженности в общем объеме задолженности на 01.03.2024 составил 3,4%. Суммарный объем просроченной дебиторской задолженности по сравнению с аналогичным периодом прошлого года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уменьшился на 13,7% и составил 4 293,8 млн рублей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. </w:t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color w:val="111111"/>
        </w:rPr>
      </w:pP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Кредиторская задолженность по состоянию на 01.03.2024 составила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112 368,3 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млн рублей, что на 8,5% выше, чем на 01.03.2023. Удельный вес просроченной дебиторской задолженности в общем объеме задолженности на 01.03.2024 составил 1,3%. Суммарный объем просроченной дебиторской задолженности по сравнению с аналогичным периодом прошлого года увеличился на 18,5% и составил 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8"/>
          <w:shd w:fill="auto" w:val="clear"/>
          <w:lang w:val="ru-RU" w:eastAsia="zh-CN" w:bidi="hi-IN"/>
        </w:rPr>
        <w:t>1 417,8</w:t>
      </w:r>
      <w:r>
        <w:rPr>
          <w:rFonts w:eastAsia="Tahoma" w:cs="Lohit Devanagari" w:ascii="Times New Roman" w:hAnsi="Times New Roman"/>
          <w:color w:val="111111"/>
          <w:spacing w:val="0"/>
          <w:kern w:val="0"/>
          <w:sz w:val="28"/>
          <w:szCs w:val="20"/>
          <w:shd w:fill="auto" w:val="clear"/>
          <w:lang w:val="ru-RU" w:eastAsia="zh-CN" w:bidi="hi-IN"/>
        </w:rPr>
        <w:t xml:space="preserve">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  <w:highlight w:val="none"/>
          <w:shd w:fill="auto" w:val="clear"/>
        </w:rPr>
      </w:pPr>
      <w:r>
        <w:rPr>
          <w:rFonts w:ascii="Times New Roman" w:hAnsi="Times New Roman"/>
          <w:color w:val="111111"/>
          <w:spacing w:val="0"/>
          <w:sz w:val="28"/>
          <w:shd w:fill="auto" w:val="clear"/>
        </w:rPr>
      </w:r>
      <w:r>
        <w:br w:type="page"/>
      </w:r>
    </w:p>
    <w:p>
      <w:pPr>
        <w:pStyle w:val="Normal"/>
        <w:spacing w:before="0" w:after="160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  <w:color w:val="111111"/>
          <w:highlight w:val="none"/>
          <w:shd w:fill="auto" w:val="clear"/>
        </w:rPr>
      </w:pPr>
      <w:r>
        <w:rPr>
          <w:rFonts w:ascii="Times New Roman" w:hAnsi="Times New Roman"/>
          <w:b/>
          <w:color w:val="111111"/>
          <w:shd w:fill="auto" w:val="clear"/>
        </w:rPr>
      </w:r>
    </w:p>
    <w:tbl>
      <w:tblPr>
        <w:tblStyle w:val="Style_4"/>
        <w:tblW w:w="10056" w:type="dxa"/>
        <w:jc w:val="lef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1369"/>
        <w:gridCol w:w="1065"/>
        <w:gridCol w:w="1840"/>
        <w:gridCol w:w="1878"/>
      </w:tblGrid>
      <w:tr>
        <w:trPr>
          <w:trHeight w:val="1240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111111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январь-март 2024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январь -март 2024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г. в % к январю-марту 2023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Электроэнергия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млн кВт/ч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2 095,7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632,9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106,7</w:t>
            </w:r>
          </w:p>
        </w:tc>
      </w:tr>
      <w:tr>
        <w:trPr>
          <w:trHeight w:val="561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Пар и горячая вода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тыс.Гкал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3 555,6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1 326,6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101,1</w:t>
            </w:r>
          </w:p>
        </w:tc>
      </w:tr>
      <w:tr>
        <w:trPr>
          <w:trHeight w:val="404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Газ природный и попутный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млн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90,5</w:t>
            </w:r>
          </w:p>
        </w:tc>
      </w:tr>
      <w:tr>
        <w:trPr>
          <w:trHeight w:val="405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Уголь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200,0</w:t>
            </w:r>
          </w:p>
        </w:tc>
      </w:tr>
      <w:tr>
        <w:trPr>
          <w:trHeight w:val="361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Лесоматериалы необработанные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плотных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25,9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79,2</w:t>
            </w:r>
          </w:p>
        </w:tc>
      </w:tr>
      <w:tr>
        <w:trPr>
          <w:trHeight w:val="441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куб.м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Бетон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м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161,1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30,3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153,5</w:t>
            </w:r>
          </w:p>
        </w:tc>
      </w:tr>
      <w:tr>
        <w:trPr>
          <w:trHeight w:val="421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82,2</w:t>
            </w:r>
          </w:p>
        </w:tc>
      </w:tr>
      <w:tr>
        <w:trPr>
          <w:trHeight w:val="495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0,6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101,5</w:t>
            </w:r>
          </w:p>
        </w:tc>
      </w:tr>
      <w:tr>
        <w:trPr>
          <w:trHeight w:val="427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5,3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1,4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97,2</w:t>
            </w:r>
          </w:p>
        </w:tc>
      </w:tr>
      <w:tr>
        <w:trPr>
          <w:trHeight w:val="419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Сыры, продукты сырные и творог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0,2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99,9</w:t>
            </w:r>
          </w:p>
        </w:tc>
      </w:tr>
      <w:tr>
        <w:trPr>
          <w:trHeight w:val="419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Изделия хлебобулочные недлительного хранения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15,7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91,3</w:t>
            </w:r>
          </w:p>
        </w:tc>
      </w:tr>
      <w:tr>
        <w:trPr>
          <w:trHeight w:val="553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Кондитерские изделия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1,1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0,2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72,2</w:t>
            </w:r>
          </w:p>
        </w:tc>
      </w:tr>
      <w:tr>
        <w:trPr>
          <w:trHeight w:val="425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Воды минеральные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млн полулитров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4,7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…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*</w:t>
            </w:r>
          </w:p>
        </w:tc>
      </w:tr>
      <w:tr>
        <w:trPr>
          <w:trHeight w:val="425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Пиво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дкл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929,6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219,7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102,9</w:t>
            </w:r>
          </w:p>
        </w:tc>
      </w:tr>
      <w:tr>
        <w:trPr>
          <w:trHeight w:val="772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тонн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1 313,8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355,5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114,6</w:t>
            </w:r>
          </w:p>
        </w:tc>
      </w:tr>
      <w:tr>
        <w:trPr>
          <w:trHeight w:val="312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Консервы рыбные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тыс. туб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5,2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130,3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0"/>
          <w:shd w:fill="auto" w:val="clear"/>
        </w:rPr>
        <w:t>Примечание:</w:t>
      </w:r>
      <w:r>
        <w:rPr>
          <w:rFonts w:ascii="Times New Roman" w:hAnsi="Times New Roman"/>
          <w:color w:val="111111"/>
          <w:shd w:fill="auto" w:val="clear"/>
        </w:rPr>
        <w:t> </w:t>
      </w:r>
      <w:r>
        <w:rPr>
          <w:rFonts w:ascii="Times New Roman" w:hAnsi="Times New Roman"/>
          <w:color w:val="111111"/>
          <w:sz w:val="20"/>
          <w:shd w:fill="auto" w:val="clear"/>
        </w:rPr>
        <w:t>*</w:t>
      </w:r>
      <w:r>
        <w:rPr>
          <w:rFonts w:ascii="Times New Roman" w:hAnsi="Times New Roman"/>
          <w:color w:val="111111"/>
          <w:shd w:fill="auto" w:val="clear"/>
        </w:rPr>
        <w:t> </w:t>
      </w:r>
      <w:r>
        <w:rPr>
          <w:rFonts w:ascii="Times New Roman" w:hAnsi="Times New Roman"/>
          <w:color w:val="111111"/>
          <w:sz w:val="16"/>
          <w:shd w:fill="auto" w:val="clear"/>
        </w:rPr>
        <w:t>–</w:t>
      </w:r>
      <w:r>
        <w:rPr>
          <w:rFonts w:ascii="Times New Roman" w:hAnsi="Times New Roman"/>
          <w:color w:val="111111"/>
          <w:shd w:fill="auto" w:val="clear"/>
        </w:rPr>
        <w:t> </w:t>
      </w:r>
      <w:r>
        <w:rPr>
          <w:rFonts w:ascii="Times New Roman" w:hAnsi="Times New Roman"/>
          <w:color w:val="111111"/>
          <w:sz w:val="20"/>
          <w:shd w:fill="auto" w:val="clear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before="0" w:after="160"/>
        <w:jc w:val="center"/>
        <w:rPr>
          <w:color w:val="111111"/>
        </w:rPr>
      </w:pPr>
      <w:r>
        <w:rPr>
          <w:rFonts w:ascii="Times New Roman" w:hAnsi="Times New Roman"/>
          <w:color w:val="111111"/>
          <w:sz w:val="28"/>
          <w:shd w:fill="auto" w:val="clear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color w:val="111111"/>
          <w:sz w:val="28"/>
          <w:highlight w:val="none"/>
          <w:shd w:fill="auto" w:val="clear"/>
        </w:rPr>
      </w:pPr>
      <w:r>
        <w:rPr>
          <w:rFonts w:ascii="Times New Roman" w:hAnsi="Times New Roman"/>
          <w:color w:val="111111"/>
          <w:sz w:val="28"/>
          <w:shd w:fill="auto" w:val="clear"/>
        </w:rPr>
      </w:r>
    </w:p>
    <w:tbl>
      <w:tblPr>
        <w:tblStyle w:val="Style_4"/>
        <w:tblW w:w="1009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1337"/>
        <w:gridCol w:w="1750"/>
        <w:gridCol w:w="2022"/>
      </w:tblGrid>
      <w:tr>
        <w:trPr>
          <w:tblHeader w:val="true"/>
          <w:trHeight w:val="5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Показатели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2023 год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январь-март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2024 года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январь-март 2024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г. в % к январю-марту 2023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 </w:t>
            </w: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Индекс промышленного производства,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129,5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108,3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</w:tr>
      <w:tr>
        <w:trPr>
          <w:trHeight w:val="201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47 673,8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15 772,6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121,3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угля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200,0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природного газа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металлических руд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42 809,7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14 817,3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123,6</w:t>
            </w:r>
          </w:p>
        </w:tc>
      </w:tr>
      <w:tr>
        <w:trPr>
          <w:trHeight w:val="20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прочих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1 313,7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180,9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68,0</w:t>
            </w:r>
          </w:p>
        </w:tc>
      </w:tr>
      <w:tr>
        <w:trPr>
          <w:trHeight w:val="158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174 168,1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37 452,8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107,1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производство пищевых продуктов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164 348,2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35 397,0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109,7</w:t>
            </w:r>
          </w:p>
        </w:tc>
      </w:tr>
      <w:tr>
        <w:trPr>
          <w:trHeight w:val="20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производство напитков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1 189,5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266,1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95,4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обработка древесины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63,6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деятельность полиграфическая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188,9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48,9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93,6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производство химических веществ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95,2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производство резиновых и пластмассовых изделий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94,5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производство прочей неметаллической минеральной продукции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1 585,0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305,5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132,4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 ремонт и монтаж машин и оборудования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5 190,6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1 35,7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58,5</w:t>
            </w:r>
          </w:p>
        </w:tc>
      </w:tr>
      <w:tr>
        <w:trPr>
          <w:trHeight w:val="24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26 048,1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8 246,4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104,0</w:t>
            </w:r>
          </w:p>
        </w:tc>
      </w:tr>
      <w:tr>
        <w:trPr>
          <w:trHeight w:val="75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4 082,1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1 003,3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101,7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128 156,7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н/д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124,1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</w:tr>
      <w:tr>
        <w:trPr>
          <w:trHeight w:val="158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Ввод жилья, тыс. м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87,0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24,3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93,9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Валовая продукция сельского хозяйства,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11 650,3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н/д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96,5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Объем производства продукции животноводства: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мясо, тыс. тонн (живой вес)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9,3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1,9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89,6</w:t>
            </w:r>
          </w:p>
        </w:tc>
      </w:tr>
      <w:tr>
        <w:trPr>
          <w:trHeight w:val="241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молоко, тыс. тонн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22,3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5,2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97,9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яйца, млн штук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*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103,5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33 320,6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9 100,3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102,1</w:t>
            </w:r>
          </w:p>
        </w:tc>
      </w:tr>
      <w:tr>
        <w:trPr>
          <w:trHeight w:val="158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из него: бытовые услуги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2 035,8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564,5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108,1</w:t>
            </w:r>
          </w:p>
        </w:tc>
      </w:tr>
      <w:tr>
        <w:trPr>
          <w:trHeight w:val="29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Оборот розничной торговли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95 275,0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26 487,5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107,0</w:t>
            </w:r>
          </w:p>
        </w:tc>
      </w:tr>
      <w:tr>
        <w:trPr>
          <w:trHeight w:val="20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Оборот общественного питания,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9 096,7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1 837,9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77,8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113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119 308,0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117 658,9</w:t>
            </w:r>
            <w:r>
              <w:rPr>
                <w:rFonts w:ascii="Times New Roman" w:hAnsi="Times New Roman"/>
                <w:color w:val="111111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117,6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68,5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 том числе по видам деятельности: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Транспорт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77,5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  <w:shd w:fill="auto" w:val="clear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из федерального бюджета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  <w:shd w:fill="auto" w:val="clear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из местных бюджетов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из бюджета субъекта РФ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86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68,5</w:t>
            </w:r>
          </w:p>
        </w:tc>
      </w:tr>
      <w:tr>
        <w:trPr>
          <w:trHeight w:val="24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Грузооборот (данные по автомобильному транспорту), млн т/км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39,9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17,3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рост в 3,9 раза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284,6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69,5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103,1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42 079,1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11 057,4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733,9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 w:eastAsia="Tahoma" w:cs="Lohit Devanagari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hanging="0" w:left="0" w:right="0"/>
              <w:jc w:val="center"/>
              <w:rPr>
                <w:rFonts w:ascii="Times New Roman" w:hAnsi="Times New Roman" w:eastAsia="Tahoma" w:cs="Lohit Devanagari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r>
          </w:p>
        </w:tc>
      </w:tr>
      <w:tr>
        <w:trPr>
          <w:trHeight w:val="476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Сельское, лесное хозяйство, охота, рыболовство и рыбоводство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21 650,2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4 328,8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600,6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Добыча полезных ископаемых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5 245,5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3 239,8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Обрабатывающие производства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6 590,2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193,0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27,1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2 484,4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1 684,4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60,7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752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74,2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96,6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Строительство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763,8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1 106,6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34028,1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44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2 117,0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270,4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106,7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Транспортировка и хранение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1 565,1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55,6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18,5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-68,3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137,6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650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i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304,5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-0,9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  <w:shd w:fill="auto" w:val="clear"/>
              </w:rPr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 w:eastAsia="Tahoma" w:cs="Lohit Devanagari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 w:eastAsia="Tahoma" w:cs="Lohit Devanagari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</w:r>
          </w:p>
        </w:tc>
      </w:tr>
      <w:tr>
        <w:trPr>
          <w:trHeight w:val="201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дебиторская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125 512,7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127 992,9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117,1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5 218,7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4 293,8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86,3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кредиторская – 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99 230,5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112 368,3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108,5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в том числе: просроченная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1 696,0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1 417,8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1</w:t>
            </w:r>
          </w:p>
        </w:tc>
        <w:tc>
          <w:tcPr>
            <w:tcW w:w="2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lang w:val="ru-RU" w:eastAsia="zh-CN" w:bidi="hi-IN"/>
              </w:rPr>
              <w:t>118,5</w:t>
            </w:r>
            <w:r>
              <w:rPr>
                <w:rFonts w:eastAsia="Tahoma" w:cs="Lohit Devanagari"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  <w:lang w:val="ru-RU" w:eastAsia="zh-CN" w:bidi="hi-IN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Численность населения,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289,0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288,8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100,1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Естественный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-456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-156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113,0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Миграционный прирост (убыль),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687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position w:val="0"/>
                <w:sz w:val="22"/>
                <w:sz w:val="22"/>
                <w:szCs w:val="20"/>
                <w:shd w:fill="auto" w:val="clear"/>
                <w:vertAlign w:val="baseline"/>
              </w:rPr>
              <w:t>24</w:t>
            </w: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1,5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1,4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72,1</w:t>
            </w:r>
          </w:p>
        </w:tc>
      </w:tr>
      <w:tr>
        <w:trPr>
          <w:trHeight w:val="159" w:hRule="atLeast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Уровень зарегистрированной безработицы (среднее за период),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0,9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0,8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kern w:val="0"/>
                <w:sz w:val="22"/>
                <w:szCs w:val="20"/>
                <w:shd w:fill="auto" w:val="clear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  <w:shd w:fill="auto" w:val="clear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  <w:shd w:fill="auto" w:val="clear"/>
        </w:rPr>
        <w:t>…</w:t>
      </w:r>
      <w:r>
        <w:rPr>
          <w:rFonts w:ascii="Times New Roman" w:hAnsi="Times New Roman"/>
          <w:color w:val="111111"/>
          <w:sz w:val="16"/>
          <w:shd w:fill="auto" w:val="clear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  <w:shd w:fill="auto" w:val="clear"/>
        </w:rPr>
        <w:t>1 – январь-февраль 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  <w:shd w:fill="auto" w:val="clear"/>
        </w:rPr>
        <w:t>2 – январь-февраль 2024 года к январю-февралю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  <w:shd w:fill="auto" w:val="clear"/>
        </w:rPr>
        <w:t>3 – 2023 год к 2022 году.</w:t>
      </w:r>
    </w:p>
    <w:sectPr>
      <w:headerReference w:type="even" r:id="rId2"/>
      <w:headerReference w:type="default" r:id="rId3"/>
      <w:type w:val="nextPage"/>
      <w:pgSz w:w="11906" w:h="16838"/>
      <w:pgMar w:left="1134" w:right="567" w:gutter="0" w:header="709" w:top="1268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bookmarkStart w:id="0" w:name="PageNumWizard_HEADER_Базовый2"/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8</w:t>
    </w:r>
    <w:r>
      <w:rPr>
        <w:sz w:val="24"/>
        <w:rFonts w:ascii="Times New Roman" w:hAnsi="Times New Roman"/>
      </w:rPr>
      <w:fldChar w:fldCharType="end"/>
    </w:r>
    <w:bookmarkEnd w:id="0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bookmarkStart w:id="1" w:name="PageNumWizard_HEADER_Базовый3"/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9</w:t>
    </w:r>
    <w:r>
      <w:rPr>
        <w:sz w:val="24"/>
        <w:rFonts w:ascii="Times New Roman" w:hAnsi="Times New Roman"/>
      </w:rPr>
      <w:fldChar w:fldCharType="end"/>
    </w:r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3">
    <w:name w:val="Колонтитул3"/>
    <w:link w:val="311"/>
    <w:qFormat/>
    <w:rPr/>
  </w:style>
  <w:style w:type="character" w:styleId="11111">
    <w:name w:val="Нижний колонтитул11111"/>
    <w:link w:val="1111112"/>
    <w:qFormat/>
    <w:rPr>
      <w:rFonts w:ascii="Times New Roman" w:hAnsi="Times New Roman"/>
      <w:color w:val="000000"/>
      <w:spacing w:val="0"/>
      <w:sz w:val="28"/>
    </w:rPr>
  </w:style>
  <w:style w:type="character" w:styleId="5">
    <w:name w:val="Содержимое врезки5"/>
    <w:link w:val="512"/>
    <w:qFormat/>
    <w:rPr/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ing5131">
    <w:name w:val="Heading 5131"/>
    <w:link w:val="Heading51311"/>
    <w:qFormat/>
    <w:rPr>
      <w:rFonts w:ascii="XO Thames" w:hAnsi="XO Thames"/>
      <w:b/>
      <w:color w:val="000000"/>
      <w:spacing w:val="0"/>
      <w:sz w:val="22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List1">
    <w:name w:val="List1"/>
    <w:basedOn w:val="Textbody1111"/>
    <w:qFormat/>
    <w:rPr/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411111">
    <w:name w:val="Заголовок 411111"/>
    <w:link w:val="4111111"/>
    <w:qFormat/>
    <w:rPr>
      <w:rFonts w:ascii="XO Thames" w:hAnsi="XO Thames"/>
      <w:b/>
      <w:color w:val="000000"/>
      <w:spacing w:val="0"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yle9">
    <w:name w:val="Содержимое таблицы"/>
    <w:link w:val="14"/>
    <w:qFormat/>
    <w:rPr/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Footer1211">
    <w:name w:val="Footer1211"/>
    <w:link w:val="Footer12111"/>
    <w:qFormat/>
    <w:rPr>
      <w:rFonts w:ascii="Times New Roman" w:hAnsi="Times New Roman"/>
      <w:color w:val="000000"/>
      <w:spacing w:val="0"/>
      <w:sz w:val="28"/>
    </w:rPr>
  </w:style>
  <w:style w:type="character" w:styleId="Footer131">
    <w:name w:val="Footer131"/>
    <w:link w:val="Footer1311"/>
    <w:qFormat/>
    <w:rPr>
      <w:rFonts w:ascii="Times New Roman" w:hAnsi="Times New Roman"/>
      <w:color w:val="000000"/>
      <w:spacing w:val="0"/>
      <w:sz w:val="28"/>
    </w:rPr>
  </w:style>
  <w:style w:type="character" w:styleId="Indexheading1111">
    <w:name w:val="index heading1111"/>
    <w:link w:val="Indexheading11111"/>
    <w:qFormat/>
    <w:rPr/>
  </w:style>
  <w:style w:type="character" w:styleId="4111">
    <w:name w:val="Колонтитул4111"/>
    <w:link w:val="411112"/>
    <w:qFormat/>
    <w:rPr/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6">
    <w:name w:val="Колонтитул6"/>
    <w:link w:val="611"/>
    <w:qFormat/>
    <w:rPr/>
  </w:style>
  <w:style w:type="character" w:styleId="Contents43">
    <w:name w:val="Contents 43"/>
    <w:link w:val="Contents431"/>
    <w:qFormat/>
    <w:rPr>
      <w:rFonts w:ascii="XO Thames" w:hAnsi="XO Thames"/>
      <w:color w:val="000000"/>
      <w:spacing w:val="0"/>
      <w:sz w:val="28"/>
    </w:rPr>
  </w:style>
  <w:style w:type="character" w:styleId="Bx-messenger-ajax1111">
    <w:name w:val="bx-messenger-ajax1111"/>
    <w:basedOn w:val="111114"/>
    <w:link w:val="Bx-messenger-ajax11111"/>
    <w:qFormat/>
    <w:rPr/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">
    <w:name w:val="Колонтитул3111"/>
    <w:link w:val="311112"/>
    <w:qFormat/>
    <w:rPr/>
  </w:style>
  <w:style w:type="character" w:styleId="DefaultParagraphFont1111">
    <w:name w:val="Default Paragraph Font1111"/>
    <w:link w:val="DefaultParagraphFont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211">
    <w:name w:val="Заголовок2211"/>
    <w:link w:val="221111"/>
    <w:qFormat/>
    <w:rPr>
      <w:rFonts w:ascii="Open Sans" w:hAnsi="Open Sans"/>
      <w:sz w:val="28"/>
    </w:rPr>
  </w:style>
  <w:style w:type="character" w:styleId="1">
    <w:name w:val="Заголовок1"/>
    <w:link w:val="112"/>
    <w:qFormat/>
    <w:rPr>
      <w:rFonts w:ascii="Open Sans" w:hAnsi="Open Sans"/>
      <w:sz w:val="28"/>
    </w:rPr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211211">
    <w:name w:val="Заголовок211211"/>
    <w:link w:val="21121111"/>
    <w:qFormat/>
    <w:rPr>
      <w:rFonts w:ascii="Open Sans" w:hAnsi="Open Sans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Internetlink21">
    <w:name w:val="Internet link21"/>
    <w:basedOn w:val="DefaultParagraphFont1111"/>
    <w:link w:val="Internetlink211"/>
    <w:qFormat/>
    <w:rPr>
      <w:color w:themeColor="hyperlink" w:val="0563C1"/>
      <w:u w:val="single"/>
    </w:rPr>
  </w:style>
  <w:style w:type="character" w:styleId="Title211">
    <w:name w:val="Title211"/>
    <w:link w:val="Title2111"/>
    <w:qFormat/>
    <w:rPr>
      <w:rFonts w:ascii="Open Sans" w:hAnsi="Open Sans"/>
      <w:color w:val="000000"/>
      <w:spacing w:val="0"/>
      <w:sz w:val="28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Caption3111">
    <w:name w:val="caption3111"/>
    <w:link w:val="Caption31111"/>
    <w:qFormat/>
    <w:rPr>
      <w:i/>
      <w:sz w:val="24"/>
    </w:rPr>
  </w:style>
  <w:style w:type="character" w:styleId="Caption1211">
    <w:name w:val="Caption1211"/>
    <w:link w:val="Caption12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81111">
    <w:name w:val="Contents 81111"/>
    <w:link w:val="Contents811111"/>
    <w:qFormat/>
    <w:rPr>
      <w:rFonts w:ascii="XO Thames" w:hAnsi="XO Thames"/>
      <w:color w:val="000000"/>
      <w:spacing w:val="0"/>
      <w:sz w:val="28"/>
    </w:rPr>
  </w:style>
  <w:style w:type="character" w:styleId="List1211">
    <w:name w:val="List1211"/>
    <w:basedOn w:val="Textbody1111"/>
    <w:link w:val="List12111"/>
    <w:qFormat/>
    <w:rPr/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111">
    <w:name w:val="Заголовок 511111"/>
    <w:link w:val="5111111"/>
    <w:qFormat/>
    <w:rPr>
      <w:rFonts w:ascii="XO Thames" w:hAnsi="XO Thames"/>
      <w:b/>
      <w:color w:val="000000"/>
      <w:spacing w:val="0"/>
      <w:sz w:val="22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1111">
    <w:name w:val="Заголовок таблицы1111"/>
    <w:basedOn w:val="11114"/>
    <w:link w:val="111119"/>
    <w:qFormat/>
    <w:rPr>
      <w:b/>
    </w:rPr>
  </w:style>
  <w:style w:type="character" w:styleId="Textbody">
    <w:name w:val="Text body"/>
    <w:qFormat/>
    <w:rPr/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Internetlink1111">
    <w:name w:val="Internet link1111"/>
    <w:basedOn w:val="DefaultParagraphFont1111"/>
    <w:link w:val="Internetlink11111"/>
    <w:qFormat/>
    <w:rPr>
      <w:color w:themeColor="hyperlink" w:val="0563C1"/>
      <w:u w:val="single"/>
    </w:rPr>
  </w:style>
  <w:style w:type="character" w:styleId="Contents63">
    <w:name w:val="Contents 63"/>
    <w:link w:val="Contents631"/>
    <w:qFormat/>
    <w:rPr>
      <w:rFonts w:ascii="XO Thames" w:hAnsi="XO Thames"/>
      <w:color w:val="000000"/>
      <w:spacing w:val="0"/>
      <w:sz w:val="28"/>
    </w:rPr>
  </w:style>
  <w:style w:type="character" w:styleId="BalloonText1111">
    <w:name w:val="Balloon Text1111"/>
    <w:link w:val="BalloonText11111"/>
    <w:qFormat/>
    <w:rPr>
      <w:rFonts w:ascii="Segoe UI" w:hAnsi="Segoe UI"/>
      <w:sz w:val="18"/>
    </w:rPr>
  </w:style>
  <w:style w:type="character" w:styleId="511">
    <w:name w:val="Колонтитул511"/>
    <w:link w:val="51111"/>
    <w:qFormat/>
    <w:rPr>
      <w:rFonts w:ascii="XO Thames" w:hAnsi="XO Thames"/>
      <w:color w:val="000000"/>
      <w:spacing w:val="0"/>
      <w:sz w:val="20"/>
    </w:rPr>
  </w:style>
  <w:style w:type="character" w:styleId="Header12">
    <w:name w:val="Header12"/>
    <w:link w:val="Header1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121">
    <w:name w:val="Указатель121"/>
    <w:link w:val="12121"/>
    <w:qFormat/>
    <w:rPr/>
  </w:style>
  <w:style w:type="character" w:styleId="Heading112">
    <w:name w:val="Heading 112"/>
    <w:link w:val="Heading1121"/>
    <w:qFormat/>
    <w:rPr>
      <w:rFonts w:ascii="XO Thames" w:hAnsi="XO Thames"/>
      <w:b/>
      <w:color w:val="000000"/>
      <w:spacing w:val="0"/>
      <w:sz w:val="32"/>
    </w:rPr>
  </w:style>
  <w:style w:type="character" w:styleId="12111">
    <w:name w:val="Заголовок12111"/>
    <w:link w:val="121112"/>
    <w:qFormat/>
    <w:rPr>
      <w:rFonts w:ascii="Open Sans" w:hAnsi="Open Sans"/>
      <w:sz w:val="28"/>
    </w:rPr>
  </w:style>
  <w:style w:type="character" w:styleId="PlainText1111">
    <w:name w:val="Plain Text1111"/>
    <w:link w:val="PlainText11111"/>
    <w:qFormat/>
    <w:rPr>
      <w:rFonts w:ascii="Calibri" w:hAnsi="Calibri"/>
    </w:rPr>
  </w:style>
  <w:style w:type="character" w:styleId="List131">
    <w:name w:val="List131"/>
    <w:basedOn w:val="Textbody1111"/>
    <w:link w:val="List1311"/>
    <w:qFormat/>
    <w:rPr/>
  </w:style>
  <w:style w:type="character" w:styleId="Heading5121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21211">
    <w:name w:val="Указатель21211"/>
    <w:link w:val="2121111"/>
    <w:qFormat/>
    <w:rPr/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111111">
    <w:name w:val="Знак примечания11111"/>
    <w:basedOn w:val="111114"/>
    <w:link w:val="1111113"/>
    <w:qFormat/>
    <w:rPr>
      <w:sz w:val="16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Title2">
    <w:name w:val="Title2"/>
    <w:link w:val="Title21"/>
    <w:qFormat/>
    <w:rPr>
      <w:rFonts w:ascii="Open Sans" w:hAnsi="Open Sans"/>
      <w:color w:val="000000"/>
      <w:spacing w:val="0"/>
      <w:sz w:val="28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51">
    <w:name w:val="Колонтитул5"/>
    <w:link w:val="513"/>
    <w:qFormat/>
    <w:rPr/>
  </w:style>
  <w:style w:type="character" w:styleId="Contents11111">
    <w:name w:val="Contents 11111"/>
    <w:link w:val="Contents111111"/>
    <w:qFormat/>
    <w:rPr>
      <w:rFonts w:ascii="XO Thames" w:hAnsi="XO Thames"/>
      <w:b/>
      <w:color w:val="000000"/>
      <w:spacing w:val="0"/>
      <w:sz w:val="28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Header11">
    <w:name w:val="Header11"/>
    <w:link w:val="Header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Endnote1111">
    <w:name w:val="Endnote1111"/>
    <w:link w:val="Endnote11111"/>
    <w:qFormat/>
    <w:rPr>
      <w:rFonts w:ascii="XO Thames" w:hAnsi="XO Thames"/>
      <w:color w:val="000000"/>
      <w:spacing w:val="0"/>
      <w:sz w:val="22"/>
    </w:rPr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Contents61111">
    <w:name w:val="Contents 61111"/>
    <w:link w:val="Contents611111"/>
    <w:qFormat/>
    <w:rPr>
      <w:rFonts w:ascii="XO Thames" w:hAnsi="XO Thames"/>
      <w:color w:val="000000"/>
      <w:spacing w:val="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61">
    <w:name w:val="Содержимое врезки6"/>
    <w:link w:val="612"/>
    <w:qFormat/>
    <w:rPr/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111">
    <w:name w:val="Указатель111"/>
    <w:link w:val="11116"/>
    <w:qFormat/>
    <w:rPr/>
  </w:style>
  <w:style w:type="character" w:styleId="121111">
    <w:name w:val="Указатель12111"/>
    <w:link w:val="1211121"/>
    <w:qFormat/>
    <w:rPr/>
  </w:style>
  <w:style w:type="character" w:styleId="1111111">
    <w:name w:val="Заголовок 111111"/>
    <w:link w:val="11111111"/>
    <w:qFormat/>
    <w:rPr>
      <w:rFonts w:ascii="XO Thames" w:hAnsi="XO Thames"/>
      <w:b/>
      <w:color w:val="000000"/>
      <w:spacing w:val="0"/>
      <w:sz w:val="32"/>
    </w:rPr>
  </w:style>
  <w:style w:type="character" w:styleId="111112">
    <w:name w:val="Указатель11111"/>
    <w:link w:val="1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111">
    <w:name w:val="Указатель121111"/>
    <w:link w:val="12111111"/>
    <w:qFormat/>
    <w:rPr/>
  </w:style>
  <w:style w:type="character" w:styleId="Textbody1">
    <w:name w:val="Text body1"/>
    <w:link w:val="Textbody2"/>
    <w:qFormat/>
    <w:rPr/>
  </w:style>
  <w:style w:type="character" w:styleId="Internetlink">
    <w:name w:val="Internet link"/>
    <w:basedOn w:val="DefaultParagraphFont1111"/>
    <w:link w:val="Internetlink1"/>
    <w:qFormat/>
    <w:rPr>
      <w:color w:themeColor="hyperlink" w:val="0563C1"/>
      <w:u w:val="single"/>
    </w:rPr>
  </w:style>
  <w:style w:type="character" w:styleId="Contents21111">
    <w:name w:val="Contents 21111"/>
    <w:link w:val="Contents211111"/>
    <w:qFormat/>
    <w:rPr>
      <w:rFonts w:ascii="XO Thames" w:hAnsi="XO Thames"/>
      <w:color w:val="000000"/>
      <w:spacing w:val="0"/>
      <w:sz w:val="28"/>
    </w:rPr>
  </w:style>
  <w:style w:type="character" w:styleId="111113">
    <w:name w:val="Подзаголовок11111"/>
    <w:link w:val="1111115"/>
    <w:qFormat/>
    <w:rPr>
      <w:rFonts w:ascii="XO Thames" w:hAnsi="XO Thames"/>
      <w:i/>
      <w:color w:val="000000"/>
      <w:spacing w:val="0"/>
      <w:sz w:val="24"/>
    </w:rPr>
  </w:style>
  <w:style w:type="character" w:styleId="Style10">
    <w:name w:val="Символ нумерации"/>
    <w:link w:val="15"/>
    <w:qFormat/>
    <w:rPr>
      <w:rFonts w:ascii="Times New Roman" w:hAnsi="Times New Roman"/>
      <w:sz w:val="28"/>
    </w:rPr>
  </w:style>
  <w:style w:type="character" w:styleId="Contents33">
    <w:name w:val="Contents 33"/>
    <w:link w:val="Contents331"/>
    <w:qFormat/>
    <w:rPr>
      <w:rFonts w:ascii="XO Thames" w:hAnsi="XO Thames"/>
      <w:color w:val="000000"/>
      <w:spacing w:val="0"/>
      <w:sz w:val="28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41111">
    <w:name w:val="Содержимое врезки4111"/>
    <w:link w:val="411113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1211112">
    <w:name w:val="Заголовок121111"/>
    <w:link w:val="12111112"/>
    <w:qFormat/>
    <w:rPr>
      <w:rFonts w:ascii="Open Sans" w:hAnsi="Open Sans"/>
      <w:sz w:val="28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2">
    <w:name w:val="Символ нумерации1111"/>
    <w:link w:val="111111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2111">
    <w:name w:val="Колонтитул2111"/>
    <w:link w:val="211112"/>
    <w:qFormat/>
    <w:rPr/>
  </w:style>
  <w:style w:type="character" w:styleId="111114">
    <w:name w:val="Основной шрифт абзаца11111"/>
    <w:link w:val="111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yperlink">
    <w:name w:val="Hyperlink"/>
    <w:basedOn w:val="DefaultParagraphFont11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Annotationsubject1111">
    <w:name w:val="annotation subject1111"/>
    <w:basedOn w:val="Annotationtext1111"/>
    <w:link w:val="Annotationsubject11111"/>
    <w:qFormat/>
    <w:rPr>
      <w:b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2112111">
    <w:name w:val="Указатель211211"/>
    <w:link w:val="21121112"/>
    <w:qFormat/>
    <w:rPr/>
  </w:style>
  <w:style w:type="character" w:styleId="21111">
    <w:name w:val="Содержимое таблицы2111"/>
    <w:link w:val="211113"/>
    <w:qFormat/>
    <w:rPr/>
  </w:style>
  <w:style w:type="character" w:styleId="Contents41111">
    <w:name w:val="Contents 41111"/>
    <w:link w:val="Contents41111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Contents51111">
    <w:name w:val="Contents 51111"/>
    <w:link w:val="Contents511111"/>
    <w:qFormat/>
    <w:rPr>
      <w:rFonts w:ascii="XO Thames" w:hAnsi="XO Thames"/>
      <w:color w:val="000000"/>
      <w:spacing w:val="0"/>
      <w:sz w:val="28"/>
    </w:rPr>
  </w:style>
  <w:style w:type="character" w:styleId="1211">
    <w:name w:val="Заголовок1211"/>
    <w:link w:val="121121"/>
    <w:qFormat/>
    <w:rPr>
      <w:rFonts w:ascii="Open Sans" w:hAnsi="Open Sans"/>
      <w:sz w:val="28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pacing w:val="0"/>
      <w:sz w:val="28"/>
    </w:rPr>
  </w:style>
  <w:style w:type="character" w:styleId="Title1111">
    <w:name w:val="Title1111"/>
    <w:link w:val="Title11111"/>
    <w:qFormat/>
    <w:rPr>
      <w:rFonts w:ascii="Open Sans" w:hAnsi="Open Sans"/>
      <w:color w:val="000000"/>
      <w:spacing w:val="0"/>
      <w:sz w:val="28"/>
    </w:rPr>
  </w:style>
  <w:style w:type="character" w:styleId="List12">
    <w:name w:val="List12"/>
    <w:basedOn w:val="Textbody1111"/>
    <w:link w:val="List121"/>
    <w:qFormat/>
    <w:rPr/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212111">
    <w:name w:val="Заголовок21211"/>
    <w:link w:val="2121112"/>
    <w:qFormat/>
    <w:rPr>
      <w:rFonts w:ascii="Open Sans" w:hAnsi="Open Sans"/>
      <w:sz w:val="28"/>
    </w:rPr>
  </w:style>
  <w:style w:type="character" w:styleId="11">
    <w:name w:val="Содержимое врезки1"/>
    <w:link w:val="113"/>
    <w:qFormat/>
    <w:rPr/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aption21">
    <w:name w:val="Caption21"/>
    <w:link w:val="Caption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212">
    <w:name w:val="Заголовок121"/>
    <w:link w:val="12122"/>
    <w:qFormat/>
    <w:rPr>
      <w:rFonts w:ascii="Open Sans" w:hAnsi="Open Sans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Internetlink11">
    <w:name w:val="Internet link11"/>
    <w:basedOn w:val="DefaultParagraphFont1111"/>
    <w:link w:val="Internetlink111"/>
    <w:qFormat/>
    <w:rPr>
      <w:color w:themeColor="hyperlink" w:val="0563C1"/>
      <w:u w:val="single"/>
    </w:rPr>
  </w:style>
  <w:style w:type="character" w:styleId="Heading111">
    <w:name w:val="Heading 111"/>
    <w:link w:val="Heading113"/>
    <w:qFormat/>
    <w:rPr>
      <w:rFonts w:ascii="XO Thames" w:hAnsi="XO Thames"/>
      <w:b/>
      <w:color w:val="000000"/>
      <w:spacing w:val="0"/>
      <w:sz w:val="32"/>
    </w:rPr>
  </w:style>
  <w:style w:type="character" w:styleId="5111">
    <w:name w:val="Содержимое врезки511"/>
    <w:link w:val="51112"/>
    <w:qFormat/>
    <w:rPr/>
  </w:style>
  <w:style w:type="character" w:styleId="Docdata1111">
    <w:name w:val="docdata1111"/>
    <w:basedOn w:val="111114"/>
    <w:link w:val="Docdata11111"/>
    <w:qFormat/>
    <w:rPr/>
  </w:style>
  <w:style w:type="character" w:styleId="Title11">
    <w:name w:val="Title11"/>
    <w:link w:val="Title111"/>
    <w:qFormat/>
    <w:rPr>
      <w:rFonts w:ascii="Open Sans" w:hAnsi="Open Sans"/>
      <w:color w:val="000000"/>
      <w:spacing w:val="0"/>
      <w:sz w:val="28"/>
    </w:rPr>
  </w:style>
  <w:style w:type="character" w:styleId="1112">
    <w:name w:val="Заголовок111"/>
    <w:link w:val="11117"/>
    <w:qFormat/>
    <w:rPr>
      <w:rFonts w:ascii="Open Sans" w:hAnsi="Open Sans"/>
      <w:sz w:val="28"/>
    </w:rPr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21112">
    <w:name w:val="Содержимое врезки2111"/>
    <w:link w:val="211114"/>
    <w:qFormat/>
    <w:rPr/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Header1111">
    <w:name w:val="Header1111"/>
    <w:link w:val="Header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2111">
    <w:name w:val="Указатель2211"/>
    <w:link w:val="221112"/>
    <w:qFormat/>
    <w:rPr/>
  </w:style>
  <w:style w:type="character" w:styleId="Annotationtext1111">
    <w:name w:val="annotation text1111"/>
    <w:link w:val="Annotationtext11111"/>
    <w:qFormat/>
    <w:rPr>
      <w:sz w:val="2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Textbody1111">
    <w:name w:val="Text body1111"/>
    <w:link w:val="Textbody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2">
    <w:name w:val="Heading 512"/>
    <w:link w:val="Heading5121"/>
    <w:qFormat/>
    <w:rPr>
      <w:rFonts w:ascii="XO Thames" w:hAnsi="XO Thames"/>
      <w:b/>
      <w:color w:val="000000"/>
      <w:spacing w:val="0"/>
      <w:sz w:val="22"/>
    </w:rPr>
  </w:style>
  <w:style w:type="character" w:styleId="11113">
    <w:name w:val="Колонтитул1111"/>
    <w:link w:val="1111117"/>
    <w:qFormat/>
    <w:rPr>
      <w:rFonts w:ascii="XO Thames" w:hAnsi="XO Thames"/>
      <w:color w:val="000000"/>
      <w:spacing w:val="0"/>
      <w:sz w:val="20"/>
    </w:rPr>
  </w:style>
  <w:style w:type="character" w:styleId="2111111">
    <w:name w:val="Указатель2111111"/>
    <w:link w:val="211111111"/>
    <w:qFormat/>
    <w:rPr/>
  </w:style>
  <w:style w:type="character" w:styleId="Contents91111">
    <w:name w:val="Contents 91111"/>
    <w:link w:val="Contents911111"/>
    <w:qFormat/>
    <w:rPr>
      <w:rFonts w:ascii="XO Thames" w:hAnsi="XO Thames"/>
      <w:color w:val="000000"/>
      <w:spacing w:val="0"/>
      <w:sz w:val="28"/>
    </w:rPr>
  </w:style>
  <w:style w:type="character" w:styleId="Contents71111">
    <w:name w:val="Contents 71111"/>
    <w:link w:val="Contents711111"/>
    <w:qFormat/>
    <w:rPr>
      <w:rFonts w:ascii="XO Thames" w:hAnsi="XO Thames"/>
      <w:color w:val="000000"/>
      <w:spacing w:val="0"/>
      <w:sz w:val="28"/>
    </w:rPr>
  </w:style>
  <w:style w:type="character" w:styleId="11114">
    <w:name w:val="Содержимое таблицы1111"/>
    <w:link w:val="1111118"/>
    <w:qFormat/>
    <w:rPr/>
  </w:style>
  <w:style w:type="character" w:styleId="Header211">
    <w:name w:val="Header211"/>
    <w:link w:val="Header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3">
    <w:name w:val="Заголовок таблицы2111"/>
    <w:basedOn w:val="21111"/>
    <w:link w:val="211115"/>
    <w:qFormat/>
    <w:rPr>
      <w:b/>
    </w:rPr>
  </w:style>
  <w:style w:type="character" w:styleId="12">
    <w:name w:val="Указатель1"/>
    <w:link w:val="114"/>
    <w:qFormat/>
    <w:rPr/>
  </w:style>
  <w:style w:type="character" w:styleId="211111">
    <w:name w:val="Заголовок 211111"/>
    <w:link w:val="21111112"/>
    <w:qFormat/>
    <w:rPr>
      <w:rFonts w:ascii="XO Thames" w:hAnsi="XO Thames"/>
      <w:b/>
      <w:color w:val="000000"/>
      <w:spacing w:val="0"/>
      <w:sz w:val="28"/>
    </w:rPr>
  </w:style>
  <w:style w:type="character" w:styleId="Heading511">
    <w:name w:val="Heading 511"/>
    <w:link w:val="Heading513"/>
    <w:qFormat/>
    <w:rPr>
      <w:rFonts w:ascii="XO Thames" w:hAnsi="XO Thames"/>
      <w:b/>
      <w:color w:val="000000"/>
      <w:spacing w:val="0"/>
      <w:sz w:val="22"/>
    </w:rPr>
  </w:style>
  <w:style w:type="character" w:styleId="13">
    <w:name w:val="Колонтитул1"/>
    <w:link w:val="115"/>
    <w:qFormat/>
    <w:rPr>
      <w:rFonts w:ascii="XO Thames" w:hAnsi="XO Thames"/>
      <w:color w:val="000000"/>
      <w:spacing w:val="0"/>
      <w:sz w:val="20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Heading11111">
    <w:name w:val="Heading 11111"/>
    <w:link w:val="Heading111111"/>
    <w:qFormat/>
    <w:rPr>
      <w:rFonts w:ascii="XO Thames" w:hAnsi="XO Thames"/>
      <w:b/>
      <w:color w:val="000000"/>
      <w:spacing w:val="0"/>
      <w:sz w:val="32"/>
    </w:rPr>
  </w:style>
  <w:style w:type="character" w:styleId="List11">
    <w:name w:val="List11"/>
    <w:basedOn w:val="Textbody1111"/>
    <w:link w:val="List13"/>
    <w:qFormat/>
    <w:rPr/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31111">
    <w:name w:val="Содержимое врезки3111"/>
    <w:link w:val="311113"/>
    <w:qFormat/>
    <w:rPr/>
  </w:style>
  <w:style w:type="character" w:styleId="Contents53">
    <w:name w:val="Contents 53"/>
    <w:link w:val="Contents531"/>
    <w:qFormat/>
    <w:rPr>
      <w:rFonts w:ascii="XO Thames" w:hAnsi="XO Thames"/>
      <w:color w:val="000000"/>
      <w:spacing w:val="0"/>
      <w:sz w:val="28"/>
    </w:rPr>
  </w:style>
  <w:style w:type="character" w:styleId="ListParagraph1111">
    <w:name w:val="List Paragraph1111"/>
    <w:link w:val="ListParagraph11111"/>
    <w:qFormat/>
    <w:rPr/>
  </w:style>
  <w:style w:type="character" w:styleId="Contents31111">
    <w:name w:val="Contents 31111"/>
    <w:link w:val="Contents311111"/>
    <w:qFormat/>
    <w:rPr>
      <w:rFonts w:ascii="XO Thames" w:hAnsi="XO Thames"/>
      <w:color w:val="000000"/>
      <w:spacing w:val="0"/>
      <w:sz w:val="28"/>
    </w:rPr>
  </w:style>
  <w:style w:type="character" w:styleId="Contents821">
    <w:name w:val="Contents 821"/>
    <w:link w:val="Contents821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color w:val="000000"/>
      <w:spacing w:val="0"/>
      <w:sz w:val="28"/>
    </w:rPr>
  </w:style>
  <w:style w:type="character" w:styleId="Style11">
    <w:name w:val="Заголовок таблицы"/>
    <w:basedOn w:val="Style9"/>
    <w:link w:val="16"/>
    <w:qFormat/>
    <w:rPr>
      <w:b/>
    </w:rPr>
  </w:style>
  <w:style w:type="character" w:styleId="4">
    <w:name w:val="Содержимое врезки4"/>
    <w:link w:val="411"/>
    <w:qFormat/>
    <w:rPr/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111115">
    <w:name w:val="Название объекта11111"/>
    <w:link w:val="1111119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111116">
    <w:name w:val="Список11111"/>
    <w:basedOn w:val="Textbody1111"/>
    <w:link w:val="11111110"/>
    <w:qFormat/>
    <w:rPr/>
  </w:style>
  <w:style w:type="character" w:styleId="2">
    <w:name w:val="Колонтитул2"/>
    <w:link w:val="211"/>
    <w:qFormat/>
    <w:rPr/>
  </w:style>
  <w:style w:type="character" w:styleId="12112">
    <w:name w:val="Указатель1211"/>
    <w:link w:val="121122"/>
    <w:qFormat/>
    <w:rPr/>
  </w:style>
  <w:style w:type="character" w:styleId="122">
    <w:name w:val="Заголовок12"/>
    <w:link w:val="1221"/>
    <w:qFormat/>
    <w:rPr>
      <w:rFonts w:ascii="Open Sans" w:hAnsi="Open Sans"/>
      <w:sz w:val="28"/>
    </w:rPr>
  </w:style>
  <w:style w:type="character" w:styleId="11115">
    <w:name w:val="Содержимое врезки1111"/>
    <w:link w:val="1111120"/>
    <w:qFormat/>
    <w:rPr/>
  </w:style>
  <w:style w:type="character" w:styleId="Title1">
    <w:name w:val="Title1"/>
    <w:qFormat/>
    <w:rPr>
      <w:rFonts w:ascii="Open Sans" w:hAnsi="Open San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111117">
    <w:name w:val="Верхний колонтитул11111"/>
    <w:link w:val="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31">
    <w:name w:val="Содержимое врезки3"/>
    <w:link w:val="312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Contents73">
    <w:name w:val="Contents 73"/>
    <w:link w:val="Contents731"/>
    <w:qFormat/>
    <w:rPr>
      <w:rFonts w:ascii="XO Thames" w:hAnsi="XO Thames"/>
      <w:color w:val="000000"/>
      <w:spacing w:val="0"/>
      <w:sz w:val="28"/>
    </w:rPr>
  </w:style>
  <w:style w:type="character" w:styleId="41">
    <w:name w:val="Колонтитул4"/>
    <w:link w:val="412"/>
    <w:qFormat/>
    <w:rPr/>
  </w:style>
  <w:style w:type="character" w:styleId="Contents721">
    <w:name w:val="Contents 721"/>
    <w:link w:val="Contents7211"/>
    <w:qFormat/>
    <w:rPr>
      <w:rFonts w:ascii="XO Thames" w:hAnsi="XO Thames"/>
      <w:color w:val="000000"/>
      <w:spacing w:val="0"/>
      <w:sz w:val="28"/>
    </w:rPr>
  </w:style>
  <w:style w:type="character" w:styleId="111118">
    <w:name w:val="Заголовок11111"/>
    <w:link w:val="11111113"/>
    <w:qFormat/>
    <w:rPr>
      <w:rFonts w:ascii="Open Sans" w:hAnsi="Open Sans"/>
      <w:color w:val="000000"/>
      <w:spacing w:val="0"/>
      <w:sz w:val="28"/>
    </w:rPr>
  </w:style>
  <w:style w:type="character" w:styleId="Heading1211">
    <w:name w:val="Heading 1211"/>
    <w:link w:val="Heading12111"/>
    <w:qFormat/>
    <w:rPr>
      <w:rFonts w:ascii="XO Thames" w:hAnsi="XO Thames"/>
      <w:b/>
      <w:color w:val="000000"/>
      <w:spacing w:val="0"/>
      <w:sz w:val="32"/>
    </w:rPr>
  </w:style>
  <w:style w:type="character" w:styleId="Contents91">
    <w:name w:val="Contents 91"/>
    <w:link w:val="Contents92"/>
    <w:qFormat/>
    <w:rPr>
      <w:rFonts w:ascii="XO Thames" w:hAnsi="XO Thames"/>
      <w:color w:val="000000"/>
      <w:spacing w:val="0"/>
      <w:sz w:val="28"/>
    </w:rPr>
  </w:style>
  <w:style w:type="character" w:styleId="311111">
    <w:name w:val="Заголовок 311111"/>
    <w:link w:val="3111111"/>
    <w:qFormat/>
    <w:rPr>
      <w:rFonts w:ascii="XO Thames" w:hAnsi="XO Thames"/>
      <w:b/>
      <w:color w:val="000000"/>
      <w:spacing w:val="0"/>
      <w:sz w:val="26"/>
    </w:rPr>
  </w:style>
  <w:style w:type="character" w:styleId="123">
    <w:name w:val="Указатель12"/>
    <w:link w:val="1222"/>
    <w:qFormat/>
    <w:rPr/>
  </w:style>
  <w:style w:type="character" w:styleId="21">
    <w:name w:val="Содержимое врезки2"/>
    <w:link w:val="212"/>
    <w:qFormat/>
    <w:rPr/>
  </w:style>
  <w:style w:type="character" w:styleId="21111111">
    <w:name w:val="Заголовок2111111"/>
    <w:link w:val="211111112"/>
    <w:qFormat/>
    <w:rPr>
      <w:rFonts w:ascii="Open Sans" w:hAnsi="Open Sans"/>
      <w:sz w:val="2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Колонтитул31"/>
    <w:basedOn w:val="Normal"/>
    <w:link w:val="3"/>
    <w:qFormat/>
    <w:pPr/>
    <w:rPr/>
  </w:style>
  <w:style w:type="paragraph" w:styleId="1111112">
    <w:name w:val="Нижний колонтитул111111"/>
    <w:link w:val="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Содержимое врезки51"/>
    <w:basedOn w:val="Normal"/>
    <w:link w:val="5"/>
    <w:qFormat/>
    <w:pPr/>
    <w:rPr/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">
    <w:name w:val="Heading 51311"/>
    <w:link w:val="Heading5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">
    <w:name w:val="Заголовок 4111111"/>
    <w:link w:val="4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Содержимое таблицы1"/>
    <w:basedOn w:val="Normal"/>
    <w:link w:val="Style9"/>
    <w:qFormat/>
    <w:pPr>
      <w:widowControl w:val="false"/>
    </w:pPr>
    <w:rPr/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">
    <w:name w:val="Footer12111"/>
    <w:link w:val="Footer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1">
    <w:name w:val="Footer1311"/>
    <w:link w:val="Footer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11">
    <w:name w:val="index heading11111"/>
    <w:basedOn w:val="Normal"/>
    <w:link w:val="Indexheading1111"/>
    <w:qFormat/>
    <w:pPr/>
    <w:rPr/>
  </w:style>
  <w:style w:type="paragraph" w:styleId="411112">
    <w:name w:val="Колонтитул41111"/>
    <w:basedOn w:val="Normal"/>
    <w:link w:val="4111"/>
    <w:qFormat/>
    <w:pPr/>
    <w:rPr/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611">
    <w:name w:val="Колонтитул61"/>
    <w:basedOn w:val="Normal"/>
    <w:link w:val="6"/>
    <w:qFormat/>
    <w:pPr/>
    <w:rPr/>
  </w:style>
  <w:style w:type="paragraph" w:styleId="Contents431">
    <w:name w:val="Contents 431"/>
    <w:link w:val="Contents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1">
    <w:name w:val="bx-messenger-ajax11111"/>
    <w:basedOn w:val="1111116"/>
    <w:link w:val="Bx-messenger-ajax1111"/>
    <w:qFormat/>
    <w:pPr/>
    <w:rPr/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2">
    <w:name w:val="Колонтитул31111"/>
    <w:basedOn w:val="Normal"/>
    <w:link w:val="3111"/>
    <w:qFormat/>
    <w:pPr/>
    <w:rPr/>
  </w:style>
  <w:style w:type="paragraph" w:styleId="DefaultParagraphFont11111">
    <w:name w:val="Default Paragraph Font11111"/>
    <w:link w:val="DefaultParagraphFon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">
    <w:name w:val="Заголовок22111"/>
    <w:basedOn w:val="Normal"/>
    <w:next w:val="BodyText"/>
    <w:link w:val="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2">
    <w:name w:val="Заголовок11"/>
    <w:basedOn w:val="Normal"/>
    <w:next w:val="BodyText"/>
    <w:link w:val="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211">
    <w:name w:val="Contents 3211"/>
    <w:link w:val="Contents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21111">
    <w:name w:val="Заголовок2112111"/>
    <w:basedOn w:val="Normal"/>
    <w:next w:val="BodyText"/>
    <w:link w:val="2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211">
    <w:name w:val="Internet link211"/>
    <w:basedOn w:val="DefaultParagraphFont11111"/>
    <w:link w:val="Internetlink21"/>
    <w:qFormat/>
    <w:pPr/>
    <w:rPr>
      <w:color w:themeColor="hyperlink" w:val="0563C1"/>
      <w:u w:val="single"/>
    </w:rPr>
  </w:style>
  <w:style w:type="paragraph" w:styleId="Title2111">
    <w:name w:val="Title2111"/>
    <w:link w:val="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31111">
    <w:name w:val="caption31111"/>
    <w:basedOn w:val="Normal"/>
    <w:link w:val="Caption3111"/>
    <w:qFormat/>
    <w:pPr>
      <w:spacing w:before="120" w:after="120"/>
    </w:pPr>
    <w:rPr>
      <w:i/>
      <w:sz w:val="24"/>
    </w:rPr>
  </w:style>
  <w:style w:type="paragraph" w:styleId="Caption12111">
    <w:name w:val="Caption12111"/>
    <w:link w:val="Caption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1111">
    <w:name w:val="Contents 811111"/>
    <w:link w:val="Contents8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">
    <w:name w:val="List12111"/>
    <w:basedOn w:val="Textbody11111"/>
    <w:link w:val="List1211"/>
    <w:qFormat/>
    <w:pPr/>
    <w:rPr/>
  </w:style>
  <w:style w:type="paragraph" w:styleId="Footer121">
    <w:name w:val="Footer121"/>
    <w:link w:val="Foot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">
    <w:name w:val="Заголовок 5111111"/>
    <w:link w:val="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9">
    <w:name w:val="Заголовок таблицы11111"/>
    <w:basedOn w:val="1111118"/>
    <w:link w:val="1111"/>
    <w:qFormat/>
    <w:pPr>
      <w:jc w:val="center"/>
    </w:pPr>
    <w:rPr>
      <w:b/>
    </w:rPr>
  </w:style>
  <w:style w:type="paragraph" w:styleId="Contents2211">
    <w:name w:val="Contents 2211"/>
    <w:link w:val="Contents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">
    <w:name w:val="Internet link11111"/>
    <w:basedOn w:val="DefaultParagraphFont11111"/>
    <w:link w:val="Internetlink1111"/>
    <w:qFormat/>
    <w:pPr/>
    <w:rPr>
      <w:color w:themeColor="hyperlink" w:val="0563C1"/>
      <w:u w:val="single"/>
    </w:rPr>
  </w:style>
  <w:style w:type="paragraph" w:styleId="Contents631">
    <w:name w:val="Contents 631"/>
    <w:link w:val="Contents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">
    <w:name w:val="Balloon Text11111"/>
    <w:basedOn w:val="Normal"/>
    <w:link w:val="BalloonText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51111">
    <w:name w:val="Колонтитул51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1">
    <w:name w:val="Header121"/>
    <w:link w:val="Header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21">
    <w:name w:val="Указатель1212"/>
    <w:basedOn w:val="Normal"/>
    <w:link w:val="121"/>
    <w:qFormat/>
    <w:pPr/>
    <w:rPr/>
  </w:style>
  <w:style w:type="paragraph" w:styleId="Heading1121">
    <w:name w:val="Heading 1121"/>
    <w:link w:val="Heading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112">
    <w:name w:val="Заголовок121112"/>
    <w:basedOn w:val="Normal"/>
    <w:next w:val="BodyText"/>
    <w:link w:val="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PlainText11111">
    <w:name w:val="Plain Text11111"/>
    <w:basedOn w:val="Normal"/>
    <w:link w:val="PlainText1111"/>
    <w:qFormat/>
    <w:pPr>
      <w:spacing w:lineRule="auto" w:line="240" w:before="0" w:after="0"/>
    </w:pPr>
    <w:rPr>
      <w:rFonts w:ascii="Calibri" w:hAnsi="Calibri"/>
    </w:rPr>
  </w:style>
  <w:style w:type="paragraph" w:styleId="List1311">
    <w:name w:val="List1311"/>
    <w:basedOn w:val="Textbody11111"/>
    <w:link w:val="List131"/>
    <w:qFormat/>
    <w:pPr/>
    <w:rPr/>
  </w:style>
  <w:style w:type="paragraph" w:styleId="Heading512111">
    <w:name w:val="Heading 512111"/>
    <w:link w:val="Heading5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21111">
    <w:name w:val="Указатель212111"/>
    <w:basedOn w:val="Normal"/>
    <w:link w:val="21211"/>
    <w:qFormat/>
    <w:pPr/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">
    <w:name w:val="Heading 31311"/>
    <w:link w:val="Heading3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3">
    <w:name w:val="Знак примечания111111"/>
    <w:basedOn w:val="1111116"/>
    <w:link w:val="111111"/>
    <w:qFormat/>
    <w:pPr/>
    <w:rPr>
      <w:sz w:val="16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3">
    <w:name w:val="Колонтитул51"/>
    <w:basedOn w:val="Normal"/>
    <w:link w:val="51"/>
    <w:qFormat/>
    <w:pPr/>
    <w:rPr/>
  </w:style>
  <w:style w:type="paragraph" w:styleId="Contents111111">
    <w:name w:val="Contents 111111"/>
    <w:link w:val="Contents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3">
    <w:name w:val="Header13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11">
    <w:name w:val="Endnote11111"/>
    <w:link w:val="End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">
    <w:name w:val="Text body111"/>
    <w:link w:val="Textbody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">
    <w:name w:val="Contents 611111"/>
    <w:link w:val="Contents6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2">
    <w:name w:val="Содержимое врезки61"/>
    <w:basedOn w:val="Normal"/>
    <w:link w:val="61"/>
    <w:qFormat/>
    <w:pPr/>
    <w:rPr/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6">
    <w:name w:val="Указатель1111"/>
    <w:basedOn w:val="Normal"/>
    <w:link w:val="111"/>
    <w:qFormat/>
    <w:pPr/>
    <w:rPr/>
  </w:style>
  <w:style w:type="paragraph" w:styleId="1211121">
    <w:name w:val="Указатель121112"/>
    <w:basedOn w:val="Normal"/>
    <w:link w:val="121111"/>
    <w:qFormat/>
    <w:pPr/>
    <w:rPr/>
  </w:style>
  <w:style w:type="paragraph" w:styleId="11111111">
    <w:name w:val="Заголовок 1111111"/>
    <w:link w:val="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114">
    <w:name w:val="Указатель111111"/>
    <w:link w:val="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111">
    <w:name w:val="Указатель1211111"/>
    <w:basedOn w:val="Normal"/>
    <w:link w:val="1211111"/>
    <w:qFormat/>
    <w:pPr/>
    <w:rPr/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basedOn w:val="DefaultParagraphFont11111"/>
    <w:link w:val="Internetlink"/>
    <w:qFormat/>
    <w:pPr/>
    <w:rPr>
      <w:color w:themeColor="hyperlink" w:val="0563C1"/>
      <w:u w:val="single"/>
    </w:rPr>
  </w:style>
  <w:style w:type="paragraph" w:styleId="Contents211111">
    <w:name w:val="Contents 211111"/>
    <w:link w:val="Contents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5">
    <w:name w:val="Подзаголовок111111"/>
    <w:link w:val="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Символ нумерации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">
    <w:name w:val="Contents 331"/>
    <w:link w:val="Contents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3">
    <w:name w:val="Содержимое врезки41111"/>
    <w:basedOn w:val="Normal"/>
    <w:link w:val="41111"/>
    <w:qFormat/>
    <w:pPr/>
    <w:rPr/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2">
    <w:name w:val="Заголовок1211111"/>
    <w:basedOn w:val="Normal"/>
    <w:next w:val="BodyText"/>
    <w:link w:val="12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2111">
    <w:name w:val="Heading 312111"/>
    <w:link w:val="Heading3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1111">
    <w:name w:val="Caption1111"/>
    <w:link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0">
    <w:name w:val="Символ нумерации11111"/>
    <w:link w:val="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112">
    <w:name w:val="Колонтитул21111"/>
    <w:basedOn w:val="Normal"/>
    <w:link w:val="2111"/>
    <w:qFormat/>
    <w:pPr/>
    <w:rPr/>
  </w:style>
  <w:style w:type="paragraph" w:styleId="1111116">
    <w:name w:val="Основной шрифт абзаца111111"/>
    <w:link w:val="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2"/>
    <w:basedOn w:val="DefaultParagraphFont11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subject11111">
    <w:name w:val="annotation subject11111"/>
    <w:basedOn w:val="Annotationtext11111"/>
    <w:next w:val="Annotationtext11111"/>
    <w:link w:val="Annotationsubject1111"/>
    <w:qFormat/>
    <w:pPr/>
    <w:rPr>
      <w:b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21112">
    <w:name w:val="Указатель2112111"/>
    <w:basedOn w:val="Normal"/>
    <w:link w:val="2112111"/>
    <w:qFormat/>
    <w:pPr/>
    <w:rPr/>
  </w:style>
  <w:style w:type="paragraph" w:styleId="211113">
    <w:name w:val="Содержимое таблицы21111"/>
    <w:basedOn w:val="Normal"/>
    <w:link w:val="21111"/>
    <w:qFormat/>
    <w:pPr>
      <w:widowControl w:val="false"/>
    </w:pPr>
    <w:rPr/>
  </w:style>
  <w:style w:type="paragraph" w:styleId="Contents411111">
    <w:name w:val="Contents 411111"/>
    <w:link w:val="Contents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">
    <w:name w:val="Contents 511111"/>
    <w:link w:val="Contents5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">
    <w:name w:val="Заголовок12112"/>
    <w:basedOn w:val="Normal"/>
    <w:next w:val="BodyText"/>
    <w:link w:val="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211">
    <w:name w:val="Contents 5211"/>
    <w:link w:val="Contents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">
    <w:name w:val="Title11111"/>
    <w:link w:val="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">
    <w:name w:val="List121"/>
    <w:basedOn w:val="Textbody11111"/>
    <w:link w:val="List12"/>
    <w:qFormat/>
    <w:pPr/>
    <w:rPr/>
  </w:style>
  <w:style w:type="paragraph" w:styleId="Contents9111">
    <w:name w:val="Contents 9111"/>
    <w:link w:val="Contents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2">
    <w:name w:val="Заголовок212111"/>
    <w:basedOn w:val="Normal"/>
    <w:next w:val="BodyText"/>
    <w:link w:val="2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3">
    <w:name w:val="Содержимое врезки11"/>
    <w:basedOn w:val="Normal"/>
    <w:link w:val="11"/>
    <w:qFormat/>
    <w:pPr/>
    <w:rPr/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22">
    <w:name w:val="Заголовок1212"/>
    <w:basedOn w:val="Normal"/>
    <w:next w:val="BodyText"/>
    <w:link w:val="12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">
    <w:name w:val="Internet link111"/>
    <w:basedOn w:val="DefaultParagraphFont11111"/>
    <w:link w:val="Internetlink11"/>
    <w:qFormat/>
    <w:pPr/>
    <w:rPr>
      <w:color w:themeColor="hyperlink" w:val="0563C1"/>
      <w:u w:val="single"/>
    </w:rPr>
  </w:style>
  <w:style w:type="paragraph" w:styleId="Heading113">
    <w:name w:val="Heading 113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51112">
    <w:name w:val="Содержимое врезки5111"/>
    <w:basedOn w:val="Normal"/>
    <w:link w:val="5111"/>
    <w:qFormat/>
    <w:pPr/>
    <w:rPr/>
  </w:style>
  <w:style w:type="paragraph" w:styleId="Docdata11111">
    <w:name w:val="docdata11111"/>
    <w:basedOn w:val="1111116"/>
    <w:link w:val="Docdata1111"/>
    <w:qFormat/>
    <w:pPr/>
    <w:rPr/>
  </w:style>
  <w:style w:type="paragraph" w:styleId="Title111">
    <w:name w:val="Title111"/>
    <w:link w:val="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7">
    <w:name w:val="Заголовок1111"/>
    <w:basedOn w:val="Normal"/>
    <w:next w:val="BodyText"/>
    <w:link w:val="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211">
    <w:name w:val="Contents 4211"/>
    <w:link w:val="Contents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4">
    <w:name w:val="Содержимое врезки21111"/>
    <w:basedOn w:val="Normal"/>
    <w:link w:val="21112"/>
    <w:qFormat/>
    <w:pPr/>
    <w:rPr/>
  </w:style>
  <w:style w:type="paragraph" w:styleId="Heading3121">
    <w:name w:val="Heading 3121"/>
    <w:link w:val="Heading3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11111">
    <w:name w:val="Header11111"/>
    <w:link w:val="Header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2">
    <w:name w:val="Указатель22111"/>
    <w:basedOn w:val="Normal"/>
    <w:link w:val="22111"/>
    <w:qFormat/>
    <w:pPr/>
    <w:rPr/>
  </w:style>
  <w:style w:type="paragraph" w:styleId="Annotationtext11111">
    <w:name w:val="annotation text11111"/>
    <w:basedOn w:val="Normal"/>
    <w:link w:val="Annotationtext1111"/>
    <w:qFormat/>
    <w:pPr>
      <w:spacing w:lineRule="auto" w:line="240"/>
    </w:pPr>
    <w:rPr>
      <w:sz w:val="20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11">
    <w:name w:val="Text body11111"/>
    <w:link w:val="Textbody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1">
    <w:name w:val="Heading 5121"/>
    <w:link w:val="Heading5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7">
    <w:name w:val="Колонтитул11111"/>
    <w:link w:val="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1111111">
    <w:name w:val="Указатель21111111"/>
    <w:basedOn w:val="Normal"/>
    <w:link w:val="2111111"/>
    <w:qFormat/>
    <w:pPr/>
    <w:rPr/>
  </w:style>
  <w:style w:type="paragraph" w:styleId="Contents911111">
    <w:name w:val="Contents 911111"/>
    <w:link w:val="Contents9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111">
    <w:name w:val="Contents 711111"/>
    <w:link w:val="Contents7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8">
    <w:name w:val="Содержимое таблицы11111"/>
    <w:basedOn w:val="Normal"/>
    <w:link w:val="11114"/>
    <w:qFormat/>
    <w:pPr>
      <w:widowControl w:val="false"/>
    </w:pPr>
    <w:rPr/>
  </w:style>
  <w:style w:type="paragraph" w:styleId="Header2111">
    <w:name w:val="Header2111"/>
    <w:link w:val="Header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5">
    <w:name w:val="Заголовок таблицы21111"/>
    <w:basedOn w:val="211113"/>
    <w:link w:val="21113"/>
    <w:qFormat/>
    <w:pPr>
      <w:jc w:val="center"/>
    </w:pPr>
    <w:rPr>
      <w:b/>
    </w:rPr>
  </w:style>
  <w:style w:type="paragraph" w:styleId="114">
    <w:name w:val="Указатель11"/>
    <w:basedOn w:val="Normal"/>
    <w:link w:val="12"/>
    <w:qFormat/>
    <w:pPr/>
    <w:rPr/>
  </w:style>
  <w:style w:type="paragraph" w:styleId="21111112">
    <w:name w:val="Заголовок 2111111"/>
    <w:link w:val="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">
    <w:name w:val="Heading 513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Колонтитул11"/>
    <w:link w:val="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">
    <w:name w:val="Heading 111111"/>
    <w:link w:val="Heading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3">
    <w:name w:val="List13"/>
    <w:basedOn w:val="Textbody11111"/>
    <w:link w:val="List11"/>
    <w:qFormat/>
    <w:pPr/>
    <w:rPr/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3">
    <w:name w:val="Содержимое врезки31111"/>
    <w:basedOn w:val="Normal"/>
    <w:link w:val="31111"/>
    <w:qFormat/>
    <w:pPr/>
    <w:rPr/>
  </w:style>
  <w:style w:type="paragraph" w:styleId="Contents531">
    <w:name w:val="Contents 531"/>
    <w:link w:val="Contents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11">
    <w:name w:val="List Paragraph11111"/>
    <w:basedOn w:val="Normal"/>
    <w:link w:val="ListParagraph1111"/>
    <w:qFormat/>
    <w:pPr>
      <w:spacing w:before="0" w:after="160"/>
      <w:ind w:hanging="0" w:left="720" w:right="0"/>
      <w:contextualSpacing/>
    </w:pPr>
    <w:rPr/>
  </w:style>
  <w:style w:type="paragraph" w:styleId="Contents311111">
    <w:name w:val="Contents 311111"/>
    <w:link w:val="Contents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Заголовок таблицы1"/>
    <w:basedOn w:val="14"/>
    <w:link w:val="Style11"/>
    <w:qFormat/>
    <w:pPr>
      <w:jc w:val="center"/>
    </w:pPr>
    <w:rPr>
      <w:b/>
    </w:rPr>
  </w:style>
  <w:style w:type="paragraph" w:styleId="411">
    <w:name w:val="Содержимое врезки41"/>
    <w:basedOn w:val="Normal"/>
    <w:link w:val="4"/>
    <w:qFormat/>
    <w:pPr/>
    <w:rPr/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9">
    <w:name w:val="Название объекта111111"/>
    <w:link w:val="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0">
    <w:name w:val="Список111111"/>
    <w:basedOn w:val="Textbody11111"/>
    <w:link w:val="111116"/>
    <w:qFormat/>
    <w:pPr/>
    <w:rPr/>
  </w:style>
  <w:style w:type="paragraph" w:styleId="211">
    <w:name w:val="Колонтитул21"/>
    <w:basedOn w:val="Normal"/>
    <w:link w:val="2"/>
    <w:qFormat/>
    <w:pPr/>
    <w:rPr/>
  </w:style>
  <w:style w:type="paragraph" w:styleId="121122">
    <w:name w:val="Указатель12112"/>
    <w:basedOn w:val="Normal"/>
    <w:link w:val="12112"/>
    <w:qFormat/>
    <w:pPr/>
    <w:rPr/>
  </w:style>
  <w:style w:type="paragraph" w:styleId="1221">
    <w:name w:val="Заголовок122"/>
    <w:basedOn w:val="Normal"/>
    <w:next w:val="BodyText"/>
    <w:link w:val="12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20">
    <w:name w:val="Содержимое врезки11111"/>
    <w:basedOn w:val="Normal"/>
    <w:link w:val="11115"/>
    <w:qFormat/>
    <w:pPr/>
    <w:rPr/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2">
    <w:name w:val="Верхний колонтитул111111"/>
    <w:link w:val="111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12">
    <w:name w:val="Содержимое врезки31"/>
    <w:basedOn w:val="Normal"/>
    <w:link w:val="31"/>
    <w:qFormat/>
    <w:pPr/>
    <w:rPr/>
  </w:style>
  <w:style w:type="paragraph" w:styleId="Contents731">
    <w:name w:val="Contents 731"/>
    <w:link w:val="Contents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Колонтитул41"/>
    <w:basedOn w:val="Normal"/>
    <w:link w:val="41"/>
    <w:qFormat/>
    <w:pPr/>
    <w:rPr/>
  </w:style>
  <w:style w:type="paragraph" w:styleId="Contents7211">
    <w:name w:val="Contents 7211"/>
    <w:link w:val="Contents7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3">
    <w:name w:val="Заголовок111111"/>
    <w:link w:val="111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">
    <w:name w:val="Heading 12111"/>
    <w:link w:val="Heading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92">
    <w:name w:val="Contents 92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">
    <w:name w:val="Заголовок 3111111"/>
    <w:link w:val="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22">
    <w:name w:val="Указатель122"/>
    <w:basedOn w:val="Normal"/>
    <w:link w:val="123"/>
    <w:qFormat/>
    <w:pPr/>
    <w:rPr/>
  </w:style>
  <w:style w:type="paragraph" w:styleId="212">
    <w:name w:val="Содержимое врезки21"/>
    <w:basedOn w:val="Normal"/>
    <w:link w:val="21"/>
    <w:qFormat/>
    <w:pPr/>
    <w:rPr/>
  </w:style>
  <w:style w:type="paragraph" w:styleId="211111112">
    <w:name w:val="Заголовок21111111"/>
    <w:basedOn w:val="Normal"/>
    <w:next w:val="BodyText"/>
    <w:link w:val="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5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22">
    <w:name w:val="Содержимое таблицы2"/>
    <w:basedOn w:val="Normal"/>
    <w:qFormat/>
    <w:pPr>
      <w:widowControl w:val="false"/>
      <w:suppressLineNumbers/>
    </w:pPr>
    <w:rPr/>
  </w:style>
  <w:style w:type="paragraph" w:styleId="23">
    <w:name w:val="Заголовок таблицы2"/>
    <w:basedOn w:val="22"/>
    <w:qFormat/>
    <w:pPr>
      <w:suppressLineNumbers/>
      <w:jc w:val="center"/>
    </w:pPr>
    <w:rPr>
      <w:b/>
      <w:bCs/>
    </w:rPr>
  </w:style>
  <w:style w:type="table" w:styleId="Style_196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Application>LibreOffice/7.6.7.2$Linux_X86_64 LibreOffice_project/60$Build-2</Application>
  <AppVersion>15.0000</AppVersion>
  <Pages>9</Pages>
  <Words>2608</Words>
  <Characters>16523</Characters>
  <CharactersWithSpaces>18765</CharactersWithSpaces>
  <Paragraphs>405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2024-07-02T16:19:52Z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