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header+xml" PartName="/word/head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ms-word.stylesWithEffects+xml" PartName="/word/stylesWithEffect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
<Relationships xmlns="http://schemas.openxmlformats.org/package/2006/relationships">
  <Relationship Id="rId3" Target="docProps/core.xml" Type="http://schemas.openxmlformats.org/package/2006/relationships/metadata/core-properties"/>
  <Relationship Id="rId2" Target="docProps/app.xml" Type="http://schemas.openxmlformats.org/officeDocument/2006/relationships/extended-properties"/>
  <Relationship Id="rId1" Target="word/document.xml" Type="http://schemas.openxmlformats.org/officeDocument/2006/relationships/officeDocument"/>
</Relationships>

</file>

<file path=word/document.xml><?xml version="1.0" encoding="utf-8"?>
<w:documen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body>
    <w:p w14:paraId="03000000">
      <w:pPr>
        <w:pStyle w:val="Style_3"/>
        <w:widowControl w:val="0"/>
        <w:spacing w:line="240" w:lineRule="auto"/>
        <w:ind/>
        <w:jc w:val="center"/>
        <w:rPr>
          <w:rFonts w:ascii="Times New Roman" w:hAnsi="Times New Roman"/>
        </w:rPr>
      </w:pPr>
      <w:r>
        <w:rPr>
          <w:b w:val="1"/>
          <w:color w:val="0C0C0C"/>
          <w:sz w:val="24"/>
        </w:rPr>
        <w:t>Пояснительная записка по основным параметрам прогноза</w:t>
      </w:r>
    </w:p>
    <w:p w14:paraId="04000000">
      <w:pPr>
        <w:pStyle w:val="Style_3"/>
        <w:widowControl w:val="0"/>
        <w:spacing w:line="240" w:lineRule="auto"/>
        <w:ind/>
        <w:jc w:val="center"/>
        <w:rPr>
          <w:rFonts w:ascii="Times New Roman" w:hAnsi="Times New Roman"/>
        </w:rPr>
      </w:pPr>
      <w:r>
        <w:rPr>
          <w:b w:val="1"/>
          <w:color w:val="0C0C0C"/>
          <w:sz w:val="24"/>
        </w:rPr>
        <w:t xml:space="preserve">социально-экономического развития Камчатского края </w:t>
      </w:r>
    </w:p>
    <w:p w14:paraId="05000000">
      <w:pPr>
        <w:pStyle w:val="Style_3"/>
        <w:widowControl w:val="0"/>
        <w:spacing w:line="240" w:lineRule="auto"/>
        <w:ind/>
        <w:jc w:val="center"/>
        <w:rPr>
          <w:rFonts w:ascii="Times New Roman" w:hAnsi="Times New Roman"/>
        </w:rPr>
      </w:pPr>
      <w:r>
        <w:rPr>
          <w:b w:val="1"/>
          <w:color w:val="0C0C0C"/>
          <w:sz w:val="24"/>
        </w:rPr>
        <w:t>на 2025 год и на плановый период 2026 и 2027 годов</w:t>
      </w:r>
    </w:p>
    <w:p w14:paraId="06000000">
      <w:pPr>
        <w:pStyle w:val="Style_2"/>
        <w:spacing w:line="240" w:lineRule="auto"/>
        <w:ind w:firstLine="709" w:left="0" w:right="0"/>
        <w:jc w:val="both"/>
        <w:rPr>
          <w:rFonts w:ascii="Times New Roman" w:hAnsi="Times New Roman"/>
          <w:color w:val="632523"/>
        </w:rPr>
      </w:pPr>
    </w:p>
    <w:p w14:paraId="07000000">
      <w:pPr>
        <w:pStyle w:val="Style_2"/>
        <w:spacing w:line="240" w:lineRule="auto"/>
        <w:ind w:firstLine="709" w:left="0" w:right="0"/>
        <w:jc w:val="both"/>
        <w:rPr>
          <w:rFonts w:ascii="Times New Roman" w:hAnsi="Times New Roman"/>
        </w:rPr>
      </w:pPr>
      <w:r>
        <w:rPr>
          <w:color w:val="0C0C0C"/>
        </w:rPr>
        <w:t>Прогноз социально-экономического развития Камчатского края на 2025 год и на плановый период 2026 и 2027 годов (далее – Прогноз) разработан во исполнение постановления Правительства Камчатского края от 08.04.2016 № 119-П «Об утверждении Порядка разработки и корректировки, осуществления мониторинга и контроля реализации прогнозов социально-экономического развития Камчатского края на среднесрочный и долгосрочный период», письма Минэкономразвития России от 03.05.2024 № 15354-ВД/Д14и «О разработке прогноза социально-экономического развития Российской Федерации», с учетом сценарных условий, основных параметров прогноза социально-экономического развития Российской Федерации и прогнозируемых изменений цен (тарифов) на товары, услуги хозяйствующих субъектов, осуществляющих регулируемые виды деятельности в инфраструктурном секторе на 2025 год и на плановый период 2026 и 2027 годов.</w:t>
      </w:r>
    </w:p>
    <w:p w14:paraId="08000000">
      <w:pPr>
        <w:pStyle w:val="Style_2"/>
        <w:spacing w:line="240" w:lineRule="auto"/>
        <w:ind w:firstLine="709" w:left="0" w:right="0"/>
        <w:jc w:val="both"/>
        <w:rPr>
          <w:rFonts w:ascii="Times New Roman" w:hAnsi="Times New Roman"/>
        </w:rPr>
      </w:pPr>
      <w:r>
        <w:rPr>
          <w:color w:val="0C0C0C"/>
        </w:rPr>
        <w:t>Основные показатели Прогноза разработаны с учетом оценок отраслевых исполнительных органов Камчатского края, перспективных планов хозяйствующих субъектов региона и других данных, представленных участниками разработки прогноза, на основе анализа сложившейся социально-экономической ситуации в крае за январь–май 2024 года, внешних условий и рисков, предполагаемого осуществления инвестиционных проектов на территории региона.</w:t>
      </w:r>
    </w:p>
    <w:p w14:paraId="09000000">
      <w:pPr>
        <w:pStyle w:val="Style_2"/>
        <w:spacing w:line="240" w:lineRule="auto"/>
        <w:ind w:firstLine="709" w:left="0" w:right="0"/>
        <w:jc w:val="both"/>
        <w:rPr>
          <w:rFonts w:ascii="Times New Roman" w:hAnsi="Times New Roman"/>
        </w:rPr>
      </w:pPr>
      <w:r>
        <w:rPr>
          <w:color w:val="0C0C0C"/>
        </w:rPr>
        <w:t>Прогноз содержит обоснование количественных показателей социально-экономического развития региона в прогнозируемом периоде, отражает возможности и степень выполнения целей и задач, поставленных исполнительными органами Камчатского края по социальному и экономическому развитию, учитывает основные направления бюджетной и налоговой политики Камчатского края на прогнозный период.</w:t>
      </w:r>
    </w:p>
    <w:p w14:paraId="0A000000">
      <w:pPr>
        <w:pStyle w:val="Style_2"/>
        <w:spacing w:line="240" w:lineRule="auto"/>
        <w:ind w:firstLine="709" w:left="0" w:right="0"/>
        <w:jc w:val="both"/>
        <w:rPr>
          <w:rFonts w:ascii="Times New Roman" w:hAnsi="Times New Roman"/>
          <w:color w:val="632523"/>
        </w:rPr>
      </w:pPr>
    </w:p>
    <w:p w14:paraId="0B000000">
      <w:pPr>
        <w:pStyle w:val="Style_2"/>
        <w:keepNext w:val="1"/>
        <w:keepLines w:val="1"/>
        <w:numPr>
          <w:ilvl w:val="0"/>
          <w:numId w:val="0"/>
        </w:numPr>
        <w:spacing w:line="240" w:lineRule="auto"/>
        <w:ind w:firstLine="0" w:left="0" w:right="0"/>
        <w:jc w:val="both"/>
        <w:outlineLvl w:val="0"/>
        <w:rPr>
          <w:rFonts w:ascii="Times New Roman" w:hAnsi="Times New Roman"/>
        </w:rPr>
      </w:pPr>
      <w:r>
        <w:rPr>
          <w:b w:val="1"/>
          <w:color w:val="0C0C0C"/>
        </w:rPr>
        <w:t>I. Оценка достигнутого уровня социально-экономического развития Камчатского края</w:t>
      </w:r>
    </w:p>
    <w:p w14:paraId="0C000000">
      <w:pPr>
        <w:pStyle w:val="Style_2"/>
        <w:spacing w:after="0" w:before="0" w:line="240" w:lineRule="auto"/>
        <w:ind w:firstLine="709" w:left="0" w:right="0"/>
        <w:jc w:val="both"/>
        <w:rPr>
          <w:rFonts w:ascii="Times New Roman" w:hAnsi="Times New Roman"/>
        </w:rPr>
      </w:pPr>
      <w:r>
        <w:rPr>
          <w:color w:val="0C0C0C"/>
        </w:rPr>
        <w:t>В условиях санкционного давления удалось не только адаптировать экономику Камчатского края, но и обеспечить уверенный рост в ключевых отраслях.</w:t>
      </w:r>
    </w:p>
    <w:p w14:paraId="0D000000">
      <w:pPr>
        <w:pStyle w:val="Style_2"/>
        <w:spacing w:after="0" w:before="0" w:line="240" w:lineRule="auto"/>
        <w:ind w:firstLine="709" w:left="0" w:right="0"/>
        <w:jc w:val="both"/>
        <w:rPr>
          <w:rFonts w:ascii="Times New Roman" w:hAnsi="Times New Roman"/>
        </w:rPr>
      </w:pPr>
      <w:r>
        <w:rPr>
          <w:color w:val="0C0C0C"/>
        </w:rPr>
        <w:t xml:space="preserve">Объем валового регионального продукта (далее </w:t>
      </w:r>
      <w:r>
        <w:rPr>
          <w:color w:val="0C0C0C"/>
        </w:rPr>
        <w:t>– ВРП)</w:t>
      </w:r>
      <w:r>
        <w:rPr>
          <w:color w:val="0C0C0C"/>
        </w:rPr>
        <w:t xml:space="preserve">, по оценке, вырос на 4,5% и превысил 395 млрд руб. </w:t>
      </w:r>
    </w:p>
    <w:p w14:paraId="0E000000">
      <w:pPr>
        <w:pStyle w:val="Style_2"/>
        <w:spacing w:after="0" w:before="0" w:line="240" w:lineRule="auto"/>
        <w:ind w:firstLine="709" w:left="0" w:right="0"/>
        <w:jc w:val="both"/>
        <w:rPr>
          <w:rFonts w:ascii="Times New Roman" w:hAnsi="Times New Roman"/>
        </w:rPr>
      </w:pPr>
      <w:r>
        <w:rPr>
          <w:color w:val="0C0C0C"/>
        </w:rPr>
        <w:t>По итогам 2023 года Камчатский край находится на 1 месте в России по самому главному показателю реального сектора экономики – темпу роста промышленного производства (+29,5%).</w:t>
      </w:r>
    </w:p>
    <w:p w14:paraId="0F000000">
      <w:pPr>
        <w:pStyle w:val="Style_2"/>
        <w:spacing w:after="0" w:before="0" w:line="240" w:lineRule="auto"/>
        <w:ind w:firstLine="709" w:left="0" w:right="0"/>
        <w:jc w:val="both"/>
        <w:rPr>
          <w:rFonts w:ascii="Times New Roman" w:hAnsi="Times New Roman"/>
        </w:rPr>
      </w:pPr>
      <w:r>
        <w:rPr>
          <w:color w:val="0C0C0C"/>
        </w:rPr>
        <w:t>Достигнуты рекордно высокие показатели вылова тихоокеанских лососей – 490 тыс. тонн. Это второй по величине результат в истории лососевого промысла Камчатки. И абсолютный рекорд по общим уловам – 1,8 млн тонн. Объемы производства пищевой рыбной продукции увеличены на треть и превысили 1,3 млн тонн.</w:t>
      </w:r>
    </w:p>
    <w:p w14:paraId="10000000">
      <w:pPr>
        <w:pStyle w:val="Style_2"/>
        <w:spacing w:after="0" w:before="0" w:line="240" w:lineRule="auto"/>
        <w:ind w:firstLine="709" w:left="0" w:right="0"/>
        <w:jc w:val="both"/>
        <w:rPr>
          <w:rFonts w:ascii="Times New Roman" w:hAnsi="Times New Roman"/>
        </w:rPr>
      </w:pPr>
      <w:r>
        <w:rPr>
          <w:color w:val="0C0C0C"/>
        </w:rPr>
        <w:t>Динамику роста показали: транспорт, жилищное строительство, розничная торговля, общепит, сфера платных услуг населению.</w:t>
      </w:r>
    </w:p>
    <w:p w14:paraId="11000000">
      <w:pPr>
        <w:pStyle w:val="Style_2"/>
        <w:spacing w:line="240" w:lineRule="auto"/>
        <w:ind w:firstLine="737" w:left="0" w:right="0"/>
        <w:jc w:val="both"/>
        <w:rPr>
          <w:rFonts w:ascii="Times New Roman" w:hAnsi="Times New Roman"/>
        </w:rPr>
      </w:pPr>
      <w:r>
        <w:rPr>
          <w:color w:val="0C0C0C"/>
        </w:rPr>
        <w:t xml:space="preserve">Рост добычи полезных ископаемых составил +35%, существенно увеличена добыча драгоценных металлов +29%. </w:t>
      </w:r>
    </w:p>
    <w:p w14:paraId="12000000">
      <w:pPr>
        <w:pStyle w:val="Style_2"/>
        <w:spacing w:line="240" w:lineRule="auto"/>
        <w:ind w:firstLine="737" w:left="0" w:right="0"/>
        <w:jc w:val="both"/>
        <w:rPr>
          <w:rFonts w:ascii="Times New Roman" w:hAnsi="Times New Roman"/>
        </w:rPr>
      </w:pPr>
      <w:r>
        <w:rPr>
          <w:color w:val="0C0C0C"/>
        </w:rPr>
        <w:t>По росту грузооборота автомобильного транспорта Камчатский край занимает первое место среди регионов ДФО – рост в 1,6 раза. Грузооборот морского транспорта увеличен на 10,5%.</w:t>
      </w:r>
    </w:p>
    <w:p w14:paraId="13000000">
      <w:pPr>
        <w:pStyle w:val="Style_2"/>
        <w:spacing w:line="240" w:lineRule="auto"/>
        <w:ind w:firstLine="737" w:left="0" w:right="0"/>
        <w:jc w:val="both"/>
        <w:rPr>
          <w:rFonts w:ascii="Times New Roman" w:hAnsi="Times New Roman"/>
        </w:rPr>
      </w:pPr>
      <w:r>
        <w:rPr>
          <w:color w:val="0C0C0C"/>
        </w:rPr>
        <w:t>Камчатский край один из лидеров среди субъектов ДФО по урожайности  картофеля (2 место) – 201,4 центнеров с гектара и овощей (4 место) 229,2 центнеров с гектара. Выросла самообеспеченность региона по мясу, молоку, яйцу и картофелю.</w:t>
      </w:r>
    </w:p>
    <w:p w14:paraId="14000000">
      <w:pPr>
        <w:pStyle w:val="Style_2"/>
        <w:spacing w:line="240" w:lineRule="auto"/>
        <w:ind w:firstLine="737" w:left="0" w:right="0"/>
        <w:jc w:val="both"/>
        <w:rPr>
          <w:rFonts w:ascii="Times New Roman" w:hAnsi="Times New Roman"/>
        </w:rPr>
      </w:pPr>
      <w:r>
        <w:rPr>
          <w:color w:val="0C0C0C"/>
        </w:rPr>
        <w:t>Второй год подряд наблюдается уверенный рост жилищного строительства +29%. Введено 87,0 тыс. кв. м жилья.</w:t>
      </w:r>
    </w:p>
    <w:p w14:paraId="15000000">
      <w:pPr>
        <w:pStyle w:val="Style_2"/>
        <w:spacing w:line="240" w:lineRule="auto"/>
        <w:ind w:firstLine="737" w:left="0" w:right="0"/>
        <w:jc w:val="both"/>
        <w:rPr>
          <w:rFonts w:ascii="Times New Roman" w:hAnsi="Times New Roman"/>
        </w:rPr>
      </w:pPr>
      <w:r>
        <w:rPr>
          <w:color w:val="0C0C0C"/>
        </w:rPr>
        <w:t xml:space="preserve">Рост экономики сопровождался высокой инвестиционной активностью +24%. Наибольший рост продемонстрировали: горнодобывающая отрасль (в 1,7 раза), транспортировка и хранение (в 2,0 раза), строительство (в 3,5 раза), сельское хозяйство (в 1,3 раза), деятельность гостиниц и общепит (в 1,5 раза), энергетика (в 1,4 раза). </w:t>
      </w:r>
    </w:p>
    <w:p w14:paraId="16000000">
      <w:pPr>
        <w:pStyle w:val="Style_2"/>
        <w:spacing w:line="240" w:lineRule="auto"/>
        <w:ind w:firstLine="737" w:left="0" w:right="0"/>
        <w:jc w:val="both"/>
        <w:rPr>
          <w:rFonts w:ascii="Times New Roman" w:hAnsi="Times New Roman"/>
        </w:rPr>
      </w:pPr>
      <w:r>
        <w:rPr>
          <w:color w:val="0C0C0C"/>
        </w:rPr>
        <w:t xml:space="preserve">В 2023 году в транспортировку и хранение инвестировано 64,1 млрд рублей. Это внебюджетные капиталовложения в морской перегрузочный комплекс сжиженного природного газа и строительство международного аэропорта. </w:t>
      </w:r>
    </w:p>
    <w:p w14:paraId="17000000">
      <w:pPr>
        <w:pStyle w:val="Style_2"/>
        <w:spacing w:line="240" w:lineRule="auto"/>
        <w:ind w:firstLine="737" w:left="0" w:right="0"/>
        <w:jc w:val="both"/>
        <w:rPr>
          <w:rFonts w:ascii="Times New Roman" w:hAnsi="Times New Roman"/>
        </w:rPr>
      </w:pPr>
      <w:r>
        <w:rPr>
          <w:color w:val="0C0C0C"/>
        </w:rPr>
        <w:t xml:space="preserve">В горнодобывающий комплекс вложено 9,1 млрд рублей. Рост обеспечен реализацией инвестиционных проектов по строительству горно-обогатительного комбината (далее </w:t>
      </w:r>
      <w:r>
        <w:rPr>
          <w:color w:val="0C0C0C"/>
        </w:rPr>
        <w:t>–</w:t>
      </w:r>
      <w:r>
        <w:rPr>
          <w:color w:val="0C0C0C"/>
        </w:rPr>
        <w:t xml:space="preserve"> ГОК) на месторождении Кумроч в Усть-Камчатском муниципальном районе, горнодобывающего предприятия на Асачинском месторождении, подземного рудника и модернизации ГОК на Аметистовом месторождении, ГОК на базе месторождений АО «Камчатское золото». </w:t>
      </w:r>
    </w:p>
    <w:p w14:paraId="18000000">
      <w:pPr>
        <w:pStyle w:val="Style_2"/>
        <w:spacing w:line="240" w:lineRule="auto"/>
        <w:ind w:firstLine="737" w:left="0" w:right="0"/>
        <w:jc w:val="both"/>
        <w:rPr>
          <w:rFonts w:ascii="Times New Roman" w:hAnsi="Times New Roman"/>
        </w:rPr>
      </w:pPr>
      <w:r>
        <w:rPr>
          <w:color w:val="0C0C0C"/>
        </w:rPr>
        <w:t xml:space="preserve">Рост объема инвестиционных вложений обеспечивается реализацией частных инвестпроектов в: </w:t>
      </w:r>
    </w:p>
    <w:p w14:paraId="19000000">
      <w:pPr>
        <w:pStyle w:val="Style_2"/>
        <w:spacing w:line="240" w:lineRule="auto"/>
        <w:ind w:firstLine="737" w:left="0" w:right="0"/>
        <w:jc w:val="both"/>
        <w:rPr>
          <w:rFonts w:ascii="Times New Roman" w:hAnsi="Times New Roman"/>
        </w:rPr>
      </w:pPr>
      <w:r>
        <w:rPr>
          <w:color w:val="0C0C0C"/>
        </w:rPr>
        <w:t xml:space="preserve">1) рыболовстве – рыбоперерабатывающий завод «Колпакова» и рыбоперерабатывающий завод на р. Кичига; </w:t>
      </w:r>
    </w:p>
    <w:p w14:paraId="1A000000">
      <w:pPr>
        <w:pStyle w:val="Style_2"/>
        <w:spacing w:line="240" w:lineRule="auto"/>
        <w:ind w:firstLine="737" w:left="0" w:right="0"/>
        <w:jc w:val="both"/>
        <w:rPr>
          <w:rFonts w:ascii="Times New Roman" w:hAnsi="Times New Roman"/>
        </w:rPr>
      </w:pPr>
      <w:r>
        <w:rPr>
          <w:color w:val="0C0C0C"/>
        </w:rPr>
        <w:t xml:space="preserve">2) сельском хозяйстве – тепличный комплекс «Камчатский» для выращивания овощной продукции; </w:t>
      </w:r>
    </w:p>
    <w:p w14:paraId="1B000000">
      <w:pPr>
        <w:pStyle w:val="Style_2"/>
        <w:spacing w:after="0" w:before="0" w:line="240" w:lineRule="auto"/>
        <w:ind w:firstLine="737" w:left="0" w:right="0"/>
        <w:jc w:val="both"/>
        <w:rPr>
          <w:rFonts w:ascii="Times New Roman" w:hAnsi="Times New Roman"/>
        </w:rPr>
      </w:pPr>
      <w:r>
        <w:rPr>
          <w:color w:val="0C0C0C"/>
        </w:rPr>
        <w:t xml:space="preserve">3) строительстве – комплексная застройка мкр. Чирельчик в пос. Термальный; </w:t>
      </w:r>
    </w:p>
    <w:p w14:paraId="1C000000">
      <w:pPr>
        <w:pStyle w:val="Style_2"/>
        <w:spacing w:after="0" w:before="0" w:line="240" w:lineRule="auto"/>
        <w:ind w:firstLine="737" w:left="0" w:right="0"/>
        <w:jc w:val="both"/>
        <w:rPr>
          <w:rFonts w:ascii="Times New Roman" w:hAnsi="Times New Roman"/>
        </w:rPr>
      </w:pPr>
      <w:r>
        <w:rPr>
          <w:color w:val="0C0C0C"/>
        </w:rPr>
        <w:t>4) деятельности гостиниц и предприятий общественного питания     – создание курорта «Парк «Три вулкана», туристического комплекса «Хонка Камчатка», гостинично-делового комплекса и хостела в г. Петропавловске-Камчатском и пр.</w:t>
      </w:r>
    </w:p>
    <w:p w14:paraId="1D000000">
      <w:pPr>
        <w:pStyle w:val="Style_2"/>
        <w:spacing w:after="0" w:before="0" w:line="240" w:lineRule="auto"/>
        <w:ind w:firstLine="709" w:left="0" w:right="0"/>
        <w:jc w:val="both"/>
        <w:rPr>
          <w:rFonts w:ascii="Times New Roman" w:hAnsi="Times New Roman"/>
        </w:rPr>
      </w:pPr>
      <w:r>
        <w:rPr>
          <w:color w:val="0C0C0C"/>
        </w:rPr>
        <w:t>Одним из основных вызовов прошлого года стала инфляция, динамика которой тщательно отслеживается, так как напрямую оказывает влияние на уровень жизни населения.</w:t>
      </w:r>
    </w:p>
    <w:p w14:paraId="1E000000">
      <w:pPr>
        <w:pStyle w:val="Style_2"/>
        <w:spacing w:after="0" w:before="0" w:line="240" w:lineRule="auto"/>
        <w:ind w:firstLine="709" w:left="0" w:right="0"/>
        <w:jc w:val="both"/>
        <w:rPr>
          <w:rFonts w:ascii="Times New Roman" w:hAnsi="Times New Roman"/>
        </w:rPr>
      </w:pPr>
      <w:r>
        <w:rPr>
          <w:color w:val="0C0C0C"/>
        </w:rPr>
        <w:t xml:space="preserve">По итогам 2023 года инфляция значительно замедлилась по сравнению с 2022 годом и составила 7,5% (2022 – 11,9%). </w:t>
      </w:r>
    </w:p>
    <w:p w14:paraId="1F000000">
      <w:pPr>
        <w:pStyle w:val="Style_2"/>
        <w:spacing w:after="0" w:before="0" w:line="240" w:lineRule="auto"/>
        <w:ind w:firstLine="709" w:left="0" w:right="0"/>
        <w:jc w:val="both"/>
        <w:rPr>
          <w:rFonts w:ascii="Times New Roman" w:hAnsi="Times New Roman"/>
        </w:rPr>
      </w:pPr>
      <w:r>
        <w:rPr>
          <w:color w:val="0C0C0C"/>
        </w:rPr>
        <w:t>Показатели уровня жизни вышли на уверенную траекторию роста: рост реальных денежных доходов населения составил +3,3%, реальной заработной платы +5,2%.</w:t>
      </w:r>
    </w:p>
    <w:p w14:paraId="20000000">
      <w:pPr>
        <w:pStyle w:val="Style_2"/>
        <w:spacing w:line="240" w:lineRule="auto"/>
        <w:ind w:firstLine="709" w:left="0" w:right="0"/>
        <w:jc w:val="both"/>
        <w:rPr>
          <w:rFonts w:ascii="Times New Roman" w:hAnsi="Times New Roman"/>
        </w:rPr>
      </w:pPr>
      <w:r>
        <w:rPr>
          <w:color w:val="0C0C0C"/>
        </w:rPr>
        <w:t>Скорректирована оценка текущего года и среднесрочного прогноза ряда показателей по сравнению с уточненным прогнозом социально-экономического развития Камчатского края на 2024 год и на плановый период 2025 и 2026 годов:</w:t>
      </w:r>
    </w:p>
    <w:p w14:paraId="21000000">
      <w:pPr>
        <w:pStyle w:val="Style_2"/>
        <w:spacing w:line="240" w:lineRule="auto"/>
        <w:ind w:firstLine="709" w:left="0" w:right="0"/>
        <w:jc w:val="both"/>
        <w:rPr>
          <w:rFonts w:ascii="Times New Roman" w:hAnsi="Times New Roman"/>
          <w:color w:val="000000"/>
          <w:sz w:val="24"/>
        </w:rPr>
      </w:pPr>
      <w:r>
        <w:rPr>
          <w:caps w:val="0"/>
          <w:smallCaps w:val="0"/>
          <w:color w:val="000000"/>
          <w:spacing w:val="0"/>
          <w:sz w:val="24"/>
        </w:rPr>
        <w:t xml:space="preserve">– </w:t>
      </w:r>
      <w:r>
        <w:rPr>
          <w:b w:val="0"/>
          <w:i w:val="0"/>
          <w:caps w:val="0"/>
          <w:smallCaps w:val="0"/>
          <w:color w:val="000000"/>
          <w:spacing w:val="0"/>
          <w:sz w:val="24"/>
        </w:rPr>
        <w:t>скорректирован показатель реальные располагаемые денежные доходы населения за отчетный 2022 год (97,9%) в связи с опубликованием данных Росстата в размере 101,0%;</w:t>
      </w:r>
    </w:p>
    <w:p w14:paraId="22000000">
      <w:pPr>
        <w:pStyle w:val="Style_2"/>
        <w:spacing w:line="240" w:lineRule="auto"/>
        <w:ind w:firstLine="709" w:left="0" w:right="0"/>
        <w:jc w:val="both"/>
        <w:rPr>
          <w:rFonts w:ascii="Times New Roman" w:hAnsi="Times New Roman"/>
          <w:color w:val="000000"/>
          <w:sz w:val="24"/>
        </w:rPr>
      </w:pPr>
      <w:r>
        <w:rPr>
          <w:caps w:val="0"/>
          <w:smallCaps w:val="0"/>
          <w:color w:val="000000"/>
          <w:spacing w:val="0"/>
          <w:sz w:val="24"/>
        </w:rPr>
        <w:t xml:space="preserve">– </w:t>
      </w:r>
      <w:r>
        <w:rPr>
          <w:b w:val="0"/>
          <w:i w:val="0"/>
          <w:caps w:val="0"/>
          <w:smallCaps w:val="0"/>
          <w:color w:val="000000"/>
          <w:spacing w:val="0"/>
          <w:sz w:val="24"/>
        </w:rPr>
        <w:t>скорректирован показатель численность населения с денежными доходами ниже прожиточного минимума к общей численности населения за 2022 год (12,8%) в связи с уточнением данных Росстатом – 10,7%;</w:t>
      </w:r>
    </w:p>
    <w:p w14:paraId="23000000">
      <w:pPr>
        <w:pStyle w:val="Style_2"/>
        <w:spacing w:line="240" w:lineRule="auto"/>
        <w:ind w:firstLine="709" w:left="0" w:right="0"/>
        <w:jc w:val="both"/>
        <w:rPr>
          <w:rFonts w:ascii="Times New Roman" w:hAnsi="Times New Roman"/>
          <w:color w:val="000000"/>
          <w:sz w:val="24"/>
        </w:rPr>
      </w:pPr>
      <w:r>
        <w:rPr>
          <w:caps w:val="0"/>
          <w:smallCaps w:val="0"/>
          <w:color w:val="000000"/>
          <w:spacing w:val="0"/>
          <w:sz w:val="24"/>
        </w:rPr>
        <w:t xml:space="preserve">– </w:t>
      </w:r>
      <w:r>
        <w:rPr>
          <w:b w:val="0"/>
          <w:i w:val="0"/>
          <w:caps w:val="0"/>
          <w:smallCaps w:val="0"/>
          <w:color w:val="000000"/>
          <w:spacing w:val="0"/>
          <w:sz w:val="24"/>
        </w:rPr>
        <w:t>данные о численности рабочей силы за 2022</w:t>
      </w:r>
      <w:r>
        <w:rPr>
          <w:b w:val="0"/>
          <w:i w:val="0"/>
          <w:caps w:val="0"/>
          <w:smallCaps w:val="0"/>
          <w:color w:val="000000"/>
          <w:spacing w:val="0"/>
          <w:sz w:val="24"/>
        </w:rPr>
        <w:t>–</w:t>
      </w:r>
      <w:r>
        <w:rPr>
          <w:b w:val="0"/>
          <w:i w:val="0"/>
          <w:caps w:val="0"/>
          <w:smallCaps w:val="0"/>
          <w:color w:val="000000"/>
          <w:spacing w:val="0"/>
          <w:sz w:val="24"/>
        </w:rPr>
        <w:t>2023 годах пересчитаны с учетом Всероссийской переписи населения 2020, для пересчетов использовалась численность постоянного населения на начало соответствующего года. В связи с этим был изменен показатель численность рабочей силы (снижена на 11,6 тыс. человек), также пересмотрены оценка и прогноз;</w:t>
      </w:r>
    </w:p>
    <w:p w14:paraId="24000000">
      <w:pPr>
        <w:pStyle w:val="Style_2"/>
        <w:spacing w:line="240" w:lineRule="auto"/>
        <w:ind w:firstLine="709" w:left="0" w:right="0"/>
        <w:jc w:val="both"/>
        <w:rPr>
          <w:rFonts w:ascii="Times New Roman" w:hAnsi="Times New Roman"/>
          <w:color w:val="000000"/>
        </w:rPr>
      </w:pPr>
      <w:r>
        <w:rPr>
          <w:color w:val="000000"/>
        </w:rPr>
        <w:t xml:space="preserve">– </w:t>
      </w:r>
      <w:r>
        <w:rPr>
          <w:color w:val="000000"/>
        </w:rPr>
        <w:t>снижена оценка индекса промышленного производства в 2024 году с 103,7% до 95,3% в связи с прогнозируемым сокращением вылова лосося;</w:t>
      </w:r>
    </w:p>
    <w:p w14:paraId="25000000">
      <w:pPr>
        <w:pStyle w:val="Style_2"/>
        <w:spacing w:line="240" w:lineRule="auto"/>
        <w:ind w:firstLine="709" w:left="0" w:right="0"/>
        <w:jc w:val="both"/>
        <w:rPr>
          <w:rFonts w:ascii="Times New Roman" w:hAnsi="Times New Roman"/>
          <w:color w:val="000000"/>
        </w:rPr>
      </w:pPr>
      <w:r>
        <w:rPr>
          <w:b w:val="0"/>
          <w:color w:val="000000"/>
        </w:rPr>
        <w:t xml:space="preserve">– </w:t>
      </w:r>
      <w:r>
        <w:rPr>
          <w:b w:val="0"/>
          <w:color w:val="000000"/>
        </w:rPr>
        <w:t xml:space="preserve">уменьшена оценка индекса физического объема сельского хозяйства в 2024 году с 100,5% до </w:t>
      </w:r>
      <w:r>
        <w:rPr>
          <w:b w:val="0"/>
          <w:color w:val="000000"/>
        </w:rPr>
        <w:t>99,8</w:t>
      </w:r>
      <w:r>
        <w:rPr>
          <w:b w:val="0"/>
          <w:color w:val="000000"/>
        </w:rPr>
        <w:t>%</w:t>
      </w:r>
      <w:r>
        <w:rPr>
          <w:b w:val="0"/>
          <w:color w:val="000000"/>
        </w:rPr>
        <w:t xml:space="preserve"> в связи со снижением производства молока, скота и птицы на убой, яиц, а также уменьшением поголовья коров и свиней в хозяйствах всех сельхозтоваропроизводителях в I квартале 2024 года. Проведена корректировка значений показателей в прогнозируемом периоде;</w:t>
      </w:r>
    </w:p>
    <w:p w14:paraId="26000000">
      <w:pPr>
        <w:pStyle w:val="Style_2"/>
        <w:spacing w:line="240" w:lineRule="auto"/>
        <w:ind w:firstLine="709" w:left="0" w:right="0"/>
        <w:jc w:val="both"/>
      </w:pPr>
      <w:r>
        <w:rPr>
          <w:b w:val="0"/>
          <w:color w:val="000000"/>
        </w:rPr>
        <w:t xml:space="preserve">– </w:t>
      </w:r>
      <w:r>
        <w:rPr>
          <w:b w:val="0"/>
          <w:color w:val="000000"/>
        </w:rPr>
        <w:t>снижена</w:t>
      </w:r>
      <w:r>
        <w:rPr>
          <w:b w:val="0"/>
          <w:color w:val="000000"/>
        </w:rPr>
        <w:t xml:space="preserve"> оценка индекса физического объема инвестиций в основной капитал в 2024 году с 101,4% до </w:t>
      </w:r>
      <w:r>
        <w:rPr>
          <w:b w:val="0"/>
          <w:color w:val="000000"/>
        </w:rPr>
        <w:t>99,3</w:t>
      </w:r>
      <w:r>
        <w:rPr>
          <w:b w:val="0"/>
          <w:color w:val="000000"/>
        </w:rPr>
        <w:t xml:space="preserve">%, </w:t>
      </w:r>
      <w:r>
        <w:rPr>
          <w:b w:val="0"/>
          <w:color w:val="000000"/>
        </w:rPr>
        <w:t>на снижение окажет влияние высокая отчетная база 2023 года (124,1%)</w:t>
      </w:r>
      <w:r>
        <w:rPr>
          <w:b w:val="0"/>
          <w:color w:val="000000"/>
        </w:rPr>
        <w:t xml:space="preserve">, </w:t>
      </w:r>
      <w:r>
        <w:rPr>
          <w:b w:val="0"/>
          <w:color w:val="000000"/>
        </w:rPr>
        <w:t>увеличены</w:t>
      </w:r>
      <w:r>
        <w:rPr>
          <w:b w:val="0"/>
          <w:color w:val="000000"/>
        </w:rPr>
        <w:t xml:space="preserve"> значения прогнозного периода</w:t>
      </w:r>
      <w:r>
        <w:rPr>
          <w:b w:val="0"/>
          <w:color w:val="000000"/>
          <w:sz w:val="24"/>
        </w:rPr>
        <w:t xml:space="preserve"> </w:t>
      </w:r>
      <w:r>
        <w:rPr>
          <w:b w:val="0"/>
          <w:color w:val="000000"/>
          <w:sz w:val="24"/>
        </w:rPr>
        <w:t xml:space="preserve">за счет реализации инвестиционных проектов </w:t>
      </w:r>
      <w:r>
        <w:rPr>
          <w:b w:val="0"/>
          <w:i w:val="0"/>
          <w:strike w:val="0"/>
          <w:shadow w:val="0"/>
          <w:color w:val="000000"/>
          <w:sz w:val="24"/>
          <w:u w:val="none"/>
        </w:rPr>
        <w:t>в горнодобывающей промышленности, рыбоперерабатывающем комплексе, сфере транспорта, гостиничном бизнесе, сельском хозяйстве</w:t>
      </w:r>
      <w:r>
        <w:rPr>
          <w:b w:val="0"/>
          <w:color w:val="000000"/>
          <w:sz w:val="24"/>
        </w:rPr>
        <w:t>;</w:t>
      </w:r>
    </w:p>
    <w:p w14:paraId="27000000">
      <w:pPr>
        <w:pStyle w:val="Style_2"/>
        <w:spacing w:line="240" w:lineRule="auto"/>
        <w:ind w:firstLine="709" w:left="0" w:right="0"/>
        <w:jc w:val="both"/>
        <w:rPr>
          <w:rFonts w:ascii="Times New Roman" w:hAnsi="Times New Roman"/>
        </w:rPr>
      </w:pPr>
      <w:r>
        <w:rPr>
          <w:color w:val="000000"/>
        </w:rPr>
        <w:t xml:space="preserve">– </w:t>
      </w:r>
      <w:r>
        <w:rPr>
          <w:color w:val="000000"/>
        </w:rPr>
        <w:t>увеличен прогноз показателей розничного товарооборота,</w:t>
      </w:r>
      <w:r>
        <w:rPr>
          <w:color w:val="000000"/>
          <w:sz w:val="24"/>
        </w:rPr>
        <w:t xml:space="preserve"> рост потребительского спро</w:t>
      </w:r>
      <w:r>
        <w:rPr>
          <w:b w:val="0"/>
          <w:color w:val="000000"/>
          <w:sz w:val="24"/>
        </w:rPr>
        <w:t>са</w:t>
      </w:r>
      <w:r>
        <w:rPr>
          <w:color w:val="000000"/>
          <w:sz w:val="24"/>
        </w:rPr>
        <w:t xml:space="preserve"> будет обеспечен ростом денежных доходов населения и активным наращиванием собственного производства.</w:t>
      </w:r>
    </w:p>
    <w:p w14:paraId="28000000">
      <w:pPr>
        <w:pStyle w:val="Style_2"/>
        <w:widowControl w:val="1"/>
        <w:spacing w:after="0" w:before="0" w:line="240" w:lineRule="auto"/>
        <w:ind w:firstLine="680" w:left="0" w:right="0"/>
        <w:jc w:val="both"/>
        <w:rPr>
          <w:rFonts w:ascii="Times New Roman" w:hAnsi="Times New Roman"/>
          <w:color w:val="632523"/>
        </w:rPr>
      </w:pPr>
    </w:p>
    <w:p w14:paraId="29000000">
      <w:pPr>
        <w:pStyle w:val="Style_2"/>
        <w:spacing w:line="240" w:lineRule="auto"/>
        <w:ind/>
        <w:jc w:val="both"/>
        <w:rPr>
          <w:rFonts w:ascii="Times New Roman" w:hAnsi="Times New Roman"/>
        </w:rPr>
      </w:pPr>
      <w:r>
        <w:rPr>
          <w:b w:val="1"/>
          <w:color w:val="0C0C0C"/>
        </w:rPr>
        <w:t xml:space="preserve">II. Оценка факторов и ограничений экономического роста Камчатского края </w:t>
      </w:r>
    </w:p>
    <w:p w14:paraId="2A000000">
      <w:pPr>
        <w:pStyle w:val="Style_4"/>
        <w:spacing w:line="240" w:lineRule="auto"/>
        <w:ind w:firstLine="709" w:left="0" w:right="0"/>
        <w:jc w:val="both"/>
        <w:rPr>
          <w:rFonts w:ascii="Times New Roman" w:hAnsi="Times New Roman"/>
        </w:rPr>
      </w:pPr>
      <w:r>
        <w:rPr>
          <w:rFonts w:ascii="Times New Roman" w:hAnsi="Times New Roman"/>
          <w:color w:val="0C0C0C"/>
          <w:sz w:val="24"/>
        </w:rPr>
        <w:t>Траектория развития в кратко- и среднесрочной перспективе будет определяться не только экономическими, но и в значительной мере политическими факторами. В прогнозном периоде влияние внешних и внутренних ограничений в совокупности может значительно изменить тенденции развития отдельных отраслей экономики края, динамику темпов роста прогнозируемых показателей.</w:t>
      </w:r>
      <w:r>
        <w:rPr>
          <w:rFonts w:ascii="Times New Roman" w:hAnsi="Times New Roman"/>
          <w:color w:val="632523"/>
          <w:sz w:val="24"/>
        </w:rPr>
        <w:t xml:space="preserve"> </w:t>
      </w:r>
    </w:p>
    <w:p w14:paraId="2B000000">
      <w:pPr>
        <w:pStyle w:val="Style_4"/>
        <w:spacing w:line="240" w:lineRule="auto"/>
        <w:ind w:firstLine="709" w:left="0" w:right="0"/>
        <w:jc w:val="both"/>
        <w:rPr>
          <w:rFonts w:ascii="Times New Roman" w:hAnsi="Times New Roman"/>
        </w:rPr>
      </w:pPr>
      <w:r>
        <w:rPr>
          <w:rFonts w:ascii="Times New Roman" w:hAnsi="Times New Roman"/>
          <w:color w:val="0C0C0C"/>
          <w:sz w:val="24"/>
        </w:rPr>
        <w:t>Со стороны внешних условий ключевыми рисками являются замедление динамики мировой экономики в условиях сохранения жестких денежно-кредитных условий и ужесточение режима санкций. При реализации внешних рисков будет сокращаться спрос на товары российского экспорта, что приведет к сокращению инвестиций в экспортно ориентированных отраслях.</w:t>
      </w:r>
    </w:p>
    <w:p w14:paraId="2C000000">
      <w:pPr>
        <w:pStyle w:val="Style_4"/>
        <w:spacing w:line="240" w:lineRule="auto"/>
        <w:ind w:firstLine="709" w:left="0" w:right="0"/>
        <w:jc w:val="both"/>
        <w:rPr>
          <w:rFonts w:ascii="Times New Roman" w:hAnsi="Times New Roman"/>
        </w:rPr>
      </w:pPr>
      <w:r>
        <w:rPr>
          <w:rFonts w:ascii="Times New Roman" w:hAnsi="Times New Roman"/>
          <w:color w:val="0C0C0C"/>
          <w:sz w:val="24"/>
        </w:rPr>
        <w:t>Внутренние риски связаны с возможностями обеспечения растущего внутреннего спроса, достаточным уровнем предложения в условиях сохраняющихся высоких ставок.</w:t>
      </w:r>
    </w:p>
    <w:p w14:paraId="2D000000">
      <w:pPr>
        <w:pStyle w:val="Style_2"/>
        <w:tabs>
          <w:tab w:leader="none" w:pos="708" w:val="clear"/>
          <w:tab w:leader="none" w:pos="894" w:val="left"/>
        </w:tabs>
        <w:spacing w:line="240" w:lineRule="auto"/>
        <w:ind w:firstLine="709" w:left="0" w:right="0"/>
        <w:jc w:val="both"/>
        <w:rPr>
          <w:rFonts w:ascii="Times New Roman" w:hAnsi="Times New Roman"/>
        </w:rPr>
      </w:pPr>
      <w:r>
        <w:rPr>
          <w:color w:val="0C0C0C"/>
        </w:rPr>
        <w:t>Основными сдерживающими факторами экономического развития Камчатского края будут:</w:t>
      </w:r>
    </w:p>
    <w:p w14:paraId="2E000000">
      <w:pPr>
        <w:pStyle w:val="Style_2"/>
        <w:spacing w:line="240" w:lineRule="auto"/>
        <w:ind w:firstLine="709" w:left="0" w:right="0"/>
        <w:jc w:val="both"/>
        <w:rPr>
          <w:rFonts w:ascii="Times New Roman" w:hAnsi="Times New Roman"/>
        </w:rPr>
      </w:pPr>
      <w:r>
        <w:rPr>
          <w:color w:val="0C0C0C"/>
        </w:rPr>
        <w:t>– </w:t>
      </w:r>
      <w:r>
        <w:rPr>
          <w:color w:val="0C0C0C"/>
        </w:rPr>
        <w:t>действие финансовых и экономических санкций, которые продолжают дестабилизировать спросовую и ценовую конъюнктуру рынков, формировать внешнеэкономические риски, оказывать довлеющее воздействие на инфляционные процессы;</w:t>
      </w:r>
    </w:p>
    <w:p w14:paraId="2F000000">
      <w:pPr>
        <w:pStyle w:val="Style_2"/>
        <w:spacing w:line="240" w:lineRule="auto"/>
        <w:ind w:firstLine="709" w:left="0" w:right="0"/>
        <w:jc w:val="both"/>
        <w:rPr>
          <w:rFonts w:ascii="Times New Roman" w:hAnsi="Times New Roman"/>
        </w:rPr>
      </w:pPr>
      <w:r>
        <w:rPr>
          <w:color w:val="0C0C0C"/>
        </w:rPr>
        <w:t>– </w:t>
      </w:r>
      <w:r>
        <w:rPr>
          <w:color w:val="0C0C0C"/>
        </w:rPr>
        <w:t>риски финансовой стабильности на фоне накопления больших объемов корпоративных и бюджетных долгов, увеличения доли реструктурированных кредитов и отложенных платежей;</w:t>
      </w:r>
    </w:p>
    <w:p w14:paraId="30000000">
      <w:pPr>
        <w:pStyle w:val="Style_2"/>
        <w:widowControl w:val="0"/>
        <w:spacing w:line="240" w:lineRule="auto"/>
        <w:ind w:firstLine="709" w:left="0" w:right="0"/>
        <w:jc w:val="both"/>
        <w:rPr>
          <w:rFonts w:ascii="Times New Roman" w:hAnsi="Times New Roman"/>
        </w:rPr>
      </w:pPr>
      <w:r>
        <w:rPr>
          <w:color w:val="0C0C0C"/>
        </w:rPr>
        <w:t>– </w:t>
      </w:r>
      <w:r>
        <w:rPr>
          <w:color w:val="0C0C0C"/>
        </w:rPr>
        <w:t>низкий уровень развития и высокий уровень износа производственной, коммунальной и транспортно-логистической инфраструктуры, особенно в сельской местности;</w:t>
      </w:r>
    </w:p>
    <w:p w14:paraId="31000000">
      <w:pPr>
        <w:pStyle w:val="Style_2"/>
        <w:spacing w:line="240" w:lineRule="auto"/>
        <w:ind w:firstLine="709" w:left="0" w:right="0"/>
        <w:jc w:val="both"/>
        <w:rPr>
          <w:rFonts w:ascii="Times New Roman" w:hAnsi="Times New Roman"/>
        </w:rPr>
      </w:pPr>
      <w:r>
        <w:rPr>
          <w:color w:val="0C0C0C"/>
        </w:rPr>
        <w:t>– </w:t>
      </w:r>
      <w:r>
        <w:rPr>
          <w:color w:val="0C0C0C"/>
        </w:rPr>
        <w:t>риск потери ресурсной базы рыболовства вследствие перерегистрации пользователей долей квот на добычу водных биоресурсов в другие субъекты Российской Федерации;</w:t>
      </w:r>
    </w:p>
    <w:p w14:paraId="32000000">
      <w:pPr>
        <w:pStyle w:val="Style_2"/>
        <w:widowControl w:val="0"/>
        <w:spacing w:line="240" w:lineRule="auto"/>
        <w:ind w:firstLine="709" w:left="0" w:right="0"/>
        <w:jc w:val="both"/>
        <w:rPr>
          <w:rFonts w:ascii="Times New Roman" w:hAnsi="Times New Roman"/>
        </w:rPr>
      </w:pPr>
      <w:r>
        <w:rPr>
          <w:color w:val="0C0C0C"/>
        </w:rPr>
        <w:t>– </w:t>
      </w:r>
      <w:r>
        <w:rPr>
          <w:color w:val="0C0C0C"/>
        </w:rPr>
        <w:t xml:space="preserve">дефицит квалифицированных кадров; </w:t>
      </w:r>
    </w:p>
    <w:p w14:paraId="33000000">
      <w:pPr>
        <w:pStyle w:val="Style_2"/>
        <w:spacing w:line="240" w:lineRule="auto"/>
        <w:ind w:firstLine="709" w:left="0" w:right="0"/>
        <w:jc w:val="both"/>
        <w:rPr>
          <w:rFonts w:ascii="Times New Roman" w:hAnsi="Times New Roman"/>
        </w:rPr>
      </w:pPr>
      <w:r>
        <w:rPr>
          <w:color w:val="0C0C0C"/>
        </w:rPr>
        <w:t>– </w:t>
      </w:r>
      <w:r>
        <w:rPr>
          <w:color w:val="0C0C0C"/>
        </w:rPr>
        <w:t>сохранение демографических проблем, в том числе сокращение численности населения, снижение рождаемости, процесс «старения» населения;</w:t>
      </w:r>
    </w:p>
    <w:p w14:paraId="34000000">
      <w:pPr>
        <w:pStyle w:val="Style_2"/>
        <w:widowControl w:val="0"/>
        <w:spacing w:line="240" w:lineRule="auto"/>
        <w:ind w:firstLine="709" w:left="0" w:right="0"/>
        <w:jc w:val="both"/>
        <w:rPr>
          <w:rFonts w:ascii="Times New Roman" w:hAnsi="Times New Roman"/>
        </w:rPr>
      </w:pPr>
      <w:r>
        <w:rPr>
          <w:color w:val="0C0C0C"/>
        </w:rPr>
        <w:t>– </w:t>
      </w:r>
      <w:r>
        <w:rPr>
          <w:color w:val="0C0C0C"/>
        </w:rPr>
        <w:t>дефицит консолидированного бюджета Камчатского края, сокращение объемов федерального финансирования мероприятий государственных программ, реализуемых за счет средств федерального бюджета в Камчатском крае;</w:t>
      </w:r>
    </w:p>
    <w:p w14:paraId="35000000">
      <w:pPr>
        <w:pStyle w:val="Style_2"/>
        <w:widowControl w:val="0"/>
        <w:spacing w:line="240" w:lineRule="auto"/>
        <w:ind w:firstLine="709" w:left="0" w:right="0"/>
        <w:jc w:val="both"/>
        <w:rPr>
          <w:rFonts w:ascii="Times New Roman" w:hAnsi="Times New Roman"/>
        </w:rPr>
      </w:pPr>
      <w:r>
        <w:rPr>
          <w:color w:val="0C0C0C"/>
        </w:rPr>
        <w:t>– </w:t>
      </w:r>
      <w:r>
        <w:rPr>
          <w:color w:val="0C0C0C"/>
        </w:rPr>
        <w:t>кризис спроса, и как следствие – сужение производственно-хозяйственной деятельности ряда предприятий и организаций;</w:t>
      </w:r>
    </w:p>
    <w:p w14:paraId="36000000">
      <w:pPr>
        <w:pStyle w:val="Style_2"/>
        <w:widowControl w:val="0"/>
        <w:spacing w:line="240" w:lineRule="auto"/>
        <w:ind w:firstLine="709" w:left="0" w:right="0"/>
        <w:jc w:val="both"/>
        <w:rPr>
          <w:rFonts w:ascii="Times New Roman" w:hAnsi="Times New Roman"/>
        </w:rPr>
      </w:pPr>
      <w:r>
        <w:rPr>
          <w:color w:val="0C0C0C"/>
        </w:rPr>
        <w:t>– </w:t>
      </w:r>
      <w:r>
        <w:rPr>
          <w:color w:val="0C0C0C"/>
        </w:rPr>
        <w:t>природно-климатические риски.</w:t>
      </w:r>
    </w:p>
    <w:p w14:paraId="37000000">
      <w:pPr>
        <w:pStyle w:val="Style_2"/>
        <w:widowControl w:val="0"/>
        <w:spacing w:line="240" w:lineRule="auto"/>
        <w:ind w:firstLine="709" w:left="0" w:right="0"/>
        <w:jc w:val="both"/>
        <w:rPr>
          <w:rFonts w:ascii="Times New Roman" w:hAnsi="Times New Roman"/>
        </w:rPr>
      </w:pPr>
      <w:r>
        <w:rPr>
          <w:color w:val="0C0C0C"/>
        </w:rPr>
        <w:t>Данные риски могут ограничивать динамику инвестиционной активности, а рост потребления будет удовлетворяться импортом, особенно в секторах, где уже наблюдается дисбаланс спроса и предложения.</w:t>
      </w:r>
    </w:p>
    <w:p w14:paraId="38000000">
      <w:pPr>
        <w:pStyle w:val="Style_2"/>
        <w:widowControl w:val="0"/>
        <w:spacing w:line="240" w:lineRule="auto"/>
        <w:ind w:firstLine="709" w:left="0" w:right="0"/>
        <w:jc w:val="both"/>
        <w:rPr>
          <w:rFonts w:ascii="Times New Roman" w:hAnsi="Times New Roman"/>
        </w:rPr>
      </w:pPr>
      <w:r>
        <w:rPr>
          <w:color w:val="0C0C0C"/>
        </w:rPr>
        <w:t>Основными позитивными факторами, определяющими тенденции социально-экономического развития Камчатского края в среднесрочном прогнозируемом периоде, станут:</w:t>
      </w:r>
    </w:p>
    <w:p w14:paraId="39000000">
      <w:pPr>
        <w:pStyle w:val="Style_2"/>
        <w:widowControl w:val="0"/>
        <w:spacing w:line="240" w:lineRule="auto"/>
        <w:ind w:firstLine="709" w:left="0" w:right="0"/>
        <w:jc w:val="both"/>
        <w:rPr>
          <w:rFonts w:ascii="Times New Roman" w:hAnsi="Times New Roman"/>
        </w:rPr>
      </w:pPr>
      <w:r>
        <w:rPr>
          <w:color w:val="0C0C0C"/>
        </w:rPr>
        <w:t>– </w:t>
      </w:r>
      <w:r>
        <w:rPr>
          <w:color w:val="0C0C0C"/>
        </w:rPr>
        <w:t>развитие импортозамещения;</w:t>
      </w:r>
    </w:p>
    <w:p w14:paraId="3A000000">
      <w:pPr>
        <w:pStyle w:val="Style_2"/>
        <w:widowControl w:val="0"/>
        <w:spacing w:line="240" w:lineRule="auto"/>
        <w:ind w:firstLine="709" w:left="0" w:right="0"/>
        <w:jc w:val="both"/>
        <w:rPr>
          <w:rFonts w:ascii="Times New Roman" w:hAnsi="Times New Roman"/>
        </w:rPr>
      </w:pPr>
      <w:r>
        <w:rPr>
          <w:color w:val="0C0C0C"/>
        </w:rPr>
        <w:t>– </w:t>
      </w:r>
      <w:r>
        <w:rPr>
          <w:color w:val="0C0C0C"/>
        </w:rPr>
        <w:t>развитие предпринимательства;</w:t>
      </w:r>
    </w:p>
    <w:p w14:paraId="3B000000">
      <w:pPr>
        <w:pStyle w:val="Style_2"/>
        <w:widowControl w:val="0"/>
        <w:spacing w:line="240" w:lineRule="auto"/>
        <w:ind w:firstLine="709" w:left="0" w:right="0"/>
        <w:jc w:val="both"/>
        <w:rPr>
          <w:rFonts w:ascii="Times New Roman" w:hAnsi="Times New Roman"/>
        </w:rPr>
      </w:pPr>
      <w:r>
        <w:rPr>
          <w:color w:val="0C0C0C"/>
        </w:rPr>
        <w:t xml:space="preserve">– </w:t>
      </w:r>
      <w:r>
        <w:rPr>
          <w:color w:val="0C0C0C"/>
        </w:rPr>
        <w:t>сдерживание роста тарифов на жилищно-коммунальные услуги;</w:t>
      </w:r>
    </w:p>
    <w:p w14:paraId="3C000000">
      <w:pPr>
        <w:pStyle w:val="Style_2"/>
        <w:widowControl w:val="0"/>
        <w:spacing w:line="240" w:lineRule="auto"/>
        <w:ind w:firstLine="709" w:left="0" w:right="0"/>
        <w:jc w:val="both"/>
        <w:rPr>
          <w:rFonts w:ascii="Times New Roman" w:hAnsi="Times New Roman"/>
        </w:rPr>
      </w:pPr>
      <w:r>
        <w:rPr>
          <w:color w:val="0C0C0C"/>
        </w:rPr>
        <w:t>– </w:t>
      </w:r>
      <w:r>
        <w:rPr>
          <w:color w:val="0C0C0C"/>
        </w:rPr>
        <w:t>увеличение объемов промышленного производства за счет ввода в строй новых горнорудных объектов на месторождениях золото-серебряных руд, модернизации действующих и создания новых производств;</w:t>
      </w:r>
    </w:p>
    <w:p w14:paraId="3D000000">
      <w:pPr>
        <w:pStyle w:val="Style_2"/>
        <w:widowControl w:val="0"/>
        <w:spacing w:line="240" w:lineRule="auto"/>
        <w:ind w:firstLine="709" w:left="0" w:right="0"/>
        <w:jc w:val="both"/>
        <w:rPr>
          <w:rFonts w:ascii="Times New Roman" w:hAnsi="Times New Roman"/>
        </w:rPr>
      </w:pPr>
      <w:r>
        <w:rPr>
          <w:color w:val="0C0C0C"/>
        </w:rPr>
        <w:t>– </w:t>
      </w:r>
      <w:r>
        <w:rPr>
          <w:color w:val="0C0C0C"/>
        </w:rPr>
        <w:t xml:space="preserve">реализация инвестиционных проектов ТОР «Камчатка» и режима «Свободный порт Владивосток» (далее </w:t>
      </w:r>
      <w:r>
        <w:rPr>
          <w:color w:val="0C0C0C"/>
        </w:rPr>
        <w:t>– СПВ)</w:t>
      </w:r>
      <w:r>
        <w:rPr>
          <w:color w:val="0C0C0C"/>
        </w:rPr>
        <w:t>;</w:t>
      </w:r>
    </w:p>
    <w:p w14:paraId="3E000000">
      <w:pPr>
        <w:pStyle w:val="Style_2"/>
        <w:widowControl w:val="0"/>
        <w:spacing w:line="240" w:lineRule="auto"/>
        <w:ind w:firstLine="709" w:left="0" w:right="0"/>
        <w:jc w:val="both"/>
        <w:rPr>
          <w:rFonts w:ascii="Times New Roman" w:hAnsi="Times New Roman"/>
        </w:rPr>
      </w:pPr>
      <w:r>
        <w:rPr>
          <w:color w:val="0C0C0C"/>
        </w:rPr>
        <w:t>– </w:t>
      </w:r>
      <w:r>
        <w:rPr>
          <w:color w:val="0C0C0C"/>
        </w:rPr>
        <w:t xml:space="preserve">увеличение глубины переработки продукции рыбопромышленного комплекса, развитие аквакультуры; </w:t>
      </w:r>
    </w:p>
    <w:p w14:paraId="3F000000">
      <w:pPr>
        <w:pStyle w:val="Style_2"/>
        <w:spacing w:line="240" w:lineRule="auto"/>
        <w:ind w:firstLine="709" w:left="0" w:right="0"/>
        <w:jc w:val="both"/>
        <w:rPr>
          <w:rFonts w:ascii="Times New Roman" w:hAnsi="Times New Roman"/>
        </w:rPr>
      </w:pPr>
      <w:r>
        <w:rPr>
          <w:color w:val="0C0C0C"/>
        </w:rPr>
        <w:t>– </w:t>
      </w:r>
      <w:r>
        <w:rPr>
          <w:color w:val="0C0C0C"/>
        </w:rPr>
        <w:t>повышение инвестиционной активности хозяйствующих субъектов, в том числе в результате комплекса мероприятий по улучшению условий для предпринимательской и инвестиционной деятельности, внедрению механизмов государственно-частного и муниципально-частного партнерства;</w:t>
      </w:r>
      <w:r>
        <w:rPr>
          <w:color w:val="0C0C0C"/>
          <w:sz w:val="20"/>
        </w:rPr>
        <w:t xml:space="preserve">  </w:t>
      </w:r>
    </w:p>
    <w:p w14:paraId="40000000">
      <w:pPr>
        <w:pStyle w:val="Style_2"/>
        <w:spacing w:line="240" w:lineRule="auto"/>
        <w:ind w:firstLine="709" w:left="0" w:right="0"/>
        <w:jc w:val="both"/>
        <w:rPr>
          <w:sz w:val="24"/>
        </w:rPr>
      </w:pPr>
      <w:r>
        <w:rPr>
          <w:color w:val="0C0C0C"/>
          <w:sz w:val="24"/>
        </w:rPr>
        <w:t>– </w:t>
      </w:r>
      <w:r>
        <w:rPr>
          <w:color w:val="0C0C0C"/>
          <w:sz w:val="24"/>
        </w:rPr>
        <w:t>развитие судоремонта и судостроения;</w:t>
      </w:r>
    </w:p>
    <w:p w14:paraId="41000000">
      <w:pPr>
        <w:pStyle w:val="Style_2"/>
        <w:spacing w:line="240" w:lineRule="auto"/>
        <w:ind w:firstLine="709" w:left="0" w:right="0"/>
        <w:jc w:val="both"/>
        <w:rPr>
          <w:rFonts w:ascii="Times New Roman" w:hAnsi="Times New Roman"/>
        </w:rPr>
      </w:pPr>
      <w:r>
        <w:rPr>
          <w:color w:val="0C0C0C"/>
        </w:rPr>
        <w:t>– </w:t>
      </w:r>
      <w:r>
        <w:rPr>
          <w:color w:val="0C0C0C"/>
        </w:rPr>
        <w:t>рост внутреннего туристского потока;</w:t>
      </w:r>
    </w:p>
    <w:p w14:paraId="42000000">
      <w:pPr>
        <w:pStyle w:val="Style_2"/>
        <w:widowControl w:val="0"/>
        <w:spacing w:line="240" w:lineRule="auto"/>
        <w:ind w:firstLine="709" w:left="0" w:right="0"/>
        <w:jc w:val="both"/>
        <w:rPr>
          <w:rFonts w:ascii="Times New Roman" w:hAnsi="Times New Roman"/>
        </w:rPr>
      </w:pPr>
      <w:r>
        <w:rPr>
          <w:color w:val="0C0C0C"/>
        </w:rPr>
        <w:t>– </w:t>
      </w:r>
      <w:r>
        <w:rPr>
          <w:color w:val="0C0C0C"/>
        </w:rPr>
        <w:t>рост потребительского спроса населения края в условиях замедления инфляционных процессов;</w:t>
      </w:r>
    </w:p>
    <w:p w14:paraId="43000000">
      <w:pPr>
        <w:pStyle w:val="Style_2"/>
        <w:widowControl w:val="0"/>
        <w:spacing w:line="240" w:lineRule="auto"/>
        <w:ind w:firstLine="709" w:left="0" w:right="0"/>
        <w:jc w:val="both"/>
        <w:rPr>
          <w:rFonts w:ascii="Times New Roman" w:hAnsi="Times New Roman"/>
        </w:rPr>
      </w:pPr>
      <w:r>
        <w:rPr>
          <w:color w:val="0C0C0C"/>
        </w:rPr>
        <w:t>– </w:t>
      </w:r>
      <w:r>
        <w:rPr>
          <w:color w:val="0C0C0C"/>
        </w:rPr>
        <w:t>развитие новых форм занятости и обучения, которые создают потенциал для кардинальных структурных изменений на рынке труда, в сфере образования и переквалификации;</w:t>
      </w:r>
    </w:p>
    <w:p w14:paraId="44000000">
      <w:pPr>
        <w:pStyle w:val="Style_2"/>
        <w:widowControl w:val="0"/>
        <w:spacing w:line="240" w:lineRule="auto"/>
        <w:ind w:firstLine="709" w:left="0" w:right="0"/>
        <w:jc w:val="both"/>
        <w:rPr>
          <w:rFonts w:ascii="Times New Roman" w:hAnsi="Times New Roman"/>
        </w:rPr>
      </w:pPr>
      <w:r>
        <w:rPr>
          <w:color w:val="0C0C0C"/>
        </w:rPr>
        <w:t>– </w:t>
      </w:r>
      <w:r>
        <w:rPr>
          <w:color w:val="0C0C0C"/>
        </w:rPr>
        <w:t>сохранение социальной стабильности, относительно низкий уровень безработицы.</w:t>
      </w:r>
    </w:p>
    <w:p w14:paraId="45000000">
      <w:pPr>
        <w:pStyle w:val="Style_2"/>
        <w:spacing w:line="240" w:lineRule="auto"/>
        <w:ind w:firstLine="709" w:left="0" w:right="0"/>
        <w:jc w:val="both"/>
        <w:rPr>
          <w:rFonts w:ascii="Times New Roman" w:hAnsi="Times New Roman"/>
          <w:color w:val="632523"/>
        </w:rPr>
      </w:pPr>
    </w:p>
    <w:p w14:paraId="46000000">
      <w:pPr>
        <w:pStyle w:val="Style_2"/>
        <w:keepNext w:val="1"/>
        <w:keepLines w:val="1"/>
        <w:numPr>
          <w:ilvl w:val="0"/>
          <w:numId w:val="0"/>
        </w:numPr>
        <w:spacing w:line="240" w:lineRule="auto"/>
        <w:ind w:firstLine="0" w:left="0" w:right="0"/>
        <w:outlineLvl w:val="0"/>
        <w:rPr>
          <w:rFonts w:ascii="Times New Roman" w:hAnsi="Times New Roman"/>
        </w:rPr>
      </w:pPr>
      <w:r>
        <w:rPr>
          <w:b w:val="1"/>
          <w:color w:val="0C0C0C"/>
        </w:rPr>
        <w:t>III. Краткая характеристика вариантов Прогноза</w:t>
      </w:r>
    </w:p>
    <w:p w14:paraId="47000000">
      <w:pPr>
        <w:pStyle w:val="Style_2"/>
        <w:widowControl w:val="0"/>
        <w:spacing w:line="240" w:lineRule="auto"/>
        <w:ind w:firstLine="709" w:left="0" w:right="0"/>
        <w:jc w:val="both"/>
        <w:rPr>
          <w:rFonts w:ascii="Times New Roman" w:hAnsi="Times New Roman"/>
        </w:rPr>
      </w:pPr>
      <w:r>
        <w:rPr>
          <w:color w:val="0C0C0C"/>
        </w:rPr>
        <w:t xml:space="preserve">Прогноз выполнен в двух вариантах – консервативном и базовом. </w:t>
      </w:r>
    </w:p>
    <w:p w14:paraId="48000000">
      <w:pPr>
        <w:pStyle w:val="Style_2"/>
        <w:spacing w:line="240" w:lineRule="auto"/>
        <w:ind w:firstLine="709" w:left="0" w:right="0"/>
        <w:jc w:val="both"/>
        <w:rPr>
          <w:rFonts w:ascii="Times New Roman" w:hAnsi="Times New Roman"/>
        </w:rPr>
      </w:pPr>
      <w:r>
        <w:rPr>
          <w:color w:val="0C0C0C"/>
        </w:rPr>
        <w:t>В среднесрочной перспективе основной задачей стоит возвращение на устойчивую траекторию экономического роста и роста доходов населения, обеспечивающую реализацию национальных целей развития.</w:t>
      </w:r>
    </w:p>
    <w:p w14:paraId="49000000">
      <w:pPr>
        <w:pStyle w:val="Style_2"/>
        <w:spacing w:line="240" w:lineRule="auto"/>
        <w:ind w:firstLine="709" w:left="0" w:right="0"/>
        <w:jc w:val="both"/>
        <w:rPr>
          <w:rFonts w:ascii="Times New Roman" w:hAnsi="Times New Roman"/>
        </w:rPr>
      </w:pPr>
      <w:r>
        <w:rPr>
          <w:color w:val="0C0C0C"/>
        </w:rPr>
        <w:t>Для обеспечения ускорения темпов экономического развития и улучшения демографической ситуации продолжится реализация комплексов мероприятий по обеспечению роста производительности труда в экономике, развитию малого и среднего бизнеса, расширению несырьевого неэнергетического экспорта и экспорта услуг, созданию условий для развития человеческого капитала, развитию береговой инфраструктуры глубокой переработки, насыщению внутреннего рынка Камчатского края и Российской Федерации качественной рыбной продукцией, увеличению вклада туристского продукта в социально-экономическое развитие Камчатского края.</w:t>
      </w:r>
    </w:p>
    <w:p w14:paraId="4A000000">
      <w:pPr>
        <w:pStyle w:val="Style_2"/>
        <w:spacing w:line="240" w:lineRule="auto"/>
        <w:ind w:firstLine="709" w:left="0" w:right="0"/>
        <w:jc w:val="both"/>
        <w:rPr>
          <w:rFonts w:ascii="Times New Roman" w:hAnsi="Times New Roman"/>
        </w:rPr>
      </w:pPr>
      <w:r>
        <w:rPr>
          <w:color w:val="0C0C0C"/>
        </w:rPr>
        <w:t>Прогнозом предусматривается реализации механизма ТОР «Камчатка» и распространение режима СПВ.</w:t>
      </w:r>
    </w:p>
    <w:p w14:paraId="4B000000">
      <w:pPr>
        <w:pStyle w:val="Style_2"/>
        <w:widowControl w:val="0"/>
        <w:spacing w:line="240" w:lineRule="auto"/>
        <w:ind w:firstLine="709" w:left="0" w:right="0"/>
        <w:jc w:val="both"/>
        <w:rPr>
          <w:rFonts w:ascii="Times New Roman" w:hAnsi="Times New Roman"/>
        </w:rPr>
      </w:pPr>
      <w:r>
        <w:rPr>
          <w:color w:val="0C0C0C"/>
        </w:rPr>
        <w:t xml:space="preserve">Различие вариантов обусловлено отличием моделей поведения частного бизнеса, перспективами повышения его конкурентоспособности, эффективностью реализации государственной политики развития и перспективами структурного и бюджетного маневра. </w:t>
      </w:r>
    </w:p>
    <w:p w14:paraId="4C000000">
      <w:pPr>
        <w:pStyle w:val="Style_2"/>
        <w:widowControl w:val="0"/>
        <w:tabs>
          <w:tab w:leader="none" w:pos="708" w:val="clear"/>
          <w:tab w:leader="none" w:pos="894" w:val="left"/>
        </w:tabs>
        <w:spacing w:line="240" w:lineRule="auto"/>
        <w:ind w:firstLine="709" w:left="0" w:right="0"/>
        <w:jc w:val="both"/>
        <w:rPr>
          <w:rFonts w:ascii="Times New Roman" w:hAnsi="Times New Roman"/>
        </w:rPr>
      </w:pPr>
      <w:r>
        <w:rPr>
          <w:b w:val="1"/>
          <w:i w:val="1"/>
          <w:color w:val="0C0C0C"/>
        </w:rPr>
        <w:t>Б</w:t>
      </w:r>
      <w:r>
        <w:rPr>
          <w:b w:val="1"/>
          <w:i w:val="1"/>
          <w:color w:val="0C0C0C"/>
        </w:rPr>
        <w:t>азовый вариант Прогноза</w:t>
      </w:r>
      <w:r>
        <w:rPr>
          <w:color w:val="0C0C0C"/>
        </w:rPr>
        <w:t xml:space="preserve"> (вариант 2 в форме 2П) описывает наиболее вероятный сценарий развития экономики с учетом относительно оптимистичных изменений внешних условий. Заложена проактивная экономическая политика, в частности, предполагается эффективная реализация мер, направленных на нивелирование инфляционных процессов, обеспечение продовольственной безопасности, стимулирование инвестиционной активности хозяйствующих субъектов.</w:t>
      </w:r>
    </w:p>
    <w:p w14:paraId="4D000000">
      <w:pPr>
        <w:pStyle w:val="Style_5"/>
        <w:spacing w:line="240" w:lineRule="auto"/>
        <w:ind w:firstLine="709" w:left="0" w:right="0"/>
        <w:jc w:val="both"/>
        <w:rPr>
          <w:rFonts w:ascii="Times New Roman" w:hAnsi="Times New Roman"/>
        </w:rPr>
      </w:pPr>
      <w:r>
        <w:rPr>
          <w:color w:val="000000"/>
        </w:rPr>
        <w:t>Инфляция к концу 2024 года составит 5,4%, к концу 2025 года выйдет на уровень 4,4% и сохранится на этом уровне до конца прогнозируемого периода.</w:t>
      </w:r>
    </w:p>
    <w:p w14:paraId="4E000000">
      <w:pPr>
        <w:pStyle w:val="Style_2"/>
        <w:spacing w:line="240" w:lineRule="auto"/>
        <w:ind w:firstLine="709" w:left="0" w:right="0"/>
        <w:jc w:val="both"/>
        <w:rPr>
          <w:rFonts w:ascii="Times New Roman" w:hAnsi="Times New Roman"/>
        </w:rPr>
      </w:pPr>
      <w:r>
        <w:rPr>
          <w:color w:val="000000"/>
        </w:rPr>
        <w:t>В базовый сценарий Прогноза заложены предпосылки достижения национальных целей и стратегических задач развития Российской Федерации, установленных Указом Президента Российской Федерации от 07.05.2024 № 309 «О национальных целях развития Российской Федерации на период до 2030 года и на перспективу до 2036 года» (далее – Указ № 309)</w:t>
      </w:r>
      <w:r>
        <w:rPr>
          <w:color w:val="632523"/>
        </w:rPr>
        <w:t>.</w:t>
      </w:r>
    </w:p>
    <w:p w14:paraId="4F000000">
      <w:pPr>
        <w:pStyle w:val="Style_2"/>
        <w:spacing w:line="240" w:lineRule="auto"/>
        <w:ind w:firstLine="709" w:left="0" w:right="0"/>
        <w:jc w:val="both"/>
        <w:rPr>
          <w:rFonts w:ascii="Times New Roman" w:hAnsi="Times New Roman"/>
        </w:rPr>
      </w:pPr>
      <w:r>
        <w:rPr>
          <w:color w:val="000000"/>
        </w:rPr>
        <w:t xml:space="preserve">Продолжится практика формирования благоприятного инвестиционного климата, стимулирования экономического роста и модернизации производства. За счет средств краевого бюджета продолжится реализация мер поддержки и стимулирования развития экономики: компенсация сниженного теплотарифа для населения, сниженного энерготарифа, поддержка малого бизнеса, субсидирование авиаперевозок на местных авиалиниях, поддержка импортозамещения. </w:t>
      </w:r>
    </w:p>
    <w:p w14:paraId="50000000">
      <w:pPr>
        <w:pStyle w:val="Style_2"/>
        <w:widowControl w:val="0"/>
        <w:spacing w:line="240" w:lineRule="auto"/>
        <w:ind w:firstLine="709" w:left="0" w:right="0"/>
        <w:jc w:val="both"/>
        <w:rPr>
          <w:color w:val="000000"/>
        </w:rPr>
      </w:pPr>
      <w:r>
        <w:rPr>
          <w:color w:val="000000"/>
        </w:rPr>
        <w:t xml:space="preserve">Снижение ВРП по итогам 2024 года составит 1,2%. Основная причина спада </w:t>
      </w:r>
      <w:r>
        <w:rPr>
          <w:color w:val="000000"/>
        </w:rPr>
        <w:t xml:space="preserve">– </w:t>
      </w:r>
      <w:r>
        <w:rPr>
          <w:color w:val="000000"/>
        </w:rPr>
        <w:t xml:space="preserve">снижение экономических показателей в рыболовстве и пищевой промышленности вследствие прогнозируемого сокращения объема вылова водных биоресурсов на фоне «рекордного» вылова 2023 года (1,8 млн тонн). Одновременно учтено сохранение положительной динамики в строительной отрасли и рост внутреннего </w:t>
      </w:r>
      <w:r>
        <w:rPr>
          <w:color w:val="000000"/>
        </w:rPr>
        <w:t>потребительского</w:t>
      </w:r>
      <w:r>
        <w:rPr>
          <w:color w:val="000000"/>
        </w:rPr>
        <w:t xml:space="preserve"> спроса. </w:t>
      </w:r>
    </w:p>
    <w:p w14:paraId="51000000">
      <w:pPr>
        <w:pStyle w:val="Style_2"/>
        <w:widowControl w:val="0"/>
        <w:spacing w:line="240" w:lineRule="auto"/>
        <w:ind w:firstLine="709" w:left="0" w:right="0"/>
        <w:jc w:val="both"/>
        <w:rPr>
          <w:rFonts w:ascii="Times New Roman" w:hAnsi="Times New Roman"/>
        </w:rPr>
      </w:pPr>
      <w:r>
        <w:rPr>
          <w:color w:val="000000"/>
        </w:rPr>
        <w:t>В период 2025–2027 годов ВРП сохранит траекторию стабильного роста (в среднем +4,4% в год). Драйвером роста станет внутренний спрос, в том числе в условиях реализации программ импортозамещения, сохранение положительной динамики инвестиций.</w:t>
      </w:r>
    </w:p>
    <w:p w14:paraId="52000000">
      <w:pPr>
        <w:pStyle w:val="Style_2"/>
        <w:widowControl w:val="0"/>
        <w:spacing w:line="240" w:lineRule="auto"/>
        <w:ind w:firstLine="709" w:left="0" w:right="0"/>
        <w:jc w:val="both"/>
        <w:rPr>
          <w:rFonts w:ascii="Times New Roman" w:hAnsi="Times New Roman"/>
        </w:rPr>
      </w:pPr>
      <w:r>
        <w:rPr>
          <w:color w:val="000000"/>
        </w:rPr>
        <w:t>Промышленное производство в 2024 году сократится. По оценке, снижение составит 4,7</w:t>
      </w:r>
      <w:r>
        <w:rPr>
          <w:color w:val="000000"/>
        </w:rPr>
        <w:t xml:space="preserve">%, в том числе в обрабатывающей промышленности </w:t>
      </w:r>
      <w:r>
        <w:rPr>
          <w:color w:val="000000"/>
        </w:rPr>
        <w:t xml:space="preserve">– </w:t>
      </w:r>
      <w:r>
        <w:rPr>
          <w:color w:val="000000"/>
        </w:rPr>
        <w:t>8,1%, основное влияние окажет сокращение прогнозируемого объема вылова лосося. В период 2025</w:t>
      </w:r>
      <w:r>
        <w:rPr>
          <w:color w:val="000000"/>
        </w:rPr>
        <w:t>–</w:t>
      </w:r>
      <w:r>
        <w:rPr>
          <w:color w:val="000000"/>
        </w:rPr>
        <w:t>2027 годов прирост промышленного производства составит 15,4% за счет увеличения добычи металлических руд, развития пищевой промышленности.</w:t>
      </w:r>
    </w:p>
    <w:p w14:paraId="53000000">
      <w:pPr>
        <w:pStyle w:val="Style_2"/>
        <w:widowControl w:val="0"/>
        <w:spacing w:line="240" w:lineRule="auto"/>
        <w:ind w:firstLine="709" w:left="0" w:right="0"/>
        <w:jc w:val="both"/>
        <w:rPr>
          <w:rFonts w:ascii="Times New Roman" w:hAnsi="Times New Roman"/>
        </w:rPr>
      </w:pPr>
      <w:r>
        <w:rPr>
          <w:color w:val="000000"/>
        </w:rPr>
        <w:t>Прогнозируется стабильная ситуация на рынке труда: безработица оценивается на уров</w:t>
      </w:r>
      <w:r>
        <w:rPr>
          <w:color w:val="000000"/>
        </w:rPr>
        <w:t xml:space="preserve">не </w:t>
      </w:r>
      <w:r>
        <w:rPr>
          <w:color w:val="000000"/>
        </w:rPr>
        <w:t>–</w:t>
      </w:r>
      <w:r>
        <w:rPr>
          <w:color w:val="000000"/>
        </w:rPr>
        <w:t>2,0</w:t>
      </w:r>
      <w:r>
        <w:rPr>
          <w:color w:val="000000"/>
        </w:rPr>
        <w:t>–1,8</w:t>
      </w:r>
      <w:r>
        <w:rPr>
          <w:color w:val="000000"/>
        </w:rPr>
        <w:t xml:space="preserve">%%. </w:t>
      </w:r>
      <w:r>
        <w:rPr>
          <w:color w:val="000000"/>
        </w:rPr>
        <w:t xml:space="preserve">На фоне низкой безработицы ожидается уверенный рост как номинальной, так и реальной заработной платы </w:t>
      </w:r>
      <w:r>
        <w:rPr>
          <w:color w:val="000000"/>
        </w:rPr>
        <w:t>– 12,2% и 3,9% соответственно в 2024 году, в 2025 году – 8,6% и 3,5%, в 2026 году – 6,9% и 2,4%, в 2027 году – 6,7% и 2,2%.</w:t>
      </w:r>
    </w:p>
    <w:p w14:paraId="54000000">
      <w:pPr>
        <w:pStyle w:val="Style_2"/>
        <w:widowControl w:val="0"/>
        <w:spacing w:line="240" w:lineRule="auto"/>
        <w:ind w:firstLine="709" w:left="0" w:right="0"/>
        <w:jc w:val="both"/>
        <w:rPr>
          <w:rFonts w:ascii="Times New Roman" w:hAnsi="Times New Roman"/>
        </w:rPr>
      </w:pPr>
      <w:r>
        <w:rPr>
          <w:color w:val="000000"/>
        </w:rPr>
        <w:t>Рост заработной платы внесет основной вклад в рост реальных денежных доходов населения. Существенное влияние также окажут меры комплексной социальной поддержки населению. В 2024 году реальные располагаемые денежные доходы населени</w:t>
      </w:r>
      <w:r>
        <w:rPr>
          <w:color w:val="000000"/>
        </w:rPr>
        <w:t>я составят 103,5%, в 2025 году – 103,5%, 2026 году – 102,3%, 2027 году – 102,0%.</w:t>
      </w:r>
    </w:p>
    <w:p w14:paraId="55000000">
      <w:pPr>
        <w:pStyle w:val="Style_2"/>
        <w:numPr>
          <w:ilvl w:val="0"/>
          <w:numId w:val="0"/>
        </w:numPr>
        <w:spacing w:line="240" w:lineRule="auto"/>
        <w:ind w:firstLine="709" w:left="0" w:right="0"/>
        <w:jc w:val="both"/>
        <w:outlineLvl w:val="8"/>
        <w:rPr>
          <w:rFonts w:ascii="Times New Roman" w:hAnsi="Times New Roman"/>
        </w:rPr>
      </w:pPr>
      <w:r>
        <w:rPr>
          <w:color w:val="000000"/>
        </w:rPr>
        <w:t>Базовый вариант Прогноза предлагается использовать для разработки параметров краевого бюджета на 2025 и плановый период 2026 и 2027 годов.</w:t>
      </w:r>
    </w:p>
    <w:p w14:paraId="56000000">
      <w:pPr>
        <w:pStyle w:val="Style_2"/>
        <w:numPr>
          <w:ilvl w:val="0"/>
          <w:numId w:val="0"/>
        </w:numPr>
        <w:spacing w:line="240" w:lineRule="auto"/>
        <w:ind w:firstLine="709" w:left="0" w:right="0"/>
        <w:jc w:val="both"/>
        <w:outlineLvl w:val="8"/>
        <w:rPr>
          <w:rFonts w:ascii="Times New Roman" w:hAnsi="Times New Roman"/>
        </w:rPr>
      </w:pPr>
      <w:r>
        <w:rPr>
          <w:color w:val="000000"/>
        </w:rPr>
        <w:t xml:space="preserve">Увеличение денежных доходов населения и </w:t>
      </w:r>
      <w:r>
        <w:rPr>
          <w:color w:val="000000"/>
        </w:rPr>
        <w:t>рост промышленного производства</w:t>
      </w:r>
      <w:r>
        <w:rPr>
          <w:color w:val="000000"/>
        </w:rPr>
        <w:t xml:space="preserve"> будут способствовать дальнейшему росту потребительского спроса. В период 2024</w:t>
      </w:r>
      <w:r>
        <w:rPr>
          <w:color w:val="000000"/>
        </w:rPr>
        <w:t xml:space="preserve">–2027 годов прирост розничной торговли составит 20,4%, платных услуг населению 11,5%. </w:t>
      </w:r>
    </w:p>
    <w:p w14:paraId="57000000">
      <w:pPr>
        <w:pStyle w:val="Style_2"/>
        <w:numPr>
          <w:ilvl w:val="0"/>
          <w:numId w:val="0"/>
        </w:numPr>
        <w:spacing w:line="240" w:lineRule="auto"/>
        <w:ind w:firstLine="709" w:left="0" w:right="0"/>
        <w:jc w:val="both"/>
        <w:outlineLvl w:val="8"/>
        <w:rPr>
          <w:rFonts w:ascii="Times New Roman" w:hAnsi="Times New Roman"/>
        </w:rPr>
      </w:pPr>
      <w:r>
        <w:rPr>
          <w:rFonts w:ascii="Times New Roman" w:hAnsi="Times New Roman"/>
          <w:color w:val="000000"/>
        </w:rPr>
        <w:t>Приросту инвестиций в основной капи</w:t>
      </w:r>
      <w:r>
        <w:rPr>
          <w:rFonts w:ascii="Times New Roman" w:hAnsi="Times New Roman"/>
          <w:color w:val="000000"/>
        </w:rPr>
        <w:t xml:space="preserve">тал </w:t>
      </w:r>
      <w:r>
        <w:rPr>
          <w:rFonts w:ascii="Times New Roman" w:hAnsi="Times New Roman"/>
          <w:color w:val="000000"/>
        </w:rPr>
        <w:t>в период 2025</w:t>
      </w:r>
      <w:r>
        <w:rPr>
          <w:rFonts w:ascii="Times New Roman" w:hAnsi="Times New Roman"/>
          <w:color w:val="000000"/>
        </w:rPr>
        <w:t>–</w:t>
      </w:r>
      <w:r>
        <w:rPr>
          <w:rFonts w:ascii="Times New Roman" w:hAnsi="Times New Roman"/>
          <w:color w:val="000000"/>
        </w:rPr>
        <w:t xml:space="preserve">2027 годов </w:t>
      </w:r>
      <w:r>
        <w:rPr>
          <w:rFonts w:ascii="Times New Roman" w:hAnsi="Times New Roman"/>
          <w:color w:val="000000"/>
        </w:rPr>
        <w:t>(+1</w:t>
      </w:r>
      <w:r>
        <w:rPr>
          <w:rFonts w:ascii="Times New Roman" w:hAnsi="Times New Roman"/>
          <w:color w:val="000000"/>
        </w:rPr>
        <w:t>1</w:t>
      </w:r>
      <w:r>
        <w:rPr>
          <w:rFonts w:ascii="Times New Roman" w:hAnsi="Times New Roman"/>
          <w:color w:val="000000"/>
        </w:rPr>
        <w:t>%)</w:t>
      </w:r>
      <w:r>
        <w:rPr>
          <w:rFonts w:ascii="Times New Roman" w:hAnsi="Times New Roman"/>
          <w:color w:val="632523"/>
        </w:rPr>
        <w:t xml:space="preserve"> </w:t>
      </w:r>
      <w:r>
        <w:rPr>
          <w:rFonts w:ascii="Times New Roman" w:hAnsi="Times New Roman"/>
          <w:color w:val="000000"/>
        </w:rPr>
        <w:t>б</w:t>
      </w:r>
      <w:r>
        <w:rPr>
          <w:rFonts w:ascii="Times New Roman" w:hAnsi="Times New Roman"/>
          <w:color w:val="000000"/>
        </w:rPr>
        <w:t xml:space="preserve">удет способствовать реализация крупных проектов, прежде всего, в транспортно-логистическом, </w:t>
      </w:r>
      <w:r>
        <w:rPr>
          <w:rFonts w:ascii="Times New Roman" w:hAnsi="Times New Roman"/>
          <w:color w:val="000000"/>
        </w:rPr>
        <w:t>рыбохозяйственном</w:t>
      </w:r>
      <w:r>
        <w:rPr>
          <w:rFonts w:ascii="Times New Roman" w:hAnsi="Times New Roman"/>
          <w:color w:val="000000"/>
        </w:rPr>
        <w:t xml:space="preserve"> </w:t>
      </w:r>
      <w:r>
        <w:rPr>
          <w:rFonts w:ascii="Times New Roman" w:hAnsi="Times New Roman"/>
          <w:color w:val="000000"/>
        </w:rPr>
        <w:t xml:space="preserve">и туристическом </w:t>
      </w:r>
      <w:r>
        <w:rPr>
          <w:rFonts w:ascii="Times New Roman" w:hAnsi="Times New Roman"/>
          <w:color w:val="000000"/>
        </w:rPr>
        <w:t>комплекс</w:t>
      </w:r>
      <w:r>
        <w:rPr>
          <w:rFonts w:ascii="Times New Roman" w:hAnsi="Times New Roman"/>
          <w:color w:val="000000"/>
        </w:rPr>
        <w:t>ах</w:t>
      </w:r>
      <w:r>
        <w:rPr>
          <w:rFonts w:ascii="Times New Roman" w:hAnsi="Times New Roman"/>
          <w:color w:val="000000"/>
        </w:rPr>
        <w:t>.</w:t>
      </w:r>
    </w:p>
    <w:p w14:paraId="58000000">
      <w:pPr>
        <w:pStyle w:val="Style_2"/>
        <w:widowControl w:val="0"/>
        <w:spacing w:after="0" w:before="0" w:line="240" w:lineRule="auto"/>
        <w:ind w:firstLine="709" w:left="0" w:right="0"/>
        <w:contextualSpacing w:val="1"/>
        <w:jc w:val="both"/>
        <w:rPr>
          <w:rFonts w:ascii="Times New Roman" w:hAnsi="Times New Roman"/>
        </w:rPr>
      </w:pPr>
      <w:r>
        <w:rPr>
          <w:b w:val="1"/>
          <w:i w:val="1"/>
          <w:color w:val="0C0C0C"/>
        </w:rPr>
        <w:t xml:space="preserve">Консервативный вариант Прогноза </w:t>
      </w:r>
      <w:r>
        <w:rPr>
          <w:color w:val="0C0C0C"/>
        </w:rPr>
        <w:t xml:space="preserve">(вариант 1 в форме 2П) учитывает внешние и внутренние риски, отличается от базового тем, что предполагает замедление экономики в условиях более жесткой реализации санкционных ограничений недружественных стран и более медленной перестройки производственно-логистических цепочек. </w:t>
      </w:r>
    </w:p>
    <w:p w14:paraId="59000000">
      <w:pPr>
        <w:pStyle w:val="Style_2"/>
        <w:widowControl w:val="0"/>
        <w:spacing w:after="0" w:before="0" w:line="240" w:lineRule="auto"/>
        <w:ind w:firstLine="709" w:left="0" w:right="0"/>
        <w:contextualSpacing w:val="1"/>
        <w:jc w:val="both"/>
        <w:rPr>
          <w:rFonts w:ascii="Times New Roman" w:hAnsi="Times New Roman"/>
        </w:rPr>
      </w:pPr>
      <w:r>
        <w:rPr>
          <w:color w:val="0C0C0C"/>
        </w:rPr>
        <w:t>В этих условиях ожидается реализация отдельных проинфляционных рисков. Инфляция будет выше, чем в базовом вар</w:t>
      </w:r>
      <w:r>
        <w:rPr>
          <w:color w:val="0C0C0C"/>
        </w:rPr>
        <w:t>ианте, и составит в 2025 году 105,1%, в 2026 году – 104,8%, в 2027 году – 104,6%, что скажется на более длительном периоде сохранения жестких денежно-кредитных условий, более низкой инвестиционной и потребительской активности.</w:t>
      </w:r>
    </w:p>
    <w:p w14:paraId="5A000000">
      <w:pPr>
        <w:pStyle w:val="Style_2"/>
        <w:widowControl w:val="0"/>
        <w:spacing w:after="0" w:before="0" w:line="240" w:lineRule="auto"/>
        <w:ind w:firstLine="709" w:left="0" w:right="0"/>
        <w:contextualSpacing w:val="1"/>
        <w:jc w:val="both"/>
        <w:rPr>
          <w:rFonts w:ascii="Times New Roman" w:hAnsi="Times New Roman"/>
        </w:rPr>
      </w:pPr>
      <w:r>
        <w:rPr>
          <w:color w:val="000000"/>
        </w:rPr>
        <w:t>С учетом более умеренных, чем в базовом варианте, темпов экономического роста прирост реальных располагаемых доходов населения в среднесрочной перспективе ожидается на уровне</w:t>
      </w:r>
      <w:r>
        <w:rPr>
          <w:color w:val="632523"/>
        </w:rPr>
        <w:t xml:space="preserve"> </w:t>
      </w:r>
      <w:r>
        <w:rPr>
          <w:color w:val="000000"/>
        </w:rPr>
        <w:t>1,8–2,0% в год, что, в свою очередь, окажет сдерживающее воздействие на потребительский спрос. Темпы роста розничного товарооборота и объема платных услуг населению оцениваются на уровне 2,5–3,5% в год и 1,6–1,9% в год соответственно. Инфляция составит 4,8% к концу 2025 года, 4,8% – к концу 2026 года и выйдет на уровень 4,4% к концу прогнозного периода (в декабре 2027 года).</w:t>
      </w:r>
    </w:p>
    <w:p w14:paraId="5B000000">
      <w:pPr>
        <w:pStyle w:val="Style_2"/>
        <w:widowControl w:val="0"/>
        <w:spacing w:after="0" w:before="0" w:line="240" w:lineRule="auto"/>
        <w:ind w:firstLine="709" w:left="0" w:right="0"/>
        <w:contextualSpacing w:val="1"/>
        <w:jc w:val="both"/>
        <w:rPr>
          <w:rFonts w:ascii="Times New Roman" w:hAnsi="Times New Roman"/>
        </w:rPr>
      </w:pPr>
      <w:r>
        <w:rPr>
          <w:color w:val="0C0C0C"/>
        </w:rPr>
        <w:t>Консервативный вариант предусматривает реализацию следующих рисков снижения темпов развития экономики:</w:t>
      </w:r>
    </w:p>
    <w:p w14:paraId="5C000000">
      <w:pPr>
        <w:pStyle w:val="Style_2"/>
        <w:widowControl w:val="0"/>
        <w:spacing w:after="0" w:before="0" w:line="240" w:lineRule="auto"/>
        <w:ind w:firstLine="709" w:left="0" w:right="0"/>
        <w:contextualSpacing w:val="1"/>
        <w:jc w:val="both"/>
        <w:rPr>
          <w:rFonts w:ascii="Times New Roman" w:hAnsi="Times New Roman"/>
        </w:rPr>
      </w:pPr>
      <w:r>
        <w:rPr>
          <w:color w:val="0C0C0C"/>
        </w:rPr>
        <w:t>– </w:t>
      </w:r>
      <w:r>
        <w:rPr>
          <w:color w:val="0C0C0C"/>
        </w:rPr>
        <w:t>сохранение финансовых и экономических санкций в отношении российской экономики, а также ответных мер на протяжении всего прогнозного периода;</w:t>
      </w:r>
    </w:p>
    <w:p w14:paraId="5D000000">
      <w:pPr>
        <w:pStyle w:val="Style_2"/>
        <w:widowControl w:val="0"/>
        <w:spacing w:after="0" w:before="0" w:line="240" w:lineRule="auto"/>
        <w:ind w:firstLine="709" w:left="0" w:right="0"/>
        <w:contextualSpacing w:val="1"/>
        <w:jc w:val="both"/>
        <w:rPr>
          <w:rFonts w:ascii="Times New Roman" w:hAnsi="Times New Roman"/>
        </w:rPr>
      </w:pPr>
      <w:r>
        <w:rPr>
          <w:color w:val="0C0C0C"/>
        </w:rPr>
        <w:t>– </w:t>
      </w:r>
      <w:r>
        <w:rPr>
          <w:color w:val="0C0C0C"/>
        </w:rPr>
        <w:t xml:space="preserve">сохранение неблагоприятных демографических тенденций; </w:t>
      </w:r>
    </w:p>
    <w:p w14:paraId="5E000000">
      <w:pPr>
        <w:pStyle w:val="Style_2"/>
        <w:widowControl w:val="0"/>
        <w:spacing w:after="0" w:before="0" w:line="240" w:lineRule="auto"/>
        <w:ind w:firstLine="709" w:left="0" w:right="0"/>
        <w:contextualSpacing w:val="1"/>
        <w:jc w:val="both"/>
        <w:rPr>
          <w:rFonts w:ascii="Times New Roman" w:hAnsi="Times New Roman"/>
        </w:rPr>
      </w:pPr>
      <w:r>
        <w:rPr>
          <w:color w:val="0C0C0C"/>
        </w:rPr>
        <w:t>– </w:t>
      </w:r>
      <w:r>
        <w:rPr>
          <w:color w:val="0C0C0C"/>
        </w:rPr>
        <w:t>сокращение инвестиционных программ ведущих компаний Камчатского края, отсрочка реализации инвестиционных намерений на территории региона;</w:t>
      </w:r>
    </w:p>
    <w:p w14:paraId="5F000000">
      <w:pPr>
        <w:pStyle w:val="Style_2"/>
        <w:widowControl w:val="0"/>
        <w:spacing w:after="0" w:before="0" w:line="240" w:lineRule="auto"/>
        <w:ind w:firstLine="709" w:left="0" w:right="0"/>
        <w:contextualSpacing w:val="1"/>
        <w:jc w:val="both"/>
        <w:rPr>
          <w:rFonts w:ascii="Times New Roman" w:hAnsi="Times New Roman"/>
        </w:rPr>
      </w:pPr>
      <w:r>
        <w:rPr>
          <w:color w:val="0C0C0C"/>
        </w:rPr>
        <w:t>– </w:t>
      </w:r>
      <w:r>
        <w:rPr>
          <w:color w:val="0C0C0C"/>
        </w:rPr>
        <w:t>сокращение объемов и перенос сроков планового финансирования инфраструктурных проектов, реализуемых за счет средств фе</w:t>
      </w:r>
      <w:r>
        <w:rPr>
          <w:color w:val="000000"/>
        </w:rPr>
        <w:t>дерального бюджета.</w:t>
      </w:r>
    </w:p>
    <w:p w14:paraId="60000000">
      <w:pPr>
        <w:pStyle w:val="Style_2"/>
        <w:widowControl w:val="0"/>
        <w:spacing w:after="0" w:before="0" w:line="240" w:lineRule="auto"/>
        <w:ind w:firstLine="709" w:left="0" w:right="0"/>
        <w:contextualSpacing w:val="1"/>
        <w:jc w:val="both"/>
        <w:rPr>
          <w:rFonts w:ascii="Times New Roman" w:hAnsi="Times New Roman"/>
          <w:color w:val="000000"/>
        </w:rPr>
      </w:pPr>
      <w:r>
        <w:rPr>
          <w:color w:val="000000"/>
        </w:rPr>
        <w:t>Ожидается замедление роста ВРП. К концу прогнозного периода накопленный рост ВРП будет на 7,4 п.п. ниже, чем в базовом варианте. Основной фактор –</w:t>
      </w:r>
      <w:r>
        <w:rPr>
          <w:color w:val="000000"/>
        </w:rPr>
        <w:t xml:space="preserve"> </w:t>
      </w:r>
      <w:r>
        <w:rPr>
          <w:color w:val="000000"/>
        </w:rPr>
        <w:t>медленные темпы роста</w:t>
      </w:r>
      <w:r>
        <w:rPr>
          <w:color w:val="000000"/>
        </w:rPr>
        <w:t xml:space="preserve"> </w:t>
      </w:r>
      <w:r>
        <w:rPr>
          <w:color w:val="000000"/>
        </w:rPr>
        <w:t xml:space="preserve">доходов населения, потребительского спроса </w:t>
      </w:r>
      <w:r>
        <w:rPr>
          <w:color w:val="000000"/>
        </w:rPr>
        <w:t>и</w:t>
      </w:r>
      <w:r>
        <w:rPr>
          <w:color w:val="000000"/>
        </w:rPr>
        <w:t xml:space="preserve"> </w:t>
      </w:r>
      <w:r>
        <w:rPr>
          <w:color w:val="000000"/>
        </w:rPr>
        <w:t>экспорта в среднесрочной перспективе</w:t>
      </w:r>
      <w:r>
        <w:rPr>
          <w:color w:val="000000"/>
        </w:rPr>
        <w:t>, сокращение инвестиционной активности в 2025 году (-0,4%).</w:t>
      </w:r>
    </w:p>
    <w:p w14:paraId="61000000">
      <w:pPr>
        <w:pStyle w:val="Style_2"/>
        <w:spacing w:line="240" w:lineRule="auto"/>
        <w:ind/>
        <w:jc w:val="both"/>
        <w:rPr>
          <w:rFonts w:ascii="Times New Roman" w:hAnsi="Times New Roman"/>
          <w:b w:val="1"/>
          <w:color w:val="632523"/>
        </w:rPr>
      </w:pPr>
    </w:p>
    <w:p w14:paraId="62000000">
      <w:pPr>
        <w:pStyle w:val="Style_2"/>
        <w:spacing w:line="240" w:lineRule="auto"/>
        <w:ind/>
        <w:jc w:val="both"/>
        <w:rPr>
          <w:rFonts w:ascii="Times New Roman" w:hAnsi="Times New Roman"/>
        </w:rPr>
      </w:pPr>
      <w:r>
        <w:rPr>
          <w:b w:val="1"/>
          <w:color w:val="0C0C0C"/>
        </w:rPr>
        <w:t>IV. Направления социально-экономического развития Камчатского края и целевые показатели Прогноза</w:t>
      </w:r>
    </w:p>
    <w:p w14:paraId="63000000">
      <w:pPr>
        <w:pStyle w:val="Style_2"/>
        <w:spacing w:line="240" w:lineRule="auto"/>
        <w:ind/>
        <w:jc w:val="both"/>
        <w:rPr>
          <w:rFonts w:ascii="Times New Roman" w:hAnsi="Times New Roman"/>
          <w:b w:val="1"/>
          <w:color w:val="632523"/>
        </w:rPr>
      </w:pPr>
    </w:p>
    <w:p w14:paraId="64000000">
      <w:pPr>
        <w:pStyle w:val="Style_2"/>
        <w:spacing w:line="240" w:lineRule="auto"/>
        <w:ind/>
        <w:rPr>
          <w:rFonts w:ascii="Times New Roman" w:hAnsi="Times New Roman"/>
          <w:color w:val="000000"/>
        </w:rPr>
      </w:pPr>
      <w:r>
        <w:rPr>
          <w:b w:val="1"/>
          <w:color w:val="000000"/>
        </w:rPr>
        <w:t>1. Производство валового регионального продукта</w:t>
      </w:r>
    </w:p>
    <w:p w14:paraId="65000000">
      <w:pPr>
        <w:pStyle w:val="Style_2"/>
        <w:widowControl w:val="0"/>
        <w:tabs>
          <w:tab w:leader="none" w:pos="708" w:val="clear"/>
          <w:tab w:leader="none" w:pos="4677" w:val="center"/>
          <w:tab w:leader="none" w:pos="9355" w:val="right"/>
        </w:tabs>
        <w:spacing w:line="240" w:lineRule="auto"/>
        <w:ind w:firstLine="709" w:left="0" w:right="0"/>
        <w:jc w:val="both"/>
        <w:rPr>
          <w:rFonts w:ascii="Times New Roman" w:hAnsi="Times New Roman"/>
        </w:rPr>
      </w:pPr>
      <w:r>
        <w:rPr>
          <w:sz w:val="24"/>
        </w:rPr>
        <w:t xml:space="preserve">В 2023 году ВРП оценивается в 395,6 млрд руб. при темпе роста физического объема 104,5%. Индекс-дефлятор ожидается в пределах 106,0%. </w:t>
      </w:r>
    </w:p>
    <w:p w14:paraId="66000000">
      <w:pPr>
        <w:pStyle w:val="Style_2"/>
        <w:spacing w:line="240" w:lineRule="auto"/>
        <w:ind w:firstLine="708" w:left="0" w:right="0"/>
        <w:jc w:val="both"/>
        <w:rPr>
          <w:rFonts w:ascii="Times New Roman" w:hAnsi="Times New Roman"/>
        </w:rPr>
      </w:pPr>
      <w:r>
        <w:rPr>
          <w:sz w:val="24"/>
        </w:rPr>
        <w:t xml:space="preserve">На экономические показатели региона и страны в целом оказывают влияние экономические риски, связанные с санкционным давлением, проведением СВО и мобилизацией граждан. В ряде отраслей возникла необходимость ипортозамещения, что оказало влияние на темпы производства отрасли рыболовства, добычи полезных ископаемых, обработки и прочие. Также влияние на уровень добавленной стоимости оказывает ситуация в экономикообразующей отрасли региона – рыболовстве. Негативные факторы в указанной отрасли: снижение объемов добычи и реализации рыбопродукции, выручки, рост затрат. </w:t>
      </w:r>
    </w:p>
    <w:p w14:paraId="67000000">
      <w:pPr>
        <w:pStyle w:val="Style_2"/>
        <w:spacing w:line="240" w:lineRule="auto"/>
        <w:ind w:firstLine="708" w:left="0" w:right="0"/>
        <w:jc w:val="both"/>
        <w:rPr>
          <w:rFonts w:ascii="Times New Roman" w:hAnsi="Times New Roman"/>
        </w:rPr>
      </w:pPr>
      <w:r>
        <w:rPr>
          <w:sz w:val="24"/>
        </w:rPr>
        <w:t>Учитывая эти факторы, а также условия регионального предпринимательского климата производство добавленной стоимости по видам экономической деятельности осуществляется неодинаковыми темпами, при этом наблюдается разнонаправленная динамика. Отдельные сектора экономики: сельское хозяйство, рыболовство и рыбоводство, обеспечение электрической энергией; водоснабжение; обрабатывающие производства, водоснабжение могут снизить темпы развития. Превышающей динамикой характеризуются отрасли государственного управления и обеспечения военной безопасности, строительства, торговли, образования, деятельности в области культуры и спорта.</w:t>
      </w:r>
    </w:p>
    <w:p w14:paraId="68000000">
      <w:pPr>
        <w:pStyle w:val="Style_2"/>
        <w:widowControl w:val="0"/>
        <w:tabs>
          <w:tab w:leader="none" w:pos="708" w:val="clear"/>
          <w:tab w:leader="none" w:pos="4677" w:val="center"/>
          <w:tab w:leader="none" w:pos="9355" w:val="right"/>
        </w:tabs>
        <w:spacing w:line="240" w:lineRule="auto"/>
        <w:ind w:firstLine="709" w:left="0" w:right="0"/>
        <w:jc w:val="both"/>
        <w:rPr>
          <w:rFonts w:ascii="Times New Roman" w:hAnsi="Times New Roman"/>
        </w:rPr>
      </w:pPr>
      <w:r>
        <w:rPr>
          <w:sz w:val="24"/>
        </w:rPr>
        <w:t xml:space="preserve">Вид деятельности государственное управление и обеспечение военной безопасности; социальное обеспечение обеспечивает в структуре ВРП долю в 21,1% – вторая позиция после вклада сельского, лесного хозяйства, охоты, рыболовства и рыбоводства, экономический вес которого составляет 24,6%. </w:t>
      </w:r>
    </w:p>
    <w:p w14:paraId="69000000">
      <w:pPr>
        <w:pStyle w:val="Style_2"/>
        <w:widowControl w:val="0"/>
        <w:spacing w:line="240" w:lineRule="auto"/>
        <w:ind w:firstLine="708" w:left="0" w:right="0"/>
        <w:jc w:val="both"/>
        <w:rPr>
          <w:rFonts w:ascii="Times New Roman" w:hAnsi="Times New Roman"/>
        </w:rPr>
      </w:pPr>
      <w:r>
        <w:rPr>
          <w:sz w:val="24"/>
        </w:rPr>
        <w:t>Другие виды деятельности, традиционно образующие производственный каркас экономики региона или формирующие значимую долю ВРП: торговля оптовая и розничная – 6,3%; деятельность в области здравоохранения и социальных услуг – 4,7%; добыча полезных ископаемых – 4,1%; транспортировка и хранение – 5,3%; обрабатывающие производства – 4,3%.</w:t>
      </w:r>
    </w:p>
    <w:p w14:paraId="6A000000">
      <w:pPr>
        <w:pStyle w:val="Style_2"/>
        <w:widowControl w:val="0"/>
        <w:tabs>
          <w:tab w:leader="none" w:pos="708" w:val="clear"/>
          <w:tab w:leader="none" w:pos="4677" w:val="center"/>
          <w:tab w:leader="none" w:pos="9355" w:val="right"/>
        </w:tabs>
        <w:spacing w:line="240" w:lineRule="auto"/>
        <w:ind w:firstLine="709" w:left="0" w:right="0"/>
        <w:jc w:val="both"/>
        <w:rPr>
          <w:rFonts w:ascii="Times New Roman" w:hAnsi="Times New Roman"/>
        </w:rPr>
      </w:pPr>
      <w:r>
        <w:rPr>
          <w:sz w:val="24"/>
        </w:rPr>
        <w:t>В 2024 году темп роста физического объема ВРП Камчатского края оценивается в размере 98,8%, а его объем в текущих ценах – 416,7 млрд руб. при индексе-дефляторе 106,6%. Развитие отраслей экономики находится под влиянием обширного санкционного давления недружественных стран. Вместе с тем рост объема ВРП характеризует высокий уровень индексов-дефляторов, связанный с ростом потребительских цен на услуги и товары. Основные экономикообразующие отрасли, такие как государственное управление и обеспечение военной безопасности, здравоохранение, торговля имеют положительную динамику в том числе как результат сохранения политики поддержки предпринимательской и инвестиционной деятельности.</w:t>
      </w:r>
    </w:p>
    <w:p w14:paraId="6B000000">
      <w:pPr>
        <w:pStyle w:val="Style_2"/>
        <w:widowControl w:val="0"/>
        <w:tabs>
          <w:tab w:leader="none" w:pos="708" w:val="clear"/>
          <w:tab w:leader="none" w:pos="4677" w:val="center"/>
          <w:tab w:leader="none" w:pos="9355" w:val="right"/>
        </w:tabs>
        <w:spacing w:line="240" w:lineRule="auto"/>
        <w:ind w:firstLine="709" w:left="0" w:right="0"/>
        <w:jc w:val="both"/>
        <w:rPr>
          <w:rFonts w:ascii="Times New Roman" w:hAnsi="Times New Roman"/>
        </w:rPr>
      </w:pPr>
      <w:r>
        <w:rPr>
          <w:sz w:val="24"/>
        </w:rPr>
        <w:t xml:space="preserve">В прогнозном периоде сохранится положительная динамика ВРП за счет реализации инвестиционных проектов в различных отраслях экономики. В 2025 году базовый вариант предусматривает увеличение темпа роста физического объема до </w:t>
      </w:r>
      <w:r>
        <w:rPr>
          <w:sz w:val="24"/>
        </w:rPr>
        <w:t>103,4%,</w:t>
      </w:r>
      <w:r>
        <w:rPr>
          <w:sz w:val="24"/>
        </w:rPr>
        <w:t xml:space="preserve"> что обусловлено ожидаемым опережающим ростом федерального финансирования, направленного на реализацию ключевых инфраструктурных, инвестиционных и национальных проектов. В последующих годах прогнозируемого периода выпуск товаров и услуг, и, соответственно, ВРП сохранит тенденцию сдержанного роста. Прогноз учитывает, как сценарии, предложенные Минэкономразвития России, так и внутрирегиональные условия и ограничения. </w:t>
      </w:r>
    </w:p>
    <w:p w14:paraId="6C000000">
      <w:pPr>
        <w:pStyle w:val="Style_2"/>
        <w:widowControl w:val="0"/>
        <w:spacing w:line="240" w:lineRule="auto"/>
        <w:ind w:firstLine="709" w:left="0" w:right="0"/>
        <w:jc w:val="both"/>
        <w:rPr>
          <w:rFonts w:ascii="Times New Roman" w:hAnsi="Times New Roman"/>
        </w:rPr>
      </w:pPr>
      <w:r>
        <w:rPr>
          <w:sz w:val="24"/>
        </w:rPr>
        <w:t>Достижению прогнозируемых темпов роста экономики будет способствовать расширение производства в рамках ТОР «Камчатка», «Свободного порта Владивосток» и реализация крупных инвестиционных проектов, создание транспортной инфраструктуры. Существенный потенциал содержит также комплекс мер «Национальной программы социально-экономического развития Дальнего Востока на период до 2024 года и на перспективу до 2035», утвержденной во исполнение Указа Президента Российской Федерации от 26.06.2020 № 427 «О мерах по социально-экономическому развитию Дальнего Востока», а также экономической политики, направленной на обеспечение ускорения темпов экономического роста и улучшение демографической ситуации, которые разработаны Правительством Российской Федерации в целях реализации Указов № 204 и № 309.</w:t>
      </w:r>
    </w:p>
    <w:p w14:paraId="6D000000">
      <w:pPr>
        <w:pStyle w:val="Style_2"/>
        <w:spacing w:after="40" w:before="40" w:line="240" w:lineRule="auto"/>
        <w:ind w:firstLine="709" w:left="0" w:right="0"/>
        <w:jc w:val="both"/>
        <w:rPr>
          <w:rFonts w:ascii="Times New Roman" w:hAnsi="Times New Roman"/>
        </w:rPr>
      </w:pPr>
      <w:r>
        <w:rPr>
          <w:sz w:val="24"/>
        </w:rPr>
        <w:t>Базовый вариант предусматривает динамику, которая обеспечит достижение к 2027 году ВРП в объеме 547,7 млрд руб. Прирост за период 2024</w:t>
      </w:r>
      <w:r>
        <w:rPr>
          <w:sz w:val="24"/>
        </w:rPr>
        <w:t>–</w:t>
      </w:r>
      <w:r>
        <w:rPr>
          <w:sz w:val="24"/>
        </w:rPr>
        <w:t xml:space="preserve">2027 годов составляет </w:t>
      </w:r>
      <w:bookmarkStart w:id="1" w:name="_GoBack_Копия_3"/>
      <w:bookmarkEnd w:id="1"/>
      <w:r>
        <w:rPr>
          <w:sz w:val="24"/>
        </w:rPr>
        <w:t>111,8%, что обусловлено ожидаемым эффектом реализации политики ускоренного развития территорий роста.</w:t>
      </w:r>
    </w:p>
    <w:p w14:paraId="6E000000">
      <w:pPr>
        <w:pStyle w:val="Style_2"/>
        <w:spacing w:after="40" w:before="40" w:line="240" w:lineRule="auto"/>
        <w:ind w:firstLine="709" w:left="0" w:right="0"/>
        <w:jc w:val="both"/>
        <w:rPr>
          <w:rFonts w:ascii="Times New Roman" w:hAnsi="Times New Roman"/>
        </w:rPr>
      </w:pPr>
      <w:r>
        <w:rPr>
          <w:sz w:val="24"/>
        </w:rPr>
        <w:t>В консервативном сценарии потенциальный прирост ВРП составит 104,4% за период 2024</w:t>
      </w:r>
      <w:r>
        <w:rPr>
          <w:sz w:val="24"/>
        </w:rPr>
        <w:t>–</w:t>
      </w:r>
      <w:r>
        <w:rPr>
          <w:sz w:val="24"/>
        </w:rPr>
        <w:t>2027 годов.</w:t>
      </w:r>
      <w:r>
        <w:rPr>
          <w:color w:val="000000"/>
          <w:sz w:val="24"/>
        </w:rPr>
        <w:t xml:space="preserve"> </w:t>
      </w:r>
    </w:p>
    <w:p w14:paraId="6F000000">
      <w:pPr>
        <w:pStyle w:val="Style_2"/>
        <w:widowControl w:val="0"/>
        <w:spacing w:line="240" w:lineRule="auto"/>
        <w:ind w:firstLine="709" w:left="0" w:right="0"/>
        <w:jc w:val="both"/>
        <w:rPr>
          <w:rFonts w:ascii="Times New Roman" w:hAnsi="Times New Roman"/>
          <w:color w:val="632523"/>
          <w:sz w:val="24"/>
        </w:rPr>
      </w:pPr>
    </w:p>
    <w:p w14:paraId="70000000">
      <w:pPr>
        <w:pStyle w:val="Style_2"/>
        <w:spacing w:line="240" w:lineRule="auto"/>
        <w:ind/>
        <w:rPr>
          <w:rFonts w:ascii="Times New Roman" w:hAnsi="Times New Roman"/>
        </w:rPr>
      </w:pPr>
      <w:r>
        <w:rPr>
          <w:b w:val="1"/>
          <w:color w:val="000000"/>
          <w:sz w:val="24"/>
        </w:rPr>
        <w:t>2. Промышленное производство</w:t>
      </w:r>
    </w:p>
    <w:p w14:paraId="71000000">
      <w:pPr>
        <w:pStyle w:val="Style_2"/>
        <w:widowControl w:val="0"/>
        <w:spacing w:line="240" w:lineRule="auto"/>
        <w:ind w:firstLine="708" w:left="0" w:right="0"/>
        <w:jc w:val="both"/>
        <w:rPr>
          <w:rFonts w:ascii="Times New Roman" w:hAnsi="Times New Roman"/>
        </w:rPr>
      </w:pPr>
      <w:r>
        <w:rPr>
          <w:color w:val="000000"/>
          <w:sz w:val="24"/>
        </w:rPr>
        <w:t>Промышленность занимает ведущее место в экономике Камчатского края. Структура промышленности на 69,1% представлена обрабатывающими производствами, 19,0% занимает добыча полезных ископаемых, около 10,3% приходится на обеспечение электрической энергией, газом и паром, 1,6% составляют водоснабжение, водоотведение и утилизация отходов.</w:t>
      </w:r>
    </w:p>
    <w:p w14:paraId="72000000">
      <w:pPr>
        <w:pStyle w:val="Style_2"/>
        <w:spacing w:line="240" w:lineRule="auto"/>
        <w:ind w:firstLine="709" w:left="0" w:right="0"/>
        <w:jc w:val="both"/>
        <w:rPr>
          <w:rFonts w:ascii="Times New Roman" w:hAnsi="Times New Roman"/>
        </w:rPr>
      </w:pPr>
      <w:r>
        <w:rPr>
          <w:color w:val="000000"/>
          <w:sz w:val="24"/>
        </w:rPr>
        <w:t>Индекс промышленного производства за 2023 год составил 129,5%, что обусловлено  ростом производства рыбоперерабатывающей промышленности на 40,1% из-за рекордных объемов вылова водных биологических ресурсов 1,8 млн тонн (30,9% к 2022 году). Увеличен вылов тихоокеанского лосося в 3,6 раза, сардины иваси в 4,2 раза к 2022 году. Индекс производства добычи полезных ископаемых составил 135,0% к 2022 году. Увеличена добыча металлических руд на 38,1% к 2022 году. В обеспечении электрической энергией, газом и паром, кондиционировании воздуха индекс производства увеличен на 2,4%. Производство электроэнергии увеличено на 3,7% к уровню 2022 года, и составило 2 095,7 млн кВт-ч, Отмечается рост потребления электрической энергии рыбоперерабатывающими заводами, организациями жилищно-коммунального хозяйства, населением. Производство тепловой энергии, пара и горячей воды увеличилось на 0,2% (произведено 3 555,6 тыс. Гкл).</w:t>
      </w:r>
    </w:p>
    <w:p w14:paraId="73000000">
      <w:pPr>
        <w:pStyle w:val="Style_2"/>
        <w:spacing w:line="240" w:lineRule="auto"/>
        <w:ind w:firstLine="709" w:left="0" w:right="0"/>
        <w:jc w:val="both"/>
        <w:rPr>
          <w:rFonts w:ascii="Times New Roman" w:hAnsi="Times New Roman"/>
        </w:rPr>
      </w:pPr>
      <w:r>
        <w:rPr>
          <w:b w:val="1"/>
          <w:i w:val="1"/>
          <w:color w:val="000000"/>
          <w:sz w:val="24"/>
        </w:rPr>
        <w:t>Добыча полезных ископаемых</w:t>
      </w:r>
    </w:p>
    <w:p w14:paraId="74000000">
      <w:pPr>
        <w:pStyle w:val="Style_2"/>
        <w:spacing w:line="240" w:lineRule="auto"/>
        <w:ind w:firstLine="709" w:left="0" w:right="0"/>
        <w:jc w:val="both"/>
        <w:rPr>
          <w:rFonts w:ascii="Times New Roman" w:hAnsi="Times New Roman"/>
        </w:rPr>
      </w:pPr>
      <w:r>
        <w:rPr>
          <w:color w:val="000000"/>
          <w:sz w:val="24"/>
        </w:rPr>
        <w:t xml:space="preserve">В Камчатском крае производится добыча драгоценных металлов, природного газа, угля, минеральных и теплоэнергетических вод, пресных подземных вод, общераспространенных полезных ископаемых. </w:t>
      </w:r>
    </w:p>
    <w:p w14:paraId="75000000">
      <w:pPr>
        <w:pStyle w:val="Style_2"/>
        <w:spacing w:line="240" w:lineRule="auto"/>
        <w:ind w:firstLine="709" w:left="0" w:right="0"/>
        <w:jc w:val="both"/>
        <w:rPr>
          <w:rFonts w:ascii="Times New Roman" w:hAnsi="Times New Roman"/>
        </w:rPr>
      </w:pPr>
      <w:r>
        <w:rPr>
          <w:color w:val="000000"/>
          <w:sz w:val="24"/>
        </w:rPr>
        <w:t>Добыча металлических руд составляет 89,8 всей отрасли. В 2023 году индекс производства добычи металлических руд составил 135,0% к 2022 году.</w:t>
      </w:r>
      <w:r>
        <w:rPr>
          <w:color w:val="632523"/>
          <w:sz w:val="24"/>
        </w:rPr>
        <w:t xml:space="preserve"> </w:t>
      </w:r>
      <w:r>
        <w:rPr>
          <w:color w:val="000000"/>
          <w:sz w:val="24"/>
        </w:rPr>
        <w:t>В 2023 году не производилась и не планируется до 2025 года добыча: россыпной платины в связи консервацией месторождений р. Левтыринваям и руч. Ледяной (недропользователь – АО «Корякгеолдобыча»), никелевой руды в связи с проведением на месторождении Шануч (недропользователь – ЗАО НПК «Геотехнология») горно-подготовительных работ и необходимостью утверждения проектной документации для строительства флотационной обогатительной фабрики по глубокой переработке никелевой руды.</w:t>
      </w:r>
    </w:p>
    <w:p w14:paraId="76000000">
      <w:pPr>
        <w:pStyle w:val="Style_2"/>
        <w:spacing w:line="240" w:lineRule="auto"/>
        <w:ind w:firstLine="709" w:left="0" w:right="0"/>
        <w:jc w:val="both"/>
        <w:rPr>
          <w:rFonts w:ascii="Times New Roman" w:hAnsi="Times New Roman"/>
        </w:rPr>
      </w:pPr>
      <w:r>
        <w:rPr>
          <w:color w:val="000000"/>
          <w:sz w:val="24"/>
        </w:rPr>
        <w:t>В 2023 году на территории Камчатского края осуществлялась добыча золота коренного, россыпного и попутного серебра предприятиями: АО «Камчатское золото» (на месторождении Бараньевское), АО «Аметистовое» (на Аметистовом месторождении), АО «ТСГ «Асача» (на Асачинском месторождении), АО «СиГМА» (на Озерновском месторождении). Добыча россыпного золота велась в бассейне ручья Каменистый (ООО «Камчатнедра») и на россыпи р. Камешковая (ООО «Дальнедра»). За 2023 год объем добычи золота составил 9,6 тонн, серебра – 17,8 тонн, что составило 140,5% и 98% соответственно по отношению к объемам добычи за 2022 год.</w:t>
      </w:r>
    </w:p>
    <w:p w14:paraId="77000000">
      <w:pPr>
        <w:pStyle w:val="Style_2"/>
        <w:widowControl w:val="0"/>
        <w:spacing w:after="0" w:before="0" w:line="240" w:lineRule="auto"/>
        <w:ind w:firstLine="709" w:left="0" w:right="0"/>
        <w:contextualSpacing w:val="1"/>
        <w:jc w:val="both"/>
        <w:rPr>
          <w:rFonts w:ascii="Times New Roman" w:hAnsi="Times New Roman"/>
        </w:rPr>
      </w:pPr>
      <w:r>
        <w:rPr>
          <w:color w:val="000000"/>
          <w:sz w:val="24"/>
        </w:rPr>
        <w:t xml:space="preserve">Добыча ископаемого топлива (природного газа и бурого угля) составляет 2,9% в структуре добывающей промышленности. В крае разрабатывается одно месторождение бурого угля – Паланское (недропользователь ООО «Палана-Уголь»). Ежегодный объем добычи бурого угля составляет порядка 20 тыс. т, что составляет не более 8% от годовой потребности Камчатского края в твердом топливе. За 2023 год добыто 19,24 тыс. тонн бурого угля, что соответствует уровню добычи прошлого года. В силу географических и экономических особенностей Камчатского края, а также отсутствия транспортной инфраструктуры предприятие ограничено рынком сбыта продукции и ведет поставку угля в близлежащий населенный пункт (п.г.т. Палана) на основании муниципальных контрактов. Индекс производства угля в 2023 году составил 90,1%. </w:t>
      </w:r>
    </w:p>
    <w:p w14:paraId="78000000">
      <w:pPr>
        <w:pStyle w:val="Style_2"/>
        <w:widowControl w:val="0"/>
        <w:spacing w:line="240" w:lineRule="auto"/>
        <w:ind w:firstLine="709" w:left="0" w:right="0"/>
        <w:jc w:val="both"/>
        <w:rPr>
          <w:rFonts w:ascii="Times New Roman" w:hAnsi="Times New Roman"/>
        </w:rPr>
      </w:pPr>
      <w:r>
        <w:rPr>
          <w:color w:val="000000"/>
          <w:sz w:val="24"/>
        </w:rPr>
        <w:t>Добыча природного газа осуществляется на Кшукском и Нижне-Квакчикском газоконденсатных месторождениях (владелец лицензий ООО «Газпром добыча Ноябрьск»). Газовый конденсат, является побочным продуктом добычи природного газа, накапливается в наземные ёмкости и реализуется мелкими партиями. За 2023 год предприятием добыто 196,5 млн м</w:t>
      </w:r>
      <w:r>
        <w:rPr>
          <w:color w:val="000000"/>
          <w:sz w:val="24"/>
          <w:vertAlign w:val="superscript"/>
        </w:rPr>
        <w:t>3</w:t>
      </w:r>
      <w:r>
        <w:rPr>
          <w:color w:val="000000"/>
          <w:sz w:val="24"/>
        </w:rPr>
        <w:t xml:space="preserve"> газа и 7,4 тыс. тонн газового конденсата, что составило 79,8% и 92,5% соответственно от уровня добычи за 2022 год. Снижение добычи связано с естественным падением пластового давления в газотранспортной сети и переходом в стадию падающей добычи.</w:t>
      </w:r>
      <w:r>
        <w:rPr>
          <w:color w:val="632523"/>
          <w:sz w:val="24"/>
        </w:rPr>
        <w:t xml:space="preserve"> </w:t>
      </w:r>
    </w:p>
    <w:p w14:paraId="79000000">
      <w:pPr>
        <w:pStyle w:val="Style_2"/>
        <w:widowControl w:val="0"/>
        <w:spacing w:line="240" w:lineRule="auto"/>
        <w:ind w:firstLine="709" w:left="0" w:right="0"/>
        <w:jc w:val="both"/>
        <w:rPr>
          <w:rFonts w:ascii="Times New Roman" w:hAnsi="Times New Roman"/>
        </w:rPr>
      </w:pPr>
      <w:r>
        <w:rPr>
          <w:color w:val="000000"/>
          <w:sz w:val="24"/>
        </w:rPr>
        <w:t>Добыча прочих полезных ископаемых занимает 2,8% в структуре добывающей промышленности. В 2023 году добычу общераспространенных полезных ископаемых (далее – ОПИ), таких как камень строительный, песчано-гравийная смесь, песок строительный, осуществляли 16 предприятий. Всего, по данным недропользователей, добыто 1,9 млн м</w:t>
      </w:r>
      <w:r>
        <w:rPr>
          <w:color w:val="000000"/>
          <w:sz w:val="24"/>
          <w:vertAlign w:val="superscript"/>
        </w:rPr>
        <w:t>3</w:t>
      </w:r>
      <w:r>
        <w:rPr>
          <w:color w:val="000000"/>
          <w:sz w:val="24"/>
        </w:rPr>
        <w:t xml:space="preserve"> ОПИ. Индекс производства добычи прочих полезных ископаемых в 2023 году составил 109,0%, рост объемов добычи связан с потребительским спросом на нерудные строительные материалы, используемые при строительстве.</w:t>
      </w:r>
    </w:p>
    <w:p w14:paraId="7A000000">
      <w:pPr>
        <w:pStyle w:val="Style_2"/>
        <w:widowControl w:val="0"/>
        <w:tabs>
          <w:tab w:leader="none" w:pos="708" w:val="clear"/>
          <w:tab w:leader="none" w:pos="1134" w:val="left"/>
        </w:tabs>
        <w:spacing w:line="240" w:lineRule="auto"/>
        <w:ind w:firstLine="709" w:left="0" w:right="0"/>
        <w:jc w:val="both"/>
        <w:rPr>
          <w:rFonts w:ascii="Times New Roman" w:hAnsi="Times New Roman"/>
        </w:rPr>
      </w:pPr>
      <w:r>
        <w:rPr>
          <w:color w:val="000000"/>
          <w:sz w:val="24"/>
        </w:rPr>
        <w:t>Основными поставщиками нерудных строительных материалов в пределах Авачинской (Петропавловск-Елизовской) агломерации являются АО «Камчатскстройматериалы», ООО «Базальт», ОАО «Елкар», ООО «КСМ», добывающие строительный камень. Песчано-гравийную смесь производят ОАО «Екар», ООО «Тимбер», ООО «Устой-М». Основными поставщиками песка строительного являются АО «КСМ» и МУП Спецдорремстрой».</w:t>
      </w:r>
    </w:p>
    <w:p w14:paraId="7B000000">
      <w:pPr>
        <w:pStyle w:val="Style_2"/>
        <w:widowControl w:val="0"/>
        <w:spacing w:line="240" w:lineRule="auto"/>
        <w:ind w:firstLine="709" w:left="0" w:right="0"/>
        <w:jc w:val="both"/>
        <w:rPr>
          <w:rFonts w:ascii="Times New Roman" w:hAnsi="Times New Roman"/>
        </w:rPr>
      </w:pPr>
      <w:r>
        <w:rPr>
          <w:color w:val="000000"/>
          <w:sz w:val="24"/>
        </w:rPr>
        <w:t xml:space="preserve">По состоянию на 1 января 2024 года на учете в составе Статрегистра находилось 51 предприятие, занимающееся добычей полезных ископаемых (включая ИП). </w:t>
      </w:r>
    </w:p>
    <w:p w14:paraId="7C000000">
      <w:pPr>
        <w:pStyle w:val="Style_2"/>
        <w:widowControl w:val="0"/>
        <w:spacing w:line="240" w:lineRule="auto"/>
        <w:ind w:firstLine="709" w:left="0" w:right="0"/>
        <w:jc w:val="both"/>
        <w:rPr>
          <w:rFonts w:ascii="Times New Roman" w:hAnsi="Times New Roman"/>
        </w:rPr>
      </w:pPr>
      <w:r>
        <w:rPr>
          <w:color w:val="000000"/>
          <w:sz w:val="24"/>
        </w:rPr>
        <w:t>Среднесписочная численность работников организаций по добыче полезных ископаемых составила 3 142 человека (90,3% к уровню 2022 года). Среднемесячная номинальная начисленная заработная плата составила 162,0 тыс. руб. (119,5% к уровню 2022 года).</w:t>
      </w:r>
    </w:p>
    <w:p w14:paraId="7D000000">
      <w:pPr>
        <w:pStyle w:val="Style_2"/>
        <w:widowControl w:val="0"/>
        <w:spacing w:line="240" w:lineRule="auto"/>
        <w:ind w:firstLine="709" w:left="0" w:right="0"/>
        <w:jc w:val="both"/>
        <w:rPr>
          <w:rFonts w:ascii="Times New Roman" w:hAnsi="Times New Roman"/>
        </w:rPr>
      </w:pPr>
      <w:r>
        <w:rPr>
          <w:color w:val="000000"/>
          <w:sz w:val="24"/>
        </w:rPr>
        <w:t xml:space="preserve">Объем отгруженных товаров собственного производства, выполненных работ и услуг собственными силами по виду деятельности «Добыча полезных ископаемых» по оценке в 2024 году сложится в размере 54 310,2 млн руб. (113,9% к уровню 2023 года в действующих ценах). Индекс производства оценивается на уровне 101,5%, что обусловлено невысокими темпами роста добычи драгоценных металлов (+2,0% к высокому уровню 2023 года — 138,1%), снижением уровня добычи природного газа и прочих полезных ископаемых к уровню 2023 года. Кроме того, в 2024 году не планируется добыча </w:t>
      </w:r>
      <w:r>
        <w:rPr>
          <w:color w:val="000000"/>
          <w:spacing w:val="-2"/>
          <w:sz w:val="24"/>
        </w:rPr>
        <w:t xml:space="preserve">платиноидов АО «Корякгеолдобыча» в связи </w:t>
      </w:r>
      <w:r>
        <w:rPr>
          <w:color w:val="000000"/>
          <w:sz w:val="24"/>
        </w:rPr>
        <w:t>с внедрением новых технологических решений по освоению запасов месторождений (</w:t>
      </w:r>
      <w:r>
        <w:rPr>
          <w:color w:val="000000"/>
          <w:spacing w:val="-2"/>
          <w:sz w:val="24"/>
        </w:rPr>
        <w:t>месторождения р. Левтыринваям и руч. Ледяной находятся на консервации до 2025 года)</w:t>
      </w:r>
      <w:r>
        <w:rPr>
          <w:color w:val="000000"/>
          <w:sz w:val="24"/>
        </w:rPr>
        <w:t xml:space="preserve">, медно-никелевой руды АО НПК «Геотехнология» на Шанучском месторождении (до запуска флотационной фабрики, запланированного на конец 2025 года). </w:t>
      </w:r>
    </w:p>
    <w:p w14:paraId="7E000000">
      <w:pPr>
        <w:pStyle w:val="Style_2"/>
        <w:widowControl w:val="0"/>
        <w:spacing w:line="240" w:lineRule="auto"/>
        <w:ind w:firstLine="709" w:left="0" w:right="0"/>
        <w:jc w:val="both"/>
        <w:rPr>
          <w:rFonts w:ascii="Times New Roman" w:hAnsi="Times New Roman"/>
        </w:rPr>
      </w:pPr>
      <w:r>
        <w:rPr>
          <w:color w:val="000000"/>
          <w:sz w:val="24"/>
        </w:rPr>
        <w:t xml:space="preserve">По виду экономической деятельности «Добыча полезных ископаемых» запланировано дальнейшее развитие производства. По второму (базовому) варианту прогноза объем отгруженных товаров собственного производства, выполненных работ и услуг собственными силами, оценивается в 2025 году в размере 56 568,7 млн руб, в 2026 году </w:t>
      </w:r>
      <w:r>
        <w:rPr>
          <w:color w:val="000000"/>
          <w:sz w:val="24"/>
        </w:rPr>
        <w:t>–</w:t>
      </w:r>
      <w:r>
        <w:rPr>
          <w:color w:val="000000"/>
          <w:sz w:val="24"/>
        </w:rPr>
        <w:t xml:space="preserve"> 67 115,9 млн руб., в 2027 году – 74 121,5 млн руб. Индекс производства в 2025 году составит – 100,6%, в 2026 году – 114,8%, в 2027 году – 106,6%.</w:t>
      </w:r>
    </w:p>
    <w:p w14:paraId="7F000000">
      <w:pPr>
        <w:pStyle w:val="Style_2"/>
        <w:widowControl w:val="0"/>
        <w:tabs>
          <w:tab w:leader="none" w:pos="708" w:val="clear"/>
          <w:tab w:leader="none" w:pos="1134" w:val="left"/>
        </w:tabs>
        <w:spacing w:after="0" w:before="0" w:line="240" w:lineRule="auto"/>
        <w:ind w:firstLine="709" w:left="0" w:right="0"/>
        <w:contextualSpacing w:val="1"/>
        <w:jc w:val="both"/>
        <w:rPr>
          <w:rFonts w:ascii="Times New Roman" w:hAnsi="Times New Roman"/>
        </w:rPr>
      </w:pPr>
      <w:r>
        <w:rPr>
          <w:color w:val="000000"/>
          <w:sz w:val="24"/>
        </w:rPr>
        <w:t xml:space="preserve">Прирост добычи металлических руд в прогнозируемом периоде будет обеспечен: </w:t>
      </w:r>
    </w:p>
    <w:p w14:paraId="80000000">
      <w:pPr>
        <w:pStyle w:val="Style_2"/>
        <w:widowControl w:val="0"/>
        <w:numPr>
          <w:ilvl w:val="0"/>
          <w:numId w:val="1"/>
        </w:numPr>
        <w:tabs>
          <w:tab w:leader="none" w:pos="708" w:val="clear"/>
          <w:tab w:leader="none" w:pos="1134" w:val="left"/>
        </w:tabs>
        <w:spacing w:after="0" w:before="0" w:line="240" w:lineRule="auto"/>
        <w:ind w:firstLine="851" w:left="0" w:right="0"/>
        <w:contextualSpacing w:val="1"/>
        <w:jc w:val="both"/>
        <w:rPr>
          <w:rFonts w:ascii="Times New Roman" w:hAnsi="Times New Roman"/>
        </w:rPr>
      </w:pPr>
      <w:r>
        <w:rPr>
          <w:color w:val="000000"/>
          <w:sz w:val="24"/>
        </w:rPr>
        <w:t>техническим перевооружением Агинской золотоизвлекательной фабрики АО Камголд» для обеспечения возможности переработки руд месторождения Бараньевское, а также промышленных испытаний руд с прочих месторождений</w:t>
      </w:r>
      <w:r>
        <w:rPr>
          <w:color w:val="000000"/>
          <w:sz w:val="24"/>
        </w:rPr>
        <w:t xml:space="preserve"> (2024 год);</w:t>
      </w:r>
    </w:p>
    <w:p w14:paraId="81000000">
      <w:pPr>
        <w:pStyle w:val="Style_2"/>
        <w:widowControl w:val="0"/>
        <w:numPr>
          <w:ilvl w:val="0"/>
          <w:numId w:val="1"/>
        </w:numPr>
        <w:tabs>
          <w:tab w:leader="none" w:pos="708" w:val="clear"/>
          <w:tab w:leader="none" w:pos="1134" w:val="left"/>
        </w:tabs>
        <w:spacing w:after="0" w:before="0" w:line="240" w:lineRule="auto"/>
        <w:ind w:firstLine="851" w:left="0" w:right="0"/>
        <w:contextualSpacing w:val="1"/>
        <w:jc w:val="both"/>
        <w:rPr>
          <w:rFonts w:ascii="Times New Roman" w:hAnsi="Times New Roman"/>
        </w:rPr>
      </w:pPr>
      <w:r>
        <w:rPr>
          <w:color w:val="000000"/>
          <w:sz w:val="24"/>
        </w:rPr>
        <w:t>выходом на промышленную мощность горно-металлургического комбината на Озерновском золоторудном месторождении (АО «СиГМА») производительностью до 610 тыс. тонн руды в год (декабрь 2024 года);</w:t>
      </w:r>
    </w:p>
    <w:p w14:paraId="82000000">
      <w:pPr>
        <w:pStyle w:val="Style_2"/>
        <w:widowControl w:val="0"/>
        <w:numPr>
          <w:ilvl w:val="0"/>
          <w:numId w:val="1"/>
        </w:numPr>
        <w:tabs>
          <w:tab w:leader="none" w:pos="708" w:val="clear"/>
          <w:tab w:leader="none" w:pos="1134" w:val="left"/>
        </w:tabs>
        <w:spacing w:after="0" w:before="0" w:line="240" w:lineRule="auto"/>
        <w:ind w:firstLine="851" w:left="0" w:right="0"/>
        <w:contextualSpacing w:val="1"/>
        <w:jc w:val="both"/>
        <w:rPr>
          <w:rFonts w:ascii="Times New Roman" w:hAnsi="Times New Roman"/>
        </w:rPr>
      </w:pPr>
      <w:r>
        <w:rPr>
          <w:color w:val="000000"/>
          <w:sz w:val="24"/>
        </w:rPr>
        <w:t xml:space="preserve"> </w:t>
      </w:r>
      <w:r>
        <w:rPr>
          <w:color w:val="000000"/>
          <w:sz w:val="24"/>
        </w:rPr>
        <w:t>строительством горно-обогатительного предприятия на месторождении Кумроч (АО «Быстринская горная компания»). Проектная мощность предприятия составит 500 тыс. тонн руды в год, до 4 тонн золота в год. Планируемый срок реализации проекта 2026 год.</w:t>
      </w:r>
    </w:p>
    <w:p w14:paraId="83000000">
      <w:pPr>
        <w:pStyle w:val="Style_2"/>
        <w:widowControl w:val="0"/>
        <w:numPr>
          <w:ilvl w:val="0"/>
          <w:numId w:val="1"/>
        </w:numPr>
        <w:spacing w:line="240" w:lineRule="auto"/>
        <w:ind w:firstLine="709" w:left="0" w:right="0"/>
        <w:jc w:val="both"/>
        <w:rPr>
          <w:rFonts w:ascii="Times New Roman" w:hAnsi="Times New Roman"/>
        </w:rPr>
      </w:pPr>
      <w:r>
        <w:rPr>
          <w:color w:val="000000"/>
          <w:sz w:val="24"/>
        </w:rPr>
        <w:t>строительством флотационной обогатительной фабрики на месторождении Шануч АО НПК «Геотехнология» для более глубокой переработки никелевой руды</w:t>
      </w:r>
      <w:r>
        <w:rPr>
          <w:color w:val="000000"/>
          <w:sz w:val="24"/>
        </w:rPr>
        <w:t xml:space="preserve"> (конец 2025 года).</w:t>
      </w:r>
    </w:p>
    <w:p w14:paraId="84000000">
      <w:pPr>
        <w:pStyle w:val="Style_2"/>
        <w:widowControl w:val="0"/>
        <w:spacing w:after="0" w:before="0" w:line="240" w:lineRule="auto"/>
        <w:ind w:firstLine="709" w:left="0" w:right="0"/>
        <w:jc w:val="both"/>
        <w:rPr>
          <w:rFonts w:ascii="Times New Roman" w:hAnsi="Times New Roman"/>
        </w:rPr>
      </w:pPr>
      <w:r>
        <w:rPr>
          <w:color w:val="000000"/>
          <w:sz w:val="24"/>
        </w:rPr>
        <w:t xml:space="preserve">Кроме того ООО «Камчатская медная компания» планирует завершить разведку перспективных золоторудных объектов в пределах Малетойваямского рудного поля и его флангов (2026 год). </w:t>
      </w:r>
    </w:p>
    <w:p w14:paraId="85000000">
      <w:pPr>
        <w:pStyle w:val="Style_2"/>
        <w:widowControl w:val="0"/>
        <w:spacing w:after="0" w:before="0" w:line="240" w:lineRule="auto"/>
        <w:ind w:firstLine="709" w:left="0" w:right="0"/>
        <w:contextualSpacing w:val="1"/>
        <w:jc w:val="both"/>
        <w:rPr>
          <w:rFonts w:ascii="Times New Roman" w:hAnsi="Times New Roman"/>
        </w:rPr>
      </w:pPr>
      <w:r>
        <w:rPr>
          <w:color w:val="000000"/>
          <w:sz w:val="24"/>
        </w:rPr>
        <w:t>В прогнозном периоде добыча угля сохранится на уровне 2024 года, продолжится снижение добычи природного газа в связи с естественным падением пластового давления в газотранспортной сети.</w:t>
      </w:r>
    </w:p>
    <w:p w14:paraId="86000000">
      <w:pPr>
        <w:pStyle w:val="Style_2"/>
        <w:widowControl w:val="0"/>
        <w:tabs>
          <w:tab w:leader="none" w:pos="0" w:val="left"/>
          <w:tab w:leader="none" w:pos="708" w:val="clear"/>
        </w:tabs>
        <w:spacing w:line="240" w:lineRule="auto"/>
        <w:ind w:firstLine="709" w:left="0" w:right="0"/>
        <w:jc w:val="both"/>
        <w:rPr>
          <w:rFonts w:ascii="Times New Roman" w:hAnsi="Times New Roman"/>
        </w:rPr>
      </w:pPr>
      <w:r>
        <w:rPr>
          <w:color w:val="000000"/>
          <w:sz w:val="24"/>
        </w:rPr>
        <w:t>Перспективное развитие газовой отрасли края за горизонтом прогнозирования связано с открытием новых газоконденсатных месторождений на континентальной части полуострова, особый интерес представляют объекты, расположенные вдоль трассы действующего газопровода, на которых ООО «Газпром добыча Ноябрьск» в рамках 5 полученных лицензий выполняет геологоразведочные работы.</w:t>
      </w:r>
    </w:p>
    <w:p w14:paraId="87000000">
      <w:pPr>
        <w:pStyle w:val="Style_2"/>
        <w:widowControl w:val="0"/>
        <w:tabs>
          <w:tab w:leader="none" w:pos="0" w:val="left"/>
          <w:tab w:leader="none" w:pos="708" w:val="clear"/>
        </w:tabs>
        <w:spacing w:line="240" w:lineRule="auto"/>
        <w:ind w:firstLine="709" w:left="0" w:right="0"/>
        <w:jc w:val="both"/>
        <w:rPr>
          <w:rFonts w:ascii="Times New Roman" w:hAnsi="Times New Roman"/>
        </w:rPr>
      </w:pPr>
      <w:r>
        <w:rPr>
          <w:color w:val="000000"/>
          <w:sz w:val="24"/>
        </w:rPr>
        <w:t>Увеличение добычи прочих полезных ископаемых в прогнозном периоде связано с ростом строительных работ и спроса на нерудные стройматериалы (песок, гравий, строительный камень) используемые при возведении зданий, строительстве автомобильных дорог, благоустройстве территорий.</w:t>
      </w:r>
    </w:p>
    <w:p w14:paraId="88000000">
      <w:pPr>
        <w:pStyle w:val="Style_2"/>
        <w:widowControl w:val="0"/>
        <w:tabs>
          <w:tab w:leader="none" w:pos="708" w:val="clear"/>
          <w:tab w:leader="none" w:pos="1134" w:val="left"/>
        </w:tabs>
        <w:spacing w:line="240" w:lineRule="auto"/>
        <w:ind w:firstLine="709" w:left="0" w:right="0"/>
        <w:jc w:val="both"/>
        <w:rPr>
          <w:rFonts w:ascii="Times New Roman" w:hAnsi="Times New Roman"/>
        </w:rPr>
      </w:pPr>
      <w:r>
        <w:rPr>
          <w:b w:val="1"/>
          <w:i w:val="1"/>
          <w:color w:val="000000"/>
          <w:sz w:val="24"/>
        </w:rPr>
        <w:t>Обрабатывающие производства</w:t>
      </w:r>
    </w:p>
    <w:p w14:paraId="89000000">
      <w:pPr>
        <w:pStyle w:val="Style_2"/>
        <w:widowControl w:val="0"/>
        <w:tabs>
          <w:tab w:leader="none" w:pos="708" w:val="clear"/>
          <w:tab w:leader="none" w:pos="1134" w:val="left"/>
        </w:tabs>
        <w:spacing w:line="240" w:lineRule="auto"/>
        <w:ind w:firstLine="709" w:left="0" w:right="0"/>
        <w:jc w:val="both"/>
        <w:rPr>
          <w:rFonts w:ascii="Times New Roman" w:hAnsi="Times New Roman"/>
        </w:rPr>
      </w:pPr>
      <w:r>
        <w:rPr>
          <w:color w:val="000000"/>
          <w:sz w:val="24"/>
        </w:rPr>
        <w:t>Порядка 70% объема промышленного производства Камчатского края приходится на обрабатывающие производства. Обрабатывающая промышленность на 89,4% сформирована предприятиями по переработке и консервированию рыбы, ракообразных и моллюсков (рыбоперерабатывающая промышленность), что в свою очередь определяет динамику развития отрасли в целом. Сектор производства пищевой продукции, кроме рыбоперерабатывающей промышленности, составляет 4,9% обрабатывающих производств (в основном представлен предприятиями по переработке и консервированию мяса и мясной продукции, молочной продукции, хлебобулочных и кондитерских изделий, готовых кормов для животных), ремонт и монтаж машин и оборудования (судоремонт) занимает 3,0%.</w:t>
      </w:r>
    </w:p>
    <w:p w14:paraId="8A000000">
      <w:pPr>
        <w:pStyle w:val="Style_2"/>
        <w:widowControl w:val="0"/>
        <w:spacing w:line="240" w:lineRule="auto"/>
        <w:ind w:firstLine="709" w:left="0" w:right="0"/>
        <w:jc w:val="both"/>
        <w:rPr>
          <w:rFonts w:ascii="Times New Roman" w:hAnsi="Times New Roman"/>
        </w:rPr>
      </w:pPr>
      <w:r>
        <w:rPr>
          <w:color w:val="000000"/>
          <w:sz w:val="24"/>
        </w:rPr>
        <w:t xml:space="preserve">Крупные предприятия отрасли: </w:t>
      </w:r>
    </w:p>
    <w:p w14:paraId="8B000000">
      <w:pPr>
        <w:pStyle w:val="Style_2"/>
        <w:widowControl w:val="0"/>
        <w:numPr>
          <w:ilvl w:val="0"/>
          <w:numId w:val="2"/>
        </w:numPr>
        <w:tabs>
          <w:tab w:leader="none" w:pos="284" w:val="left"/>
          <w:tab w:leader="none" w:pos="708" w:val="clear"/>
          <w:tab w:leader="none" w:pos="993" w:val="left"/>
        </w:tabs>
        <w:spacing w:after="0" w:before="0" w:line="240" w:lineRule="auto"/>
        <w:ind w:firstLine="709" w:left="0" w:right="0"/>
        <w:contextualSpacing w:val="1"/>
        <w:jc w:val="both"/>
        <w:rPr>
          <w:rFonts w:ascii="Times New Roman" w:hAnsi="Times New Roman"/>
        </w:rPr>
      </w:pPr>
      <w:r>
        <w:rPr>
          <w:color w:val="000000"/>
          <w:sz w:val="24"/>
        </w:rPr>
        <w:t>рыбопромышленные – Рыболовецкий колхоз им. В.И. Ленина, ОА «Озерновский РКЗ № 55», ООО «Тымлатский рыбокомбинат»; АО «Колхоз им. Бекерева», АО «Океанрыбфлот», АО «Акрос», ООО «Витязь-Авто», ООО «Устькамчатрыба», ООО «Поллукс», ОАО «Колхоз Октябрь», рыболовецкая артель «Колхоз Красный труженик», ООО «Росрыбфлот», ООО «Корякморепродукт»;</w:t>
      </w:r>
    </w:p>
    <w:p w14:paraId="8C000000">
      <w:pPr>
        <w:pStyle w:val="Style_2"/>
        <w:widowControl w:val="0"/>
        <w:numPr>
          <w:ilvl w:val="0"/>
          <w:numId w:val="2"/>
        </w:numPr>
        <w:tabs>
          <w:tab w:leader="none" w:pos="284" w:val="left"/>
          <w:tab w:leader="none" w:pos="708" w:val="clear"/>
          <w:tab w:leader="none" w:pos="993" w:val="left"/>
        </w:tabs>
        <w:spacing w:after="0" w:before="0" w:line="240" w:lineRule="auto"/>
        <w:ind w:firstLine="709" w:left="0" w:right="0"/>
        <w:contextualSpacing w:val="1"/>
        <w:jc w:val="both"/>
        <w:rPr>
          <w:rFonts w:ascii="Times New Roman" w:hAnsi="Times New Roman"/>
        </w:rPr>
      </w:pPr>
      <w:r>
        <w:rPr>
          <w:color w:val="000000"/>
          <w:sz w:val="24"/>
        </w:rPr>
        <w:t xml:space="preserve">пищевая промышленность – АО «Молокозавод Петропавловский», ООО «Мильковское», АО «Заречное» – молочные продукты; ЗАО «Мясокомбинат Елизовский», ООО «Агротек» – мясная продукция; АО «Камчатское пиво», ООО «Камчатский пивоваренный завод», ЗАО «Малкинское» (пиво, безалкогольные напитки, минеральные воды); </w:t>
      </w:r>
    </w:p>
    <w:p w14:paraId="8D000000">
      <w:pPr>
        <w:pStyle w:val="Style_2"/>
        <w:widowControl w:val="0"/>
        <w:numPr>
          <w:ilvl w:val="0"/>
          <w:numId w:val="2"/>
        </w:numPr>
        <w:tabs>
          <w:tab w:leader="none" w:pos="284" w:val="left"/>
          <w:tab w:leader="none" w:pos="708" w:val="clear"/>
          <w:tab w:leader="none" w:pos="993" w:val="left"/>
        </w:tabs>
        <w:spacing w:after="0" w:before="0" w:line="240" w:lineRule="auto"/>
        <w:ind w:firstLine="709" w:left="0" w:right="0"/>
        <w:contextualSpacing w:val="1"/>
        <w:jc w:val="both"/>
        <w:rPr>
          <w:rFonts w:ascii="Times New Roman" w:hAnsi="Times New Roman"/>
        </w:rPr>
      </w:pPr>
      <w:r>
        <w:rPr>
          <w:color w:val="000000"/>
          <w:sz w:val="24"/>
        </w:rPr>
        <w:t>судоремонтные предприятия – АО «СРВЦ», ООО «Рем-Нова ДВ»;</w:t>
      </w:r>
    </w:p>
    <w:p w14:paraId="8E000000">
      <w:pPr>
        <w:pStyle w:val="Style_2"/>
        <w:widowControl w:val="0"/>
        <w:numPr>
          <w:ilvl w:val="0"/>
          <w:numId w:val="2"/>
        </w:numPr>
        <w:tabs>
          <w:tab w:leader="none" w:pos="284" w:val="left"/>
          <w:tab w:leader="none" w:pos="708" w:val="clear"/>
          <w:tab w:leader="none" w:pos="993" w:val="left"/>
        </w:tabs>
        <w:spacing w:after="0" w:before="0" w:line="240" w:lineRule="auto"/>
        <w:ind w:firstLine="709" w:left="0" w:right="0"/>
        <w:contextualSpacing w:val="1"/>
        <w:jc w:val="both"/>
        <w:rPr>
          <w:rFonts w:ascii="Times New Roman" w:hAnsi="Times New Roman"/>
        </w:rPr>
      </w:pPr>
      <w:r>
        <w:rPr>
          <w:color w:val="000000"/>
          <w:sz w:val="24"/>
        </w:rPr>
        <w:t>прочие перерабатывающие предприятия – АО «Камчатская мельница» (производство комбикормов).</w:t>
      </w:r>
    </w:p>
    <w:p w14:paraId="8F000000">
      <w:pPr>
        <w:pStyle w:val="Style_2"/>
        <w:widowControl w:val="0"/>
        <w:spacing w:line="240" w:lineRule="auto"/>
        <w:ind w:firstLine="709" w:left="0" w:right="0"/>
        <w:jc w:val="both"/>
        <w:rPr>
          <w:rFonts w:ascii="Times New Roman" w:hAnsi="Times New Roman"/>
        </w:rPr>
      </w:pPr>
      <w:r>
        <w:rPr>
          <w:color w:val="000000"/>
          <w:sz w:val="24"/>
        </w:rPr>
        <w:t>Переработка и консервирование рыбы, ракообразных и моллюсков занимает 94,8% общего объема производства пищевой промышленности Камчатского края.</w:t>
      </w:r>
    </w:p>
    <w:p w14:paraId="90000000">
      <w:pPr>
        <w:pStyle w:val="Style_2"/>
        <w:widowControl w:val="0"/>
        <w:spacing w:line="240" w:lineRule="auto"/>
        <w:ind w:firstLine="709" w:left="0" w:right="0"/>
        <w:jc w:val="both"/>
        <w:rPr>
          <w:rFonts w:ascii="Times New Roman" w:hAnsi="Times New Roman"/>
        </w:rPr>
      </w:pPr>
      <w:r>
        <w:rPr>
          <w:color w:val="000000"/>
          <w:sz w:val="24"/>
        </w:rPr>
        <w:t xml:space="preserve">Рыбодобывающими и рыбоперерабатывающими предприятиями края в 2023 году произведено 1 313,8 тыс. тонн рыбы переработанной и консервированной, ракообразных и моллюсков или 132,9% в сравнении с 2022 годом. Общий вылов водных биологических ресурсов в 2022 году составил 1,8 млн тонн или 130,9% к уровню 2022 года. Увеличен вылов тихоокеанских лососей в 3,6 раза, сардины иваси в 4,2 раза, крабов на 18,9%, наваги на 7,4%, кальмара на 14,2%. </w:t>
      </w:r>
    </w:p>
    <w:p w14:paraId="91000000">
      <w:pPr>
        <w:pStyle w:val="Style_2"/>
        <w:widowControl w:val="0"/>
        <w:spacing w:line="240" w:lineRule="auto"/>
        <w:ind w:firstLine="709" w:left="0" w:right="0"/>
        <w:jc w:val="both"/>
        <w:rPr>
          <w:rFonts w:ascii="Times New Roman" w:hAnsi="Times New Roman"/>
        </w:rPr>
      </w:pPr>
      <w:r>
        <w:rPr>
          <w:color w:val="000000"/>
          <w:sz w:val="24"/>
        </w:rPr>
        <w:t xml:space="preserve">Увеличено производство рыбы мороженой (142,3%), икры (160,8%), ракообразных мороженых (128,0%), печени и молок рыбных мороженых (127,3%), продуктов из рыбы, ракообразных, моллюсков и других водных беспозвоночных, не пригодных для употребления в пищу (120,2%) и муки тонкого и грубого помола и гранул из них (105,5%), моллюсков мороженых, сушеных, соленых, копченых (131,9%). Снижен выпуск продукции по следующим ассортиментным группам: филе рыбное мороженое (70,1 %), мясо рыбы (включая фарш) мороженое (44,2%), пресервы (83,0%), консервы (72,5%). </w:t>
      </w:r>
    </w:p>
    <w:p w14:paraId="92000000">
      <w:pPr>
        <w:pStyle w:val="Style_2"/>
        <w:widowControl w:val="0"/>
        <w:spacing w:line="240" w:lineRule="auto"/>
        <w:ind w:firstLine="709" w:left="0" w:right="0"/>
        <w:jc w:val="both"/>
        <w:rPr>
          <w:rFonts w:ascii="Times New Roman" w:hAnsi="Times New Roman"/>
        </w:rPr>
      </w:pPr>
      <w:r>
        <w:rPr>
          <w:color w:val="000000"/>
          <w:sz w:val="24"/>
        </w:rPr>
        <w:t xml:space="preserve">В 2023 году завершено строительство малотоннажного рыболовного сейнера «Апача». Судно предназначено для вылова и транспортировки сырца в грузовом трюме наливом на береговую фабрику для дальнейшей переработки. </w:t>
      </w:r>
    </w:p>
    <w:p w14:paraId="93000000">
      <w:pPr>
        <w:pStyle w:val="Style_2"/>
        <w:widowControl w:val="0"/>
        <w:spacing w:line="240" w:lineRule="auto"/>
        <w:ind w:firstLine="709" w:left="0" w:right="0"/>
        <w:jc w:val="both"/>
        <w:rPr>
          <w:rFonts w:ascii="Times New Roman" w:hAnsi="Times New Roman"/>
        </w:rPr>
      </w:pPr>
      <w:r>
        <w:rPr>
          <w:color w:val="000000"/>
          <w:sz w:val="24"/>
        </w:rPr>
        <w:t>В рыбохозяйственный комплекс в 2023 году было вложено 17,7 млрд руб. инвестиций. Холодильные мощности увеличены на 14 тыс. тонн единовременного хранения, мощность рыбообрабатывающих предприятий увеличена на 47,7 тыс. тонн.</w:t>
      </w:r>
    </w:p>
    <w:p w14:paraId="94000000">
      <w:pPr>
        <w:pStyle w:val="Style_2"/>
        <w:widowControl w:val="0"/>
        <w:spacing w:line="240" w:lineRule="auto"/>
        <w:ind w:firstLine="709" w:left="0" w:right="0"/>
        <w:jc w:val="both"/>
        <w:rPr>
          <w:rFonts w:ascii="Times New Roman" w:hAnsi="Times New Roman"/>
        </w:rPr>
      </w:pPr>
      <w:r>
        <w:rPr>
          <w:color w:val="000000"/>
          <w:sz w:val="24"/>
        </w:rPr>
        <w:t>По состоянию на 1 января 2024 года на учете в составе Статрегистра находятся 429 предприятий обрабатывающих производств.</w:t>
      </w:r>
    </w:p>
    <w:p w14:paraId="95000000">
      <w:pPr>
        <w:pStyle w:val="Style_2"/>
        <w:widowControl w:val="0"/>
        <w:spacing w:line="240" w:lineRule="auto"/>
        <w:ind w:firstLine="709" w:left="0" w:right="0"/>
        <w:jc w:val="both"/>
        <w:rPr>
          <w:rFonts w:ascii="Times New Roman" w:hAnsi="Times New Roman"/>
        </w:rPr>
      </w:pPr>
      <w:r>
        <w:rPr>
          <w:color w:val="000000"/>
          <w:sz w:val="24"/>
        </w:rPr>
        <w:t>Среднесписочная численность работников организаций обрабатывающих производств в 2023 году составила 9 166 человек (96,6% к уровню 2022 года). Среднемесячная номинальная начисленная заработная плата в 2023 году составила 161,4 тыс. руб. (118,2% к уровню 2022 года).</w:t>
      </w:r>
    </w:p>
    <w:p w14:paraId="96000000">
      <w:pPr>
        <w:pStyle w:val="Style_2"/>
        <w:widowControl w:val="0"/>
        <w:spacing w:line="240" w:lineRule="auto"/>
        <w:ind w:firstLine="709" w:left="0" w:right="0"/>
        <w:jc w:val="both"/>
        <w:rPr>
          <w:rFonts w:ascii="Times New Roman" w:hAnsi="Times New Roman"/>
        </w:rPr>
      </w:pPr>
      <w:r>
        <w:rPr>
          <w:color w:val="000000"/>
          <w:sz w:val="24"/>
        </w:rPr>
        <w:t xml:space="preserve">В обрабатывающих производствах объем отгруженных товаров собственного производства в 2024 году оценивается в размере 171 046,8 млн руб. Индекс производства составит 91,9%. Объем отгруженной продукции по производству пищевых продуктов по оценке в 2024 году сложится в объеме 159 778,0 млн руб., индекс производства продукции оценивается в 91,2%, снижение обусловлено прогнозируемым сокращением объема вылова лосося (167 тыс. тонн против 491 тыс. тонн в 2023 году). </w:t>
      </w:r>
    </w:p>
    <w:p w14:paraId="97000000">
      <w:pPr>
        <w:pStyle w:val="Style_2"/>
        <w:widowControl w:val="0"/>
        <w:spacing w:line="240" w:lineRule="auto"/>
        <w:ind w:firstLine="709" w:left="0" w:right="0"/>
        <w:jc w:val="both"/>
        <w:rPr>
          <w:rFonts w:ascii="Times New Roman" w:hAnsi="Times New Roman"/>
        </w:rPr>
      </w:pPr>
      <w:r>
        <w:rPr>
          <w:color w:val="000000"/>
          <w:sz w:val="24"/>
        </w:rPr>
        <w:t>По второму (базовому) варианту прогноза объем отгруженных товаров собственного производства обрабатывающих производств оценивается в 2025 году в размере 184 728,4 млн руб., в 2026 году – 197 797,7 млн руб., в 2027 году – 213 123,0 млн руб. Индекс производства прогнозируется на уровне 104,7% – в 2025 году, 103,9% – в 2026 году, 104,6% – в 2027 году.</w:t>
      </w:r>
    </w:p>
    <w:p w14:paraId="98000000">
      <w:pPr>
        <w:pStyle w:val="Style_2"/>
        <w:widowControl w:val="0"/>
        <w:tabs>
          <w:tab w:leader="none" w:pos="708" w:val="clear"/>
          <w:tab w:leader="none" w:pos="993" w:val="left"/>
        </w:tabs>
        <w:spacing w:line="240" w:lineRule="auto"/>
        <w:ind w:firstLine="709" w:left="0" w:right="0"/>
        <w:jc w:val="both"/>
        <w:rPr>
          <w:rFonts w:ascii="Times New Roman" w:hAnsi="Times New Roman"/>
        </w:rPr>
      </w:pPr>
      <w:r>
        <w:rPr>
          <w:color w:val="000000"/>
          <w:sz w:val="24"/>
        </w:rPr>
        <w:t>Рост обрабатывающих производств в прогнозном периоде будет обеспечен увеличением производства пищевой промышленности за счет реализации следующих инвестиционных проектов:</w:t>
      </w:r>
    </w:p>
    <w:p w14:paraId="99000000">
      <w:pPr>
        <w:pStyle w:val="Style_2"/>
        <w:numPr>
          <w:ilvl w:val="0"/>
          <w:numId w:val="3"/>
        </w:numPr>
        <w:tabs>
          <w:tab w:leader="none" w:pos="708" w:val="clear"/>
          <w:tab w:leader="none" w:pos="1020" w:val="left"/>
        </w:tabs>
        <w:spacing w:line="240" w:lineRule="auto"/>
        <w:ind w:firstLine="708" w:left="0" w:right="0"/>
        <w:jc w:val="both"/>
        <w:rPr>
          <w:rFonts w:ascii="Times New Roman" w:hAnsi="Times New Roman"/>
        </w:rPr>
      </w:pPr>
      <w:r>
        <w:rPr>
          <w:color w:val="000000"/>
          <w:sz w:val="24"/>
        </w:rPr>
        <w:t>строительство рыбообрабатывающего завода производительностью 15 тонн готовой продукции в сутки на территории Елизовского района Камчатского края ООО «РПЗ «Сокра» (2024 год);</w:t>
      </w:r>
    </w:p>
    <w:p w14:paraId="9A000000">
      <w:pPr>
        <w:pStyle w:val="Style_2"/>
        <w:numPr>
          <w:ilvl w:val="0"/>
          <w:numId w:val="3"/>
        </w:numPr>
        <w:spacing w:after="0" w:before="0" w:line="240" w:lineRule="auto"/>
        <w:ind w:firstLine="709" w:left="0" w:right="0"/>
        <w:jc w:val="both"/>
        <w:rPr>
          <w:rFonts w:ascii="Times New Roman" w:hAnsi="Times New Roman"/>
        </w:rPr>
      </w:pPr>
      <w:r>
        <w:rPr>
          <w:sz w:val="24"/>
        </w:rPr>
        <w:t>строительство рыбоперерабатывающего комплекса на территории на р. Коль Соболевского района Камчатского края, ООО «Коль» (2024 год);</w:t>
      </w:r>
    </w:p>
    <w:p w14:paraId="9B000000">
      <w:pPr>
        <w:pStyle w:val="Style_2"/>
        <w:widowControl w:val="0"/>
        <w:numPr>
          <w:ilvl w:val="0"/>
          <w:numId w:val="3"/>
        </w:numPr>
        <w:tabs>
          <w:tab w:leader="none" w:pos="0" w:val="left"/>
          <w:tab w:leader="none" w:pos="708" w:val="clear"/>
          <w:tab w:leader="none" w:pos="993" w:val="left"/>
        </w:tabs>
        <w:spacing w:line="240" w:lineRule="auto"/>
        <w:ind w:firstLine="709" w:left="0" w:right="0"/>
        <w:jc w:val="both"/>
        <w:rPr>
          <w:rFonts w:ascii="Times New Roman" w:hAnsi="Times New Roman"/>
        </w:rPr>
      </w:pPr>
      <w:r>
        <w:rPr>
          <w:color w:val="000000"/>
          <w:sz w:val="24"/>
        </w:rPr>
        <w:t xml:space="preserve">строительство фабрики береговой обработки рыбы (инициатор: ООО «Колхоз Ударник»). Увеличение производственных мощностей на 50 тонн/сутки (2025 год); </w:t>
      </w:r>
    </w:p>
    <w:p w14:paraId="9C000000">
      <w:pPr>
        <w:pStyle w:val="Style_2"/>
        <w:widowControl w:val="0"/>
        <w:numPr>
          <w:ilvl w:val="0"/>
          <w:numId w:val="3"/>
        </w:numPr>
        <w:tabs>
          <w:tab w:leader="none" w:pos="0" w:val="left"/>
          <w:tab w:leader="none" w:pos="708" w:val="clear"/>
          <w:tab w:leader="none" w:pos="993" w:val="left"/>
        </w:tabs>
        <w:spacing w:line="240" w:lineRule="auto"/>
        <w:ind w:firstLine="709" w:left="0" w:right="0"/>
        <w:jc w:val="both"/>
        <w:rPr>
          <w:rFonts w:ascii="Times New Roman" w:hAnsi="Times New Roman"/>
        </w:rPr>
      </w:pPr>
      <w:r>
        <w:rPr>
          <w:color w:val="000000"/>
          <w:sz w:val="24"/>
        </w:rPr>
        <w:t>реализация проекта по созданию комплекса по глубокой переработке рыбной продукции ООО «Город 415» мощностью 10 150 тонн в год, предполагает увеличение производственных мощностей до 100 тонн/сутки (2026 год);</w:t>
      </w:r>
    </w:p>
    <w:p w14:paraId="9D000000">
      <w:pPr>
        <w:pStyle w:val="Style_2"/>
        <w:numPr>
          <w:ilvl w:val="0"/>
          <w:numId w:val="3"/>
        </w:numPr>
        <w:spacing w:after="0" w:before="0" w:line="240" w:lineRule="auto"/>
        <w:ind w:firstLine="709" w:left="0" w:right="0"/>
        <w:jc w:val="both"/>
        <w:rPr>
          <w:rFonts w:ascii="Times New Roman" w:hAnsi="Times New Roman"/>
        </w:rPr>
      </w:pPr>
      <w:r>
        <w:rPr>
          <w:sz w:val="24"/>
        </w:rPr>
        <w:t>модернизация рыбоперерабатывающего завода для увеличения мощности производства на 120 тонн в сутки и расширение парка спецтехники, ООО</w:t>
      </w:r>
      <w:r>
        <w:rPr>
          <w:spacing w:val="0"/>
          <w:sz w:val="24"/>
        </w:rPr>
        <w:t> </w:t>
      </w:r>
      <w:r>
        <w:rPr>
          <w:sz w:val="24"/>
        </w:rPr>
        <w:t>«Корякморепродукт» (2026 год);</w:t>
      </w:r>
    </w:p>
    <w:p w14:paraId="9E000000">
      <w:pPr>
        <w:pStyle w:val="Style_2"/>
        <w:widowControl w:val="0"/>
        <w:numPr>
          <w:ilvl w:val="0"/>
          <w:numId w:val="3"/>
        </w:numPr>
        <w:tabs>
          <w:tab w:leader="none" w:pos="708" w:val="clear"/>
          <w:tab w:leader="none" w:pos="993" w:val="left"/>
        </w:tabs>
        <w:spacing w:line="240" w:lineRule="auto"/>
        <w:ind w:firstLine="709" w:left="0" w:right="0"/>
        <w:jc w:val="both"/>
        <w:rPr>
          <w:rFonts w:ascii="Times New Roman" w:hAnsi="Times New Roman"/>
        </w:rPr>
      </w:pPr>
      <w:r>
        <w:rPr>
          <w:color w:val="000000"/>
          <w:sz w:val="24"/>
        </w:rPr>
        <w:t>строительство 20 судов рыбопромыслового флота, включая 5 крупнотоннажных, 10 среднетоннажных, 5 малотоннажных судов.</w:t>
      </w:r>
    </w:p>
    <w:p w14:paraId="9F000000">
      <w:pPr>
        <w:pStyle w:val="Style_2"/>
        <w:widowControl w:val="0"/>
        <w:tabs>
          <w:tab w:leader="none" w:pos="708" w:val="clear"/>
          <w:tab w:leader="none" w:pos="993" w:val="left"/>
        </w:tabs>
        <w:spacing w:after="200" w:before="0" w:line="240" w:lineRule="auto"/>
        <w:ind w:firstLine="709" w:left="0" w:right="0"/>
        <w:contextualSpacing w:val="1"/>
        <w:jc w:val="both"/>
        <w:rPr>
          <w:rFonts w:ascii="Times New Roman" w:hAnsi="Times New Roman"/>
        </w:rPr>
      </w:pPr>
      <w:r>
        <w:rPr>
          <w:color w:val="000000"/>
          <w:sz w:val="24"/>
        </w:rPr>
        <w:t>Позитивными факторами, обеспечивающими прирост обрабатывающих производств, в прогнозном периоде будут:</w:t>
      </w:r>
    </w:p>
    <w:p w14:paraId="A0000000">
      <w:pPr>
        <w:pStyle w:val="Style_2"/>
        <w:widowControl w:val="0"/>
        <w:numPr>
          <w:ilvl w:val="0"/>
          <w:numId w:val="4"/>
        </w:numPr>
        <w:tabs>
          <w:tab w:leader="none" w:pos="708" w:val="clear"/>
          <w:tab w:leader="none" w:pos="993" w:val="left"/>
        </w:tabs>
        <w:spacing w:line="240" w:lineRule="auto"/>
        <w:ind w:firstLine="709" w:left="0" w:right="0"/>
        <w:jc w:val="both"/>
        <w:rPr>
          <w:rFonts w:ascii="Times New Roman" w:hAnsi="Times New Roman"/>
        </w:rPr>
      </w:pPr>
      <w:r>
        <w:rPr>
          <w:color w:val="000000"/>
          <w:sz w:val="24"/>
        </w:rPr>
        <w:t xml:space="preserve"> </w:t>
      </w:r>
      <w:r>
        <w:rPr>
          <w:color w:val="000000"/>
          <w:sz w:val="24"/>
        </w:rPr>
        <w:t>реализация инвестиционных проектов во взаимосвязанной отрасли «Сельское хозяйство», которая является производителем сырья для пищевой, перерабатывающей промышленности, таких как реконструкция скотника для содержания крупного рогатого скота в Мильковском муниципальном округе, ввод в эксплуатацию тепличного комплекса «Камчатский», создание цеха по переработке молока в Усть-Большерецком муниципальном районе;</w:t>
      </w:r>
    </w:p>
    <w:p w14:paraId="A1000000">
      <w:pPr>
        <w:pStyle w:val="Style_2"/>
        <w:widowControl w:val="0"/>
        <w:numPr>
          <w:ilvl w:val="0"/>
          <w:numId w:val="4"/>
        </w:numPr>
        <w:tabs>
          <w:tab w:leader="none" w:pos="708" w:val="clear"/>
          <w:tab w:leader="none" w:pos="993" w:val="left"/>
        </w:tabs>
        <w:spacing w:after="200" w:before="0" w:line="240" w:lineRule="auto"/>
        <w:ind w:firstLine="709" w:left="0" w:right="0"/>
        <w:contextualSpacing w:val="1"/>
        <w:jc w:val="both"/>
        <w:rPr>
          <w:rFonts w:ascii="Times New Roman" w:hAnsi="Times New Roman"/>
        </w:rPr>
      </w:pPr>
      <w:r>
        <w:rPr>
          <w:color w:val="000000"/>
          <w:sz w:val="24"/>
        </w:rPr>
        <w:t>реализация инвестиционных проектов по созданию на территории Петропавловск-Камчатского городского округа и Елизовского муниципального района индустриальных (промышленных) парков «Дальний» и «Нагорный». Промышленные площадки оказывают комплексный эффект на экономику региона, в том числе позволяют улучшить инвестиционный климат, повысить конкурентоспособность продукции камчатских товаропроизводителей, создать новые современные рабочие места.</w:t>
      </w:r>
    </w:p>
    <w:p w14:paraId="A2000000">
      <w:pPr>
        <w:pStyle w:val="Style_2"/>
        <w:widowControl w:val="0"/>
        <w:spacing w:line="240" w:lineRule="auto"/>
        <w:ind w:firstLine="709" w:left="0" w:right="0"/>
        <w:jc w:val="both"/>
        <w:rPr>
          <w:rFonts w:ascii="Times New Roman" w:hAnsi="Times New Roman"/>
        </w:rPr>
      </w:pPr>
      <w:r>
        <w:rPr>
          <w:color w:val="000000"/>
          <w:sz w:val="24"/>
        </w:rPr>
        <w:t>Прогнозируемый рост показателей промышленного производства в судоремонтной отрасли (ремонт и монтаж машин и оборудования) будет обусловлен реализацией ряда крупных инвестиционных проектов:</w:t>
      </w:r>
    </w:p>
    <w:p w14:paraId="A3000000">
      <w:pPr>
        <w:pStyle w:val="Style_2"/>
        <w:widowControl w:val="0"/>
        <w:spacing w:line="240" w:lineRule="auto"/>
        <w:ind w:firstLine="709" w:left="0" w:right="0"/>
        <w:jc w:val="both"/>
        <w:rPr>
          <w:rFonts w:ascii="Times New Roman" w:hAnsi="Times New Roman"/>
        </w:rPr>
      </w:pPr>
      <w:r>
        <w:rPr>
          <w:color w:val="000000"/>
          <w:sz w:val="24"/>
        </w:rPr>
        <w:t>–</w:t>
      </w:r>
      <w:r>
        <w:rPr>
          <w:color w:val="000000"/>
          <w:sz w:val="24"/>
        </w:rPr>
        <w:t xml:space="preserve"> </w:t>
      </w:r>
      <w:r>
        <w:rPr>
          <w:color w:val="000000"/>
          <w:sz w:val="24"/>
        </w:rPr>
        <w:t xml:space="preserve">создание судоремонтной верфи и базы технического обслуживания флота (ООО «Рем-Нова ДВ»). Предполагаемый объем инвестиций составляет 3,65 млрд рублей, количество создаваемых рабочих мест – 504 единицы. </w:t>
      </w:r>
      <w:r>
        <w:rPr>
          <w:sz w:val="24"/>
        </w:rPr>
        <w:t>В 2023 году отремонтирован плавучий док, проведен капитальный ремонт части производственных цехов,</w:t>
      </w:r>
      <w:r>
        <w:rPr>
          <w:spacing w:val="1"/>
          <w:sz w:val="24"/>
        </w:rPr>
        <w:t xml:space="preserve"> </w:t>
      </w:r>
      <w:r>
        <w:rPr>
          <w:sz w:val="24"/>
        </w:rPr>
        <w:t>морского</w:t>
      </w:r>
      <w:r>
        <w:rPr>
          <w:spacing w:val="1"/>
          <w:sz w:val="24"/>
        </w:rPr>
        <w:t xml:space="preserve"> </w:t>
      </w:r>
      <w:r>
        <w:rPr>
          <w:sz w:val="24"/>
        </w:rPr>
        <w:t>буксира, плавучего крана – единственного действующего в регионе. Модернизированы</w:t>
      </w:r>
      <w:r>
        <w:rPr>
          <w:spacing w:val="-5"/>
          <w:sz w:val="24"/>
        </w:rPr>
        <w:t xml:space="preserve"> 3 </w:t>
      </w:r>
      <w:r>
        <w:rPr>
          <w:sz w:val="24"/>
        </w:rPr>
        <w:t>портальные</w:t>
      </w:r>
      <w:r>
        <w:rPr>
          <w:spacing w:val="-5"/>
          <w:sz w:val="24"/>
        </w:rPr>
        <w:t xml:space="preserve"> </w:t>
      </w:r>
      <w:r>
        <w:rPr>
          <w:sz w:val="24"/>
        </w:rPr>
        <w:t xml:space="preserve">крана, приобретено специализированное технологическое оборудование. Запущены в работу два дока, в которых могут пройти ремонт около 30 судов. По плану ожидается запуск четырех доков. Вложено более 1 млрд рублей собственных средств, создано 461 рабочее место. Срок реализации проекта </w:t>
      </w:r>
      <w:r>
        <w:rPr>
          <w:sz w:val="24"/>
        </w:rPr>
        <w:t>–</w:t>
      </w:r>
      <w:r>
        <w:rPr>
          <w:sz w:val="24"/>
        </w:rPr>
        <w:t xml:space="preserve"> 2026 год. В результате компания планирует выйти на ремонт не менее 60 средних и мелкотоннажных судов в год. </w:t>
      </w:r>
    </w:p>
    <w:p w14:paraId="A4000000">
      <w:pPr>
        <w:pStyle w:val="Style_2"/>
        <w:widowControl w:val="1"/>
        <w:spacing w:after="0" w:before="0" w:line="240" w:lineRule="auto"/>
        <w:ind w:firstLine="737" w:left="0" w:right="0"/>
        <w:jc w:val="both"/>
        <w:rPr>
          <w:rFonts w:ascii="Times New Roman" w:hAnsi="Times New Roman"/>
        </w:rPr>
      </w:pPr>
      <w:r>
        <w:rPr>
          <w:color w:val="000000"/>
          <w:sz w:val="24"/>
        </w:rPr>
        <w:t>–</w:t>
      </w:r>
      <w:r>
        <w:rPr>
          <w:color w:val="000000"/>
          <w:sz w:val="24"/>
        </w:rPr>
        <w:t xml:space="preserve"> </w:t>
      </w:r>
      <w:r>
        <w:rPr>
          <w:color w:val="000000"/>
          <w:sz w:val="24"/>
        </w:rPr>
        <w:t>реконструкция производственного здания для размещения цеха по ремонту судов с докованием, слипового устройства для докования судов с производственной площадкой (</w:t>
      </w:r>
      <w:r>
        <w:rPr>
          <w:sz w:val="24"/>
        </w:rPr>
        <w:t xml:space="preserve">АО «Судоремвосток»). Предполагаемый объем инвестиций составляет 1 млрд рублей, количество создаваемых рабочих мест порядка 40 единиц. Срок реализации проекта </w:t>
      </w:r>
      <w:r>
        <w:rPr>
          <w:color w:val="000000"/>
          <w:sz w:val="24"/>
        </w:rPr>
        <w:t>–</w:t>
      </w:r>
      <w:r>
        <w:rPr>
          <w:color w:val="000000"/>
          <w:sz w:val="24"/>
        </w:rPr>
        <w:t xml:space="preserve"> 2028 год.</w:t>
      </w:r>
    </w:p>
    <w:p w14:paraId="A5000000">
      <w:pPr>
        <w:pStyle w:val="Style_2"/>
        <w:widowControl w:val="1"/>
        <w:spacing w:after="0" w:before="0" w:line="240" w:lineRule="auto"/>
        <w:ind w:firstLine="737" w:left="0" w:right="0"/>
        <w:jc w:val="both"/>
        <w:rPr>
          <w:rFonts w:ascii="Times New Roman" w:hAnsi="Times New Roman"/>
        </w:rPr>
      </w:pPr>
      <w:r>
        <w:rPr>
          <w:color w:val="000000"/>
          <w:sz w:val="24"/>
        </w:rPr>
        <w:t>–</w:t>
      </w:r>
      <w:r>
        <w:rPr>
          <w:color w:val="000000"/>
          <w:sz w:val="24"/>
        </w:rPr>
        <w:t xml:space="preserve"> </w:t>
      </w:r>
      <w:r>
        <w:rPr>
          <w:color w:val="000000"/>
          <w:sz w:val="24"/>
        </w:rPr>
        <w:t>создание современного предприятия с круглогодичным циклом работы для ремонта и модернизации маломерных промысловых судов длиной до 50 метров и массой до 800 тонн (</w:t>
      </w:r>
      <w:r>
        <w:rPr>
          <w:sz w:val="24"/>
        </w:rPr>
        <w:t>ООО «Галеон»). Эксклюзивной характеристикой является наличие собственных судоподъемных сооружений – наклонных площадок, или иными словами слипов. Подъем и спуск на воду ремонтируемого флота будет осуществляться на пневматических ролик-мешках. Завершить создание нового предприятия планируется в 2028 году, но первая очередь судоремонтного комплекса может начать производственную деятельность уже в 2024 году. Предполагаемый объем инвестиций превышает 100 млн рублей, количество создаваемых рабочих мест – 50 единиц.</w:t>
      </w:r>
    </w:p>
    <w:p w14:paraId="A6000000">
      <w:pPr>
        <w:pStyle w:val="Style_2"/>
        <w:widowControl w:val="1"/>
        <w:spacing w:after="0" w:before="0" w:line="240" w:lineRule="auto"/>
        <w:ind w:firstLine="680" w:left="0" w:right="0"/>
        <w:jc w:val="both"/>
        <w:rPr>
          <w:rFonts w:ascii="Times New Roman" w:hAnsi="Times New Roman"/>
        </w:rPr>
      </w:pPr>
      <w:r>
        <w:rPr>
          <w:sz w:val="24"/>
        </w:rPr>
        <w:t>Возрождается отрасль судостроения, ООО «Научно-производственный центр «Торсиотест», учредителем которого является РК им. В.И. Ленина, с 2021 года начал работу над большим проектом «Строительство шести малотоннажных рыболовных сейнеров проекта 04130». Назначение – вылов и транспортировка сырца в грузовом трюме наливом на береговую фабрику предприятия для дальнейшей переработки. Объем инвестиций составляет 1,5 млрд рублей.</w:t>
      </w:r>
    </w:p>
    <w:p w14:paraId="A7000000">
      <w:pPr>
        <w:pStyle w:val="Style_2"/>
        <w:widowControl w:val="1"/>
        <w:spacing w:after="0" w:before="0" w:line="240" w:lineRule="auto"/>
        <w:ind w:firstLine="737" w:left="0" w:right="0"/>
        <w:jc w:val="both"/>
        <w:rPr>
          <w:rFonts w:ascii="Times New Roman" w:hAnsi="Times New Roman"/>
        </w:rPr>
      </w:pPr>
      <w:r>
        <w:rPr>
          <w:sz w:val="24"/>
        </w:rPr>
        <w:t xml:space="preserve">В августе 2023 года осуществлен спуск на воду первого малотоннажного рыболовного сейнера. В судне проекта 04130 заложен объем трюма на 100 тонн. </w:t>
      </w:r>
    </w:p>
    <w:p w14:paraId="A8000000">
      <w:pPr>
        <w:pStyle w:val="Style_3"/>
        <w:widowControl w:val="1"/>
        <w:spacing w:after="140" w:before="0" w:line="240" w:lineRule="auto"/>
        <w:ind w:firstLine="737" w:left="0" w:right="0"/>
        <w:jc w:val="both"/>
        <w:rPr>
          <w:rFonts w:ascii="Times New Roman" w:hAnsi="Times New Roman"/>
        </w:rPr>
      </w:pPr>
      <w:r>
        <w:rPr>
          <w:sz w:val="24"/>
        </w:rPr>
        <w:t>В 2024 году будут построены еще три сейнера, оставшиеся два спустят</w:t>
      </w:r>
      <w:r>
        <w:rPr>
          <w:spacing w:val="1"/>
          <w:sz w:val="24"/>
        </w:rPr>
        <w:t xml:space="preserve"> </w:t>
      </w:r>
      <w:r>
        <w:rPr>
          <w:sz w:val="24"/>
        </w:rPr>
        <w:t>со стапелей в 2025 году. Каждое из таких судов позволяет осваивать до трех</w:t>
      </w:r>
      <w:r>
        <w:rPr>
          <w:spacing w:val="1"/>
          <w:sz w:val="24"/>
        </w:rPr>
        <w:t xml:space="preserve"> </w:t>
      </w:r>
      <w:r>
        <w:rPr>
          <w:sz w:val="24"/>
        </w:rPr>
        <w:t>тысяч тонн рыбы в год, доставляя охлажденные биоресурсы на береговые</w:t>
      </w:r>
      <w:r>
        <w:rPr>
          <w:spacing w:val="1"/>
          <w:sz w:val="24"/>
        </w:rPr>
        <w:t xml:space="preserve"> </w:t>
      </w:r>
      <w:r>
        <w:rPr>
          <w:sz w:val="24"/>
        </w:rPr>
        <w:t>заводы</w:t>
      </w:r>
      <w:r>
        <w:rPr>
          <w:spacing w:val="-1"/>
          <w:sz w:val="24"/>
        </w:rPr>
        <w:t xml:space="preserve"> </w:t>
      </w:r>
      <w:r>
        <w:rPr>
          <w:sz w:val="24"/>
        </w:rPr>
        <w:t>для</w:t>
      </w:r>
      <w:r>
        <w:rPr>
          <w:spacing w:val="-1"/>
          <w:sz w:val="24"/>
        </w:rPr>
        <w:t xml:space="preserve"> </w:t>
      </w:r>
      <w:r>
        <w:rPr>
          <w:sz w:val="24"/>
        </w:rPr>
        <w:t>переработки.</w:t>
      </w:r>
    </w:p>
    <w:p w14:paraId="A9000000">
      <w:pPr>
        <w:pStyle w:val="Style_2"/>
        <w:widowControl w:val="0"/>
        <w:spacing w:line="240" w:lineRule="auto"/>
        <w:ind w:firstLine="709" w:left="0" w:right="0"/>
        <w:jc w:val="both"/>
        <w:rPr>
          <w:rFonts w:ascii="Times New Roman" w:hAnsi="Times New Roman"/>
        </w:rPr>
      </w:pPr>
      <w:r>
        <w:rPr>
          <w:b w:val="1"/>
          <w:i w:val="1"/>
          <w:color w:val="000000"/>
          <w:sz w:val="24"/>
        </w:rPr>
        <w:t>Обеспечение электрической энергией, газом и паром; кондиционирование воздуха.</w:t>
      </w:r>
    </w:p>
    <w:p w14:paraId="AA000000">
      <w:pPr>
        <w:pStyle w:val="Style_2"/>
        <w:widowControl w:val="0"/>
        <w:spacing w:line="240" w:lineRule="auto"/>
        <w:ind w:firstLine="709" w:left="0" w:right="0"/>
        <w:jc w:val="both"/>
        <w:rPr>
          <w:rFonts w:ascii="Times New Roman" w:hAnsi="Times New Roman"/>
        </w:rPr>
      </w:pPr>
      <w:r>
        <w:rPr>
          <w:color w:val="000000"/>
          <w:sz w:val="24"/>
        </w:rPr>
        <w:t>Наиболее крупными предприятиями отрасли являются: в электроэнергетике – ПАО «Камчатскэнерго», АО «Южные электрические сети Камчатки», АО «Корякэнерго», АО «КЭС им. И.А. Пискунова»; в водоснабжении и водоотведении – КГУП «Камчатский водоканал»; в сфере газоснабжения осуществляют деятельность структурные подразделения ПАО «Газпром».</w:t>
      </w:r>
    </w:p>
    <w:p w14:paraId="AB000000">
      <w:pPr>
        <w:pStyle w:val="Style_2"/>
        <w:widowControl w:val="0"/>
        <w:spacing w:line="240" w:lineRule="auto"/>
        <w:ind w:firstLine="709" w:left="0" w:right="0"/>
        <w:jc w:val="both"/>
        <w:rPr>
          <w:rFonts w:ascii="Times New Roman" w:hAnsi="Times New Roman"/>
        </w:rPr>
      </w:pPr>
      <w:r>
        <w:rPr>
          <w:color w:val="000000"/>
          <w:sz w:val="24"/>
        </w:rPr>
        <w:t xml:space="preserve">Камчатская энергосистема работает изолированно от ОЭС Востока и осуществляет электроснабжение потребителей Камчатского края. Централизованным электроснабжением охвачено 66,0% территории и 97,0% населения. Энергоснабжение потребителей Центрального энергоузла осуществляет ПАО «Камчатскэнерго» (дочернее общество ПАО «РусГидро»). В состав ПАО «Камчатскэнерго» входят следующие филиалы: </w:t>
      </w:r>
    </w:p>
    <w:p w14:paraId="AC000000">
      <w:pPr>
        <w:pStyle w:val="Style_2"/>
        <w:widowControl w:val="0"/>
        <w:numPr>
          <w:ilvl w:val="0"/>
          <w:numId w:val="5"/>
        </w:numPr>
        <w:tabs>
          <w:tab w:leader="none" w:pos="708" w:val="clear"/>
          <w:tab w:leader="none" w:pos="993" w:val="left"/>
        </w:tabs>
        <w:spacing w:line="240" w:lineRule="auto"/>
        <w:ind w:firstLine="709" w:left="0" w:right="0"/>
        <w:jc w:val="both"/>
        <w:rPr>
          <w:rFonts w:ascii="Times New Roman" w:hAnsi="Times New Roman"/>
        </w:rPr>
      </w:pPr>
      <w:r>
        <w:rPr>
          <w:color w:val="000000"/>
          <w:sz w:val="24"/>
        </w:rPr>
        <w:t xml:space="preserve">«Возобновляемая энергетика» (Мутновская и Верхне-Мутновская ГеоЭС, каскад Толмачевских ГЭС) – осуществляет производство, передачу, распределение и торговлю электроэнергией, получаемой из возобновляемых источников энергии, включая электроэнергию, выработанную геотермальными электростанциями и гидроэлектростанциями; </w:t>
      </w:r>
    </w:p>
    <w:p w14:paraId="AD000000">
      <w:pPr>
        <w:pStyle w:val="Style_2"/>
        <w:widowControl w:val="0"/>
        <w:numPr>
          <w:ilvl w:val="0"/>
          <w:numId w:val="5"/>
        </w:numPr>
        <w:tabs>
          <w:tab w:leader="none" w:pos="708" w:val="clear"/>
          <w:tab w:leader="none" w:pos="993" w:val="left"/>
        </w:tabs>
        <w:spacing w:line="240" w:lineRule="auto"/>
        <w:ind w:firstLine="709" w:left="0" w:right="0"/>
        <w:jc w:val="both"/>
        <w:rPr>
          <w:rFonts w:ascii="Times New Roman" w:hAnsi="Times New Roman"/>
        </w:rPr>
      </w:pPr>
      <w:r>
        <w:rPr>
          <w:color w:val="000000"/>
          <w:sz w:val="24"/>
        </w:rPr>
        <w:t>«Камчатские ТЭЦ» (Камчатская ТЭЦ-1 и Камчатская ТЭЦ-2) – осуществляет производство электрической энергии тепловыми электростанциями, производство пара и горячей воды (тепловой энергии), транспортировку и распределение тепловой энергии;</w:t>
      </w:r>
    </w:p>
    <w:p w14:paraId="AE000000">
      <w:pPr>
        <w:pStyle w:val="Style_2"/>
        <w:widowControl w:val="0"/>
        <w:numPr>
          <w:ilvl w:val="0"/>
          <w:numId w:val="5"/>
        </w:numPr>
        <w:tabs>
          <w:tab w:leader="none" w:pos="708" w:val="clear"/>
          <w:tab w:leader="none" w:pos="993" w:val="left"/>
        </w:tabs>
        <w:spacing w:line="240" w:lineRule="auto"/>
        <w:ind w:firstLine="709" w:left="0" w:right="0"/>
        <w:jc w:val="both"/>
        <w:rPr>
          <w:rFonts w:ascii="Times New Roman" w:hAnsi="Times New Roman"/>
        </w:rPr>
      </w:pPr>
      <w:r>
        <w:rPr>
          <w:color w:val="000000"/>
          <w:sz w:val="24"/>
        </w:rPr>
        <w:t xml:space="preserve">«Центральные электрические сети» – осуществляет эксплуатацию электрических сетей центрального энергоузла, транспортировку и передачу электрической энергии от генерирующих мощностей ПАО «Камчатскэнерго» до потребителей; </w:t>
      </w:r>
    </w:p>
    <w:p w14:paraId="AF000000">
      <w:pPr>
        <w:pStyle w:val="Style_2"/>
        <w:widowControl w:val="0"/>
        <w:numPr>
          <w:ilvl w:val="0"/>
          <w:numId w:val="5"/>
        </w:numPr>
        <w:tabs>
          <w:tab w:leader="none" w:pos="708" w:val="clear"/>
          <w:tab w:leader="none" w:pos="993" w:val="left"/>
        </w:tabs>
        <w:spacing w:line="240" w:lineRule="auto"/>
        <w:ind w:firstLine="709" w:left="0" w:right="0"/>
        <w:jc w:val="both"/>
        <w:rPr>
          <w:rFonts w:ascii="Times New Roman" w:hAnsi="Times New Roman"/>
        </w:rPr>
      </w:pPr>
      <w:r>
        <w:rPr>
          <w:color w:val="000000"/>
          <w:sz w:val="24"/>
        </w:rPr>
        <w:t xml:space="preserve">«Коммунальная энергетика» – осуществляет производство и передачу тепловой энергии; </w:t>
      </w:r>
    </w:p>
    <w:p w14:paraId="B0000000">
      <w:pPr>
        <w:pStyle w:val="Style_2"/>
        <w:widowControl w:val="0"/>
        <w:numPr>
          <w:ilvl w:val="0"/>
          <w:numId w:val="5"/>
        </w:numPr>
        <w:tabs>
          <w:tab w:leader="none" w:pos="708" w:val="clear"/>
          <w:tab w:leader="none" w:pos="993" w:val="left"/>
        </w:tabs>
        <w:spacing w:line="240" w:lineRule="auto"/>
        <w:ind w:firstLine="709" w:left="0" w:right="0"/>
        <w:jc w:val="both"/>
        <w:rPr>
          <w:rFonts w:ascii="Times New Roman" w:hAnsi="Times New Roman"/>
        </w:rPr>
      </w:pPr>
      <w:r>
        <w:rPr>
          <w:color w:val="000000"/>
          <w:sz w:val="24"/>
        </w:rPr>
        <w:t>электроснабжение потребителей изолированных энергоузлов осуществляется от электростанций (дизельных, ветровых, гидроэлектростанции в Быстринском муниципальном районе) АО «Южные электрические сети Камчатки», АО «Корякэнерго», АО «КЭС им. И.А. Пискунова», АО «Оссорское ЖКХ», ООО «Колхоз Ударник», ООО «Электрические сети Ивашки», ООО «Морошка».</w:t>
      </w:r>
      <w:r>
        <w:rPr>
          <w:color w:val="632523"/>
          <w:sz w:val="24"/>
        </w:rPr>
        <w:t xml:space="preserve"> </w:t>
      </w:r>
    </w:p>
    <w:p w14:paraId="B1000000">
      <w:pPr>
        <w:pStyle w:val="Style_2"/>
        <w:widowControl w:val="0"/>
        <w:spacing w:line="240" w:lineRule="auto"/>
        <w:ind w:firstLine="709" w:left="0" w:right="0"/>
        <w:jc w:val="both"/>
        <w:rPr>
          <w:rFonts w:ascii="Times New Roman" w:hAnsi="Times New Roman"/>
        </w:rPr>
      </w:pPr>
      <w:r>
        <w:rPr>
          <w:color w:val="000000"/>
          <w:sz w:val="24"/>
        </w:rPr>
        <w:t>Основными целями и задачами в сфере развития энергетики (электро-, тепло-, газоснабжения) являются:</w:t>
      </w:r>
    </w:p>
    <w:p w14:paraId="B2000000">
      <w:pPr>
        <w:pStyle w:val="Style_2"/>
        <w:widowControl w:val="0"/>
        <w:numPr>
          <w:ilvl w:val="0"/>
          <w:numId w:val="5"/>
        </w:numPr>
        <w:tabs>
          <w:tab w:leader="none" w:pos="708" w:val="clear"/>
          <w:tab w:leader="none" w:pos="993" w:val="left"/>
        </w:tabs>
        <w:spacing w:line="240" w:lineRule="auto"/>
        <w:ind w:firstLine="709" w:left="0" w:right="0"/>
        <w:jc w:val="both"/>
        <w:rPr>
          <w:rFonts w:ascii="Times New Roman" w:hAnsi="Times New Roman"/>
        </w:rPr>
      </w:pPr>
      <w:r>
        <w:rPr>
          <w:color w:val="000000"/>
          <w:sz w:val="24"/>
        </w:rPr>
        <w:t>переход на местные виды топлива (в том числе максимальное вовлечение возобновляемых источников энергии) и сдерживание роста тарифов;</w:t>
      </w:r>
    </w:p>
    <w:p w14:paraId="B3000000">
      <w:pPr>
        <w:pStyle w:val="Style_2"/>
        <w:widowControl w:val="0"/>
        <w:numPr>
          <w:ilvl w:val="0"/>
          <w:numId w:val="5"/>
        </w:numPr>
        <w:tabs>
          <w:tab w:leader="none" w:pos="708" w:val="clear"/>
          <w:tab w:leader="none" w:pos="993" w:val="left"/>
        </w:tabs>
        <w:spacing w:line="240" w:lineRule="auto"/>
        <w:ind w:firstLine="709" w:left="0" w:right="0"/>
        <w:jc w:val="both"/>
        <w:rPr>
          <w:rFonts w:ascii="Times New Roman" w:hAnsi="Times New Roman"/>
        </w:rPr>
      </w:pPr>
      <w:r>
        <w:rPr>
          <w:color w:val="000000"/>
          <w:sz w:val="24"/>
        </w:rPr>
        <w:t>дальнейшая реализация Программы газификации Камчатского края;</w:t>
      </w:r>
    </w:p>
    <w:p w14:paraId="B4000000">
      <w:pPr>
        <w:pStyle w:val="Style_2"/>
        <w:widowControl w:val="0"/>
        <w:numPr>
          <w:ilvl w:val="0"/>
          <w:numId w:val="5"/>
        </w:numPr>
        <w:tabs>
          <w:tab w:leader="none" w:pos="708" w:val="clear"/>
          <w:tab w:leader="none" w:pos="993" w:val="left"/>
        </w:tabs>
        <w:spacing w:line="240" w:lineRule="auto"/>
        <w:ind w:firstLine="709" w:left="0" w:right="0"/>
        <w:jc w:val="both"/>
        <w:rPr>
          <w:rFonts w:ascii="Times New Roman" w:hAnsi="Times New Roman"/>
        </w:rPr>
      </w:pPr>
      <w:r>
        <w:rPr>
          <w:color w:val="000000"/>
          <w:sz w:val="24"/>
        </w:rPr>
        <w:t xml:space="preserve">обеспечение учета всего объема потребляемых энергетических ресурсов;  </w:t>
      </w:r>
    </w:p>
    <w:p w14:paraId="B5000000">
      <w:pPr>
        <w:pStyle w:val="Style_2"/>
        <w:widowControl w:val="0"/>
        <w:numPr>
          <w:ilvl w:val="0"/>
          <w:numId w:val="5"/>
        </w:numPr>
        <w:tabs>
          <w:tab w:leader="none" w:pos="708" w:val="clear"/>
          <w:tab w:leader="none" w:pos="993" w:val="left"/>
        </w:tabs>
        <w:spacing w:line="240" w:lineRule="auto"/>
        <w:ind w:firstLine="709" w:left="0" w:right="0"/>
        <w:jc w:val="both"/>
        <w:rPr>
          <w:rFonts w:ascii="Times New Roman" w:hAnsi="Times New Roman"/>
        </w:rPr>
      </w:pPr>
      <w:r>
        <w:rPr>
          <w:color w:val="000000"/>
          <w:sz w:val="24"/>
        </w:rPr>
        <w:t>расширение практики применения инновационных, энергосберегающих технологий при модернизации, реконструкции и капитальном ремонте объектов топливно-энергетического комплекса.</w:t>
      </w:r>
    </w:p>
    <w:p w14:paraId="B6000000">
      <w:pPr>
        <w:pStyle w:val="Style_2"/>
        <w:widowControl w:val="0"/>
        <w:spacing w:line="240" w:lineRule="auto"/>
        <w:ind w:firstLine="709" w:left="0" w:right="0"/>
        <w:jc w:val="both"/>
        <w:rPr>
          <w:rFonts w:ascii="Times New Roman" w:hAnsi="Times New Roman"/>
        </w:rPr>
      </w:pPr>
      <w:r>
        <w:rPr>
          <w:color w:val="000000"/>
          <w:sz w:val="24"/>
        </w:rPr>
        <w:t>К приоритетам инновационного, энергоэффективного развития топливно-энергетического комплекса Камчатского края, прежде всего, относятся технологическое обновление всего многоотраслевого комплекса, внедрение энергосберегающих технологий, использующих все виды энергоресурсов, а также формирование эффективной инвестиционной политики и развитие рыночных отношений. Принципы управления качеством базируются на поддержании баланса интересов всех участников рынка жилищно-коммунальных услуг.</w:t>
      </w:r>
    </w:p>
    <w:p w14:paraId="B7000000">
      <w:pPr>
        <w:pStyle w:val="Style_2"/>
        <w:widowControl w:val="0"/>
        <w:spacing w:line="240" w:lineRule="auto"/>
        <w:ind w:firstLine="709" w:left="0" w:right="0"/>
        <w:jc w:val="both"/>
        <w:rPr>
          <w:rFonts w:ascii="Times New Roman" w:hAnsi="Times New Roman"/>
        </w:rPr>
      </w:pPr>
      <w:r>
        <w:rPr>
          <w:color w:val="000000"/>
          <w:sz w:val="24"/>
        </w:rPr>
        <w:t xml:space="preserve">Электростанциями края в 2023 году произведено 2 095,7 млн кВт/час электроэнергии (103,7% к уровню 2022 года). </w:t>
      </w:r>
    </w:p>
    <w:p w14:paraId="B8000000">
      <w:pPr>
        <w:pStyle w:val="Style_2"/>
        <w:widowControl w:val="0"/>
        <w:spacing w:line="240" w:lineRule="auto"/>
        <w:ind w:firstLine="709" w:left="0" w:right="0"/>
        <w:jc w:val="both"/>
        <w:rPr>
          <w:rFonts w:ascii="Times New Roman" w:hAnsi="Times New Roman"/>
        </w:rPr>
      </w:pPr>
      <w:r>
        <w:rPr>
          <w:b w:val="0"/>
          <w:color w:val="000000"/>
          <w:sz w:val="24"/>
        </w:rPr>
        <w:t xml:space="preserve">В структуре вырабатываемой электроэнергии 61,6% приходится на тепловые электростанции, 24,6% – на геотермальные электростанции, 9,1% – на дизельные электростанции, 4,7% – на гидро- и ветровые электростанции. </w:t>
      </w:r>
    </w:p>
    <w:p w14:paraId="B9000000">
      <w:pPr>
        <w:pStyle w:val="Style_2"/>
        <w:widowControl w:val="0"/>
        <w:spacing w:line="240" w:lineRule="auto"/>
        <w:ind w:firstLine="709" w:left="0" w:right="0"/>
        <w:jc w:val="both"/>
        <w:rPr>
          <w:rFonts w:ascii="Times New Roman" w:hAnsi="Times New Roman"/>
        </w:rPr>
      </w:pPr>
      <w:r>
        <w:rPr>
          <w:color w:val="000000"/>
          <w:sz w:val="24"/>
        </w:rPr>
        <w:t>В структуре потребления электроэнергии на долю организаций приходится 61,9% или 1 253,8 млн кВт/час. В том числе потреблено электроэнергии: промышленными организациями 44,1%, организациями сельского, лесного хозяйства, рыболовства и рыбоводства – 4,0%, организациями строительства – 2,1%, организациями оптовой и розничной торговли и по ремонту автотранспортных средств и мотоциклов – 9,6%, организациями в области транспортировки и хранения – 3,2%, организациями, ведущими деятельность в области информатизации и связи – 2,0%, прочими организациями – 35%. Населением потреблено 27,2% всей произведенной электроэнергии или 550,8 млн кВт/час, потери в электросетях общего пользования составили 11%, уменьшившись на 0,2% к уровню прошлого года.</w:t>
      </w:r>
    </w:p>
    <w:p w14:paraId="BA000000">
      <w:pPr>
        <w:pStyle w:val="Style_2"/>
        <w:widowControl w:val="0"/>
        <w:spacing w:line="240" w:lineRule="auto"/>
        <w:ind w:firstLine="709" w:left="0" w:right="0"/>
        <w:jc w:val="both"/>
        <w:rPr>
          <w:rFonts w:ascii="Times New Roman" w:hAnsi="Times New Roman"/>
        </w:rPr>
      </w:pPr>
      <w:r>
        <w:rPr>
          <w:color w:val="000000"/>
          <w:sz w:val="24"/>
        </w:rPr>
        <w:t>На территории Камчатского края действует 324 источника теплоснабжения. На твердом топливе работают 122 единицы или 37,7% всех источников теплоснабжения, 101 или 31,2% – на жидком, 15 или 4,6% – на газообразном. В 2023 году произведено 3 550,6 тыс. Гкал тепловой энергии, что на 0,2% больше уровня 2022 года. Основная часть тепловой энергии (63,6%) отпускается населению, 16,8% – израсходовано на производственные нужды, 12,5% – отпущено бюджетофинансируемым организациям, 7,1% – прочим организациям.</w:t>
      </w:r>
    </w:p>
    <w:p w14:paraId="BB000000">
      <w:pPr>
        <w:pStyle w:val="Style_2"/>
        <w:widowControl w:val="0"/>
        <w:spacing w:line="240" w:lineRule="auto"/>
        <w:ind w:firstLine="709" w:left="0" w:right="0"/>
        <w:jc w:val="both"/>
        <w:rPr>
          <w:rFonts w:ascii="Times New Roman" w:hAnsi="Times New Roman"/>
        </w:rPr>
      </w:pPr>
      <w:r>
        <w:rPr>
          <w:color w:val="000000"/>
          <w:sz w:val="24"/>
        </w:rPr>
        <w:t xml:space="preserve">Среднесписочная численность работников организаций по обеспечению электрической энергией, газом и паром; кондиционированием воздуха составила 7 541 человек (100,9% к показателю 2022 года). Среднемесячная номинальная начисленная заработная плата работников в 2023 году составила 115,7 тыс. руб. (110,1% к показателю 2022 года). </w:t>
      </w:r>
    </w:p>
    <w:p w14:paraId="BC000000">
      <w:pPr>
        <w:pStyle w:val="Style_2"/>
        <w:widowControl w:val="0"/>
        <w:spacing w:line="240" w:lineRule="auto"/>
        <w:ind w:firstLine="709" w:left="0" w:right="0"/>
        <w:jc w:val="both"/>
        <w:rPr>
          <w:rFonts w:ascii="Times New Roman" w:hAnsi="Times New Roman"/>
        </w:rPr>
      </w:pPr>
      <w:r>
        <w:rPr>
          <w:color w:val="000000"/>
          <w:sz w:val="24"/>
        </w:rPr>
        <w:t xml:space="preserve">На предприятиях по обеспечению электрической энергией, газом и паром; кондиционированием воздуха объем отгруженной продукции в 2024 году оценивается в размере 28 275,4 млн руб., индекс производства составит 102,6% к уровню 2023 года. Электростанциями будет произведено 2 158,6 млн кВт/час электроэнергии (103,0%). </w:t>
      </w:r>
    </w:p>
    <w:p w14:paraId="BD000000">
      <w:pPr>
        <w:pStyle w:val="Style_2"/>
        <w:widowControl w:val="0"/>
        <w:spacing w:line="240" w:lineRule="auto"/>
        <w:ind w:firstLine="709" w:left="0" w:right="0"/>
        <w:jc w:val="both"/>
        <w:rPr>
          <w:rFonts w:ascii="Times New Roman" w:hAnsi="Times New Roman"/>
        </w:rPr>
      </w:pPr>
      <w:r>
        <w:rPr>
          <w:color w:val="000000"/>
          <w:sz w:val="24"/>
        </w:rPr>
        <w:t>На предприятиях по обеспечению электрической энергией, газом и паром; кондиционированием воздуха по второму (базовому) варианту прогноза объем отгруженной продукции прогнозируется в 2025 году в размере 30 636,0 млн руб., в 2026 году – 32 817,9 млн руб., в 2027 году – 35 257,3 млн руб. Индекс производства прогнозируется в 2025 году – 102,7%, в 2026 году – 103,3%, в 2027 году – 103,5%. Производство электроэнергии в 2027 году увеличится до 2 397,9 млн кВт/час.</w:t>
      </w:r>
    </w:p>
    <w:p w14:paraId="BE000000">
      <w:pPr>
        <w:pStyle w:val="Style_2"/>
        <w:widowControl w:val="0"/>
        <w:spacing w:line="240" w:lineRule="auto"/>
        <w:ind w:firstLine="709" w:left="0" w:right="0"/>
        <w:jc w:val="both"/>
        <w:rPr>
          <w:rFonts w:ascii="Times New Roman" w:hAnsi="Times New Roman"/>
        </w:rPr>
      </w:pPr>
      <w:r>
        <w:rPr>
          <w:color w:val="000000"/>
          <w:sz w:val="24"/>
        </w:rPr>
        <w:t xml:space="preserve">В прогнозном периоде основной прирост объема полезного отпуска в отрасли будут давать потребители электро- и теплоэнергии – пользователи «дальневосточного гектара», резиденты ТОР «Камчатка» (площадка «Паратунка», «Зеленовские озерки», инвестиционный проект по строительству современного международного аэропорта в Камчатском крае), резиденты свободного порта Владивосток, инвестиционный проект «Создание курорта международного стандарта и общедоступной курортной инфраструктуры вокруг вулканов Мутновский, Вилючинский и Горелый – «Парк «Три вулкана». </w:t>
      </w:r>
    </w:p>
    <w:p w14:paraId="BF000000">
      <w:pPr>
        <w:pStyle w:val="Style_2"/>
        <w:widowControl w:val="0"/>
        <w:spacing w:line="240" w:lineRule="auto"/>
        <w:ind w:firstLine="709" w:left="0" w:right="0"/>
        <w:jc w:val="both"/>
        <w:rPr>
          <w:rFonts w:ascii="Times New Roman" w:hAnsi="Times New Roman"/>
        </w:rPr>
      </w:pPr>
      <w:r>
        <w:rPr>
          <w:color w:val="000000"/>
          <w:sz w:val="24"/>
        </w:rPr>
        <w:t>Для обеспечения намеченного спроса на электроэнергию в прогнозном периоде запланирована реализация следующих проектов:</w:t>
      </w:r>
    </w:p>
    <w:p w14:paraId="C0000000">
      <w:pPr>
        <w:pStyle w:val="Style_2"/>
        <w:widowControl w:val="0"/>
        <w:spacing w:line="240" w:lineRule="auto"/>
        <w:ind w:firstLine="709" w:left="0" w:right="0"/>
        <w:jc w:val="both"/>
        <w:rPr>
          <w:rFonts w:ascii="Times New Roman" w:hAnsi="Times New Roman"/>
        </w:rPr>
      </w:pPr>
      <w:r>
        <w:rPr>
          <w:color w:val="000000"/>
          <w:sz w:val="24"/>
        </w:rPr>
        <w:t xml:space="preserve"> </w:t>
      </w:r>
      <w:r>
        <w:rPr>
          <w:color w:val="000000"/>
          <w:sz w:val="24"/>
        </w:rPr>
        <w:t xml:space="preserve">– </w:t>
      </w:r>
      <w:r>
        <w:rPr>
          <w:color w:val="000000"/>
          <w:sz w:val="24"/>
        </w:rPr>
        <w:t>техническое перевооружение ДЭС-5 с установкой двух дизель-генераторов общей мощностью 2,0 МВт для повышения надежности электроснабжения потребителей Центрального энергоузла (2024 год);</w:t>
      </w:r>
    </w:p>
    <w:p w14:paraId="C1000000">
      <w:pPr>
        <w:pStyle w:val="Style_2"/>
        <w:widowControl w:val="0"/>
        <w:spacing w:line="240" w:lineRule="auto"/>
        <w:ind w:firstLine="709" w:left="0" w:right="0"/>
        <w:jc w:val="both"/>
        <w:rPr>
          <w:rFonts w:ascii="Times New Roman" w:hAnsi="Times New Roman"/>
        </w:rPr>
      </w:pPr>
      <w:r>
        <w:rPr>
          <w:color w:val="000000"/>
          <w:sz w:val="24"/>
        </w:rPr>
        <w:t xml:space="preserve"> </w:t>
      </w:r>
      <w:r>
        <w:rPr>
          <w:color w:val="000000"/>
          <w:sz w:val="24"/>
        </w:rPr>
        <w:t xml:space="preserve">– </w:t>
      </w:r>
      <w:r>
        <w:rPr>
          <w:color w:val="000000"/>
          <w:sz w:val="24"/>
        </w:rPr>
        <w:t>с</w:t>
      </w:r>
      <w:r>
        <w:rPr>
          <w:color w:val="000000"/>
          <w:sz w:val="24"/>
        </w:rPr>
        <w:t>ооружение высоковольтной линии 110 кВ и строительство подстанции 110/35/10 кВ «Сопка Горячая» (2х40 МВА), сооружение кабельно-воздушной линии электропередачи 35 кВ и строительство подстанции 35/10 кВ «Горнолыжный комплекс» (2х6,3 МВА) с целью возможности осуществления проекта «Создание курорта международного стандарта и общедоступной курортной инфраструктуры вокруг вулканов Мутновский, Вилючинский и Горелый – «Парк «Три вулкана» (2025 год).</w:t>
      </w:r>
    </w:p>
    <w:p w14:paraId="C2000000">
      <w:pPr>
        <w:pStyle w:val="Style_2"/>
        <w:widowControl w:val="0"/>
        <w:spacing w:line="240" w:lineRule="auto"/>
        <w:ind w:firstLine="709" w:left="0" w:right="0"/>
        <w:jc w:val="both"/>
        <w:rPr>
          <w:rFonts w:ascii="Times New Roman" w:hAnsi="Times New Roman"/>
        </w:rPr>
      </w:pPr>
      <w:r>
        <w:rPr>
          <w:color w:val="000000"/>
          <w:sz w:val="24"/>
        </w:rPr>
        <w:t>С целью повышения энергоэффективности и модернизации объектов энергоснабжения в отдаленных районах Камчатского края с 2011 года реализуется инвестиционный проект «Обеспечение энергоснабжения изолированных территорий Камчатского края на основе возобновляемых источников энергии».</w:t>
      </w:r>
    </w:p>
    <w:p w14:paraId="C3000000">
      <w:pPr>
        <w:pStyle w:val="Style_2"/>
        <w:widowControl w:val="0"/>
        <w:spacing w:line="240" w:lineRule="auto"/>
        <w:ind w:firstLine="709" w:left="0" w:right="0"/>
        <w:jc w:val="both"/>
        <w:rPr>
          <w:rFonts w:ascii="Times New Roman" w:hAnsi="Times New Roman"/>
        </w:rPr>
      </w:pPr>
      <w:r>
        <w:rPr>
          <w:color w:val="000000"/>
          <w:sz w:val="24"/>
        </w:rPr>
        <w:t>В рамках проекта (при достаточном финансировании) предполагается строительство ветродизельных и солнечнодизельных комплексов в энергоизолированных населенных пунктах Камчатского края: с. Никольское, п. Усть-Камчатск, с. Манилы и с. Каменское, п. Оссора, пгт. Палана, с. Пахачи, с. Тиличики, с. Усть-Хайрюзово.</w:t>
      </w:r>
    </w:p>
    <w:p w14:paraId="C4000000">
      <w:pPr>
        <w:pStyle w:val="Style_2"/>
        <w:widowControl w:val="0"/>
        <w:spacing w:line="240" w:lineRule="auto"/>
        <w:ind w:firstLine="709" w:left="0" w:right="0"/>
        <w:jc w:val="both"/>
        <w:rPr>
          <w:rFonts w:ascii="Times New Roman" w:hAnsi="Times New Roman"/>
        </w:rPr>
      </w:pPr>
      <w:r>
        <w:rPr>
          <w:color w:val="000000"/>
          <w:sz w:val="24"/>
        </w:rPr>
        <w:t>В 2023 году введена в эксплуатацию первая в регионе комбинированная блочно-транспортабельная электростанция с солнечными панелями мощностью 107,2 кВт в с. Долиновка, Мильковского муниципального округа. В рамках инвестиционной программы АО «ЮЭСК» смонтирована четвертая ветроэнергетическая установка мощностью 300 кВт в с. Усть-Камчатск (планируемая годовая выработка – 400 тыс. кВтч).</w:t>
      </w:r>
    </w:p>
    <w:p w14:paraId="C5000000">
      <w:pPr>
        <w:pStyle w:val="Style_2"/>
        <w:widowControl w:val="0"/>
        <w:spacing w:line="240" w:lineRule="auto"/>
        <w:ind w:firstLine="709" w:left="0" w:right="0"/>
        <w:jc w:val="both"/>
        <w:rPr>
          <w:rFonts w:ascii="Times New Roman" w:hAnsi="Times New Roman"/>
        </w:rPr>
      </w:pPr>
      <w:r>
        <w:rPr>
          <w:color w:val="000000"/>
          <w:sz w:val="24"/>
        </w:rPr>
        <w:t>Всего в Камчатском крае построено 16 единиц ветровых электростанций общей мощностью 6 925 кВт, которые размещены в трех муниципальных образованиях Камчатского края: в Алеутском муниципальном округе (с. Никольское), в Усть-Камчатском муниципальном округе (с. Усть-Камчатск), в Усть-Большерецком муниципальном районе (п. Октябрьский).</w:t>
      </w:r>
    </w:p>
    <w:p w14:paraId="C6000000">
      <w:pPr>
        <w:pStyle w:val="Style_2"/>
        <w:widowControl w:val="0"/>
        <w:spacing w:line="240" w:lineRule="auto"/>
        <w:ind w:firstLine="709" w:left="0" w:right="0"/>
        <w:jc w:val="both"/>
        <w:rPr>
          <w:rFonts w:ascii="Times New Roman" w:hAnsi="Times New Roman"/>
        </w:rPr>
      </w:pPr>
      <w:r>
        <w:rPr>
          <w:color w:val="000000"/>
          <w:sz w:val="24"/>
        </w:rPr>
        <w:t>В среднесрочной перспективе, при достаточном финансировании проектов, рассматривается дальнейшее развитие ветроэнергетики в изолированных энергоузлах, с внедрением комплексного подхода по созданию автоматизированного гибридного энергокомплекса в составе ДЭС, ВЭС и системы накопления энергии с единой системой автоматизированного управления.</w:t>
      </w:r>
    </w:p>
    <w:p w14:paraId="C7000000">
      <w:pPr>
        <w:pStyle w:val="Style_2"/>
        <w:widowControl w:val="0"/>
        <w:spacing w:line="240" w:lineRule="auto"/>
        <w:ind w:firstLine="709" w:left="0" w:right="0"/>
        <w:jc w:val="both"/>
        <w:rPr>
          <w:rFonts w:ascii="Times New Roman" w:hAnsi="Times New Roman"/>
        </w:rPr>
      </w:pPr>
      <w:r>
        <w:rPr>
          <w:b w:val="1"/>
          <w:i w:val="1"/>
          <w:color w:val="000000"/>
          <w:sz w:val="24"/>
        </w:rPr>
        <w:t>Водоснабжение, водоотведение, организация сбора и утилизации отходов, деятельность по ликвидации загрязнений.</w:t>
      </w:r>
    </w:p>
    <w:p w14:paraId="C8000000">
      <w:pPr>
        <w:pStyle w:val="Style_2"/>
        <w:widowControl w:val="0"/>
        <w:spacing w:line="240" w:lineRule="auto"/>
        <w:ind w:firstLine="709" w:left="0" w:right="0"/>
        <w:jc w:val="both"/>
        <w:rPr>
          <w:rFonts w:ascii="Times New Roman" w:hAnsi="Times New Roman"/>
        </w:rPr>
      </w:pPr>
      <w:r>
        <w:rPr>
          <w:color w:val="000000"/>
          <w:sz w:val="24"/>
        </w:rPr>
        <w:t>Проблема обеспечения населения края питьевой водой, отвечающей установленным нормам качества и в достаточном количестве, остается достаточно актуальной. Из 73,7 млн куб. м воды, поданной в сеть, через очистные сооружения пропущено 5,0 млн куб. м или 6,8%, что приводит к ухудшению качества питьевой воды.</w:t>
      </w:r>
    </w:p>
    <w:p w14:paraId="C9000000">
      <w:pPr>
        <w:pStyle w:val="Style_2"/>
        <w:widowControl w:val="0"/>
        <w:spacing w:line="240" w:lineRule="auto"/>
        <w:ind w:firstLine="709" w:left="0" w:right="0"/>
        <w:jc w:val="both"/>
        <w:rPr>
          <w:rFonts w:ascii="Times New Roman" w:hAnsi="Times New Roman"/>
        </w:rPr>
      </w:pPr>
      <w:r>
        <w:rPr>
          <w:color w:val="000000"/>
          <w:sz w:val="24"/>
        </w:rPr>
        <w:t xml:space="preserve">Потери воды в сетях из-за утечек и неучтенного расхода в 2023 году составили 23,6 млн куб. м или 32%. Причины значительных потерь скрываются в изношенности насосных станций, плохом техническом состоянии водопроводных сетей. 45,7% водопроводных сетей из их общей протяженности нуждаются в замене. </w:t>
      </w:r>
    </w:p>
    <w:p w14:paraId="CA000000">
      <w:pPr>
        <w:pStyle w:val="Style_2"/>
        <w:widowControl w:val="0"/>
        <w:spacing w:line="240" w:lineRule="auto"/>
        <w:ind w:firstLine="709" w:left="0" w:right="0"/>
        <w:jc w:val="both"/>
        <w:rPr>
          <w:rFonts w:ascii="Times New Roman" w:hAnsi="Times New Roman"/>
        </w:rPr>
      </w:pPr>
      <w:r>
        <w:rPr>
          <w:color w:val="000000"/>
          <w:sz w:val="24"/>
        </w:rPr>
        <w:t xml:space="preserve">Общая протяженность канализационных сетей по краю составляет 579 км, из них 49,9% нуждаются в замене. </w:t>
      </w:r>
    </w:p>
    <w:p w14:paraId="CB000000">
      <w:pPr>
        <w:pStyle w:val="Style_2"/>
        <w:widowControl w:val="0"/>
        <w:spacing w:line="240" w:lineRule="auto"/>
        <w:ind w:firstLine="709" w:left="0" w:right="0"/>
        <w:jc w:val="both"/>
        <w:rPr>
          <w:rFonts w:ascii="Times New Roman" w:hAnsi="Times New Roman"/>
        </w:rPr>
      </w:pPr>
      <w:r>
        <w:rPr>
          <w:color w:val="000000"/>
          <w:sz w:val="24"/>
        </w:rPr>
        <w:t xml:space="preserve">Установленная пропускная способность очистных сооружений канализации в 2023 году составила 77,3 тыс. куб. м в сутки. Пропуск сточных вод за год составил 19,7 млн куб. м (2022 год – 18,7 млн куб. м). Через очистные сооружения пропущено 9,9 млн куб. м сточных вод или 50,3% объема сточных вод. </w:t>
      </w:r>
    </w:p>
    <w:p w14:paraId="CC000000">
      <w:pPr>
        <w:pStyle w:val="Style_2"/>
        <w:numPr>
          <w:ilvl w:val="0"/>
          <w:numId w:val="0"/>
        </w:numPr>
        <w:spacing w:line="240" w:lineRule="auto"/>
        <w:ind w:firstLine="709" w:left="0" w:right="0"/>
        <w:jc w:val="both"/>
        <w:outlineLvl w:val="0"/>
        <w:rPr>
          <w:rFonts w:ascii="Times New Roman" w:hAnsi="Times New Roman"/>
        </w:rPr>
      </w:pPr>
      <w:r>
        <w:rPr>
          <w:color w:val="000000"/>
          <w:sz w:val="24"/>
        </w:rPr>
        <w:t>В рамках государственной программы Камчатского края «Энергоэффективность, развитие энергетики и коммунального хозяйства, обеспечение жителей населенных пунктов Камчатского края коммунальными услугами» в 2023 году проведены следующие мероприятия по реконструкции и строительству систем водоснабжения и водоотведения:</w:t>
      </w:r>
    </w:p>
    <w:p w14:paraId="CD000000">
      <w:pPr>
        <w:pStyle w:val="Style_2"/>
        <w:spacing w:line="240" w:lineRule="auto"/>
        <w:ind w:firstLine="709" w:left="0" w:right="0"/>
        <w:jc w:val="both"/>
        <w:rPr>
          <w:rFonts w:ascii="Times New Roman" w:hAnsi="Times New Roman"/>
        </w:rPr>
      </w:pPr>
      <w:r>
        <w:rPr>
          <w:color w:val="000000"/>
          <w:sz w:val="24"/>
        </w:rPr>
        <w:t xml:space="preserve">– </w:t>
      </w:r>
      <w:r>
        <w:rPr>
          <w:color w:val="000000"/>
          <w:sz w:val="24"/>
        </w:rPr>
        <w:t>продолжена реализация инфраструктурного проекта за счет средств инфраструктурных бюджетных кредитов «Реконструкция системы водоотведения центральной части г. Петропавловска-Камчатского. Канализационная насосная станция КНС «Мехзавод». Ведутся строительно-монтажные работы;</w:t>
      </w:r>
    </w:p>
    <w:p w14:paraId="CE000000">
      <w:pPr>
        <w:pStyle w:val="Style_2"/>
        <w:spacing w:after="0" w:before="0" w:line="240" w:lineRule="auto"/>
        <w:ind w:firstLine="708" w:left="0" w:right="0"/>
        <w:jc w:val="both"/>
        <w:rPr>
          <w:rFonts w:ascii="Times New Roman" w:hAnsi="Times New Roman"/>
        </w:rPr>
      </w:pPr>
      <w:r>
        <w:rPr>
          <w:sz w:val="24"/>
        </w:rPr>
        <w:t xml:space="preserve">– </w:t>
      </w:r>
      <w:r>
        <w:rPr>
          <w:sz w:val="24"/>
        </w:rPr>
        <w:t>завершен первый этап реконструкции насосной станции второго подъема и закрытого распределительного устройства (ЗРУ-6 кВ) «Авачинского водозабора»;</w:t>
      </w:r>
    </w:p>
    <w:p w14:paraId="CF000000">
      <w:pPr>
        <w:pStyle w:val="Style_2"/>
        <w:spacing w:after="0" w:before="0" w:line="240" w:lineRule="auto"/>
        <w:ind w:firstLine="708" w:left="0" w:right="0"/>
        <w:jc w:val="both"/>
        <w:rPr>
          <w:rFonts w:ascii="Times New Roman" w:hAnsi="Times New Roman"/>
        </w:rPr>
      </w:pPr>
      <w:r>
        <w:rPr>
          <w:sz w:val="24"/>
        </w:rPr>
        <w:t xml:space="preserve">– </w:t>
      </w:r>
      <w:r>
        <w:rPr>
          <w:sz w:val="24"/>
        </w:rPr>
        <w:t>продолжается реализация мероприятия «Реконструкция системы водоотведения Елизовского городского поселения (1 этап). Реконструкция КОС-29, строительство сливной станции», начата разработка проектной документации по объектам «Реконструкция канализационных очистных сооружений «Чавыча» г. Петропавловск-Камчатский», «Реконструкция КОС - 29 км (район «Аэропорт»)», «Строительство КНС «Заречная» производительностью 3500 м</w:t>
      </w:r>
      <w:r>
        <w:rPr>
          <w:sz w:val="24"/>
          <w:vertAlign w:val="superscript"/>
        </w:rPr>
        <w:t>3</w:t>
      </w:r>
      <w:r>
        <w:rPr>
          <w:sz w:val="24"/>
        </w:rPr>
        <w:t>/сутки со строительством напорных коллекторов Д-200»;</w:t>
      </w:r>
    </w:p>
    <w:p w14:paraId="D0000000">
      <w:pPr>
        <w:pStyle w:val="Style_2"/>
        <w:spacing w:after="0" w:before="0" w:line="240" w:lineRule="auto"/>
        <w:ind w:firstLine="708" w:left="0" w:right="0"/>
        <w:jc w:val="both"/>
        <w:rPr>
          <w:rFonts w:ascii="Times New Roman" w:hAnsi="Times New Roman"/>
        </w:rPr>
      </w:pPr>
      <w:r>
        <w:rPr>
          <w:sz w:val="24"/>
        </w:rPr>
        <w:t xml:space="preserve">– </w:t>
      </w:r>
      <w:r>
        <w:rPr>
          <w:sz w:val="24"/>
        </w:rPr>
        <w:t xml:space="preserve">получены положительные заключения государственной экспертизы по объектам: «Реконструкция резервуаров чистой воды «Богородское озеро», «Реконструкция напорного коллектора Д-700», «Строительство КНС «Сероглазка» производительностью 16500 </w:t>
      </w:r>
      <w:r>
        <w:rPr>
          <w:color w:val="000000"/>
          <w:sz w:val="24"/>
        </w:rPr>
        <w:t>м</w:t>
      </w:r>
      <w:r>
        <w:rPr>
          <w:color w:val="000000"/>
          <w:sz w:val="24"/>
          <w:vertAlign w:val="superscript"/>
        </w:rPr>
        <w:t>3</w:t>
      </w:r>
      <w:r>
        <w:rPr>
          <w:sz w:val="24"/>
        </w:rPr>
        <w:t xml:space="preserve">/сут., строительство напорных коллекторов от КНС «Сероглазка» до КОС «Чавыча», «Строительство КНС «Фрунзе» производительностью 11500 </w:t>
      </w:r>
      <w:r>
        <w:rPr>
          <w:color w:val="000000"/>
          <w:sz w:val="24"/>
        </w:rPr>
        <w:t>м</w:t>
      </w:r>
      <w:r>
        <w:rPr>
          <w:color w:val="000000"/>
          <w:sz w:val="24"/>
          <w:vertAlign w:val="superscript"/>
        </w:rPr>
        <w:t>3</w:t>
      </w:r>
      <w:r>
        <w:rPr>
          <w:sz w:val="24"/>
        </w:rPr>
        <w:t>/сут., строительство напорных коллекторов от КНС «Фрунзе» до КНС «Сероглазка», «Строительство самотечного коллектора от площадки застройки до самотечного коллектора по ул. Кавказская», «Реконструкция самотечного коллектора по ул. Кавказская»;</w:t>
      </w:r>
    </w:p>
    <w:p w14:paraId="D1000000">
      <w:pPr>
        <w:pStyle w:val="Style_2"/>
        <w:tabs>
          <w:tab w:leader="none" w:pos="0" w:val="left"/>
          <w:tab w:leader="none" w:pos="708" w:val="clear"/>
        </w:tabs>
        <w:spacing w:after="0" w:before="0" w:line="240" w:lineRule="auto"/>
        <w:ind w:firstLine="709" w:left="0" w:right="-1"/>
        <w:contextualSpacing w:val="1"/>
        <w:jc w:val="both"/>
        <w:rPr>
          <w:rFonts w:ascii="Times New Roman" w:hAnsi="Times New Roman"/>
        </w:rPr>
      </w:pPr>
      <w:r>
        <w:rPr>
          <w:sz w:val="24"/>
        </w:rPr>
        <w:t xml:space="preserve">– </w:t>
      </w:r>
      <w:r>
        <w:rPr>
          <w:sz w:val="24"/>
        </w:rPr>
        <w:t>в целях реализации регионального проекта «Чистая вода» в 2023 году завершена реконструкция водовода от водозабора до пгт. Палана и внутриплощадочных сетей территории совхоза пгт. Палана Тигильского района Камчатского края. Реконструкция сетей водоснабжения велась в течение 3-х лет с 2021 по 2023 год. За это время было переложено 7 472,8 м водовода и установлено 77 новых колодцев;</w:t>
      </w:r>
    </w:p>
    <w:p w14:paraId="D2000000">
      <w:pPr>
        <w:pStyle w:val="Style_2"/>
        <w:tabs>
          <w:tab w:leader="none" w:pos="0" w:val="left"/>
          <w:tab w:leader="none" w:pos="708" w:val="clear"/>
        </w:tabs>
        <w:spacing w:after="0" w:before="0" w:line="240" w:lineRule="auto"/>
        <w:ind w:firstLine="709" w:left="0" w:right="-1"/>
        <w:contextualSpacing w:val="1"/>
        <w:jc w:val="both"/>
        <w:rPr>
          <w:rFonts w:ascii="Times New Roman" w:hAnsi="Times New Roman"/>
        </w:rPr>
      </w:pPr>
      <w:r>
        <w:rPr>
          <w:color w:val="000000"/>
          <w:sz w:val="24"/>
        </w:rPr>
        <w:t xml:space="preserve">– </w:t>
      </w:r>
      <w:r>
        <w:rPr>
          <w:color w:val="000000"/>
          <w:sz w:val="24"/>
        </w:rPr>
        <w:t>в рамках реализации мероприятия «Реконструкция системы водоснабжения в п. Ключи Усть-Камчатского района Камчатского края Этап № 5,6,7» проложено более 10 км трубопроводных сетей и установлено 108 колодцев.</w:t>
      </w:r>
    </w:p>
    <w:p w14:paraId="D3000000">
      <w:pPr>
        <w:pStyle w:val="Style_2"/>
        <w:widowControl w:val="0"/>
        <w:tabs>
          <w:tab w:leader="none" w:pos="708" w:val="clear"/>
          <w:tab w:leader="none" w:pos="993" w:val="left"/>
        </w:tabs>
        <w:spacing w:line="240" w:lineRule="auto"/>
        <w:ind w:firstLine="709" w:left="0" w:right="0"/>
        <w:jc w:val="both"/>
        <w:rPr>
          <w:rFonts w:ascii="Times New Roman" w:hAnsi="Times New Roman"/>
        </w:rPr>
      </w:pPr>
      <w:r>
        <w:rPr>
          <w:color w:val="000000"/>
          <w:sz w:val="24"/>
        </w:rPr>
        <w:t xml:space="preserve">Для реконструкции и модернизации действующей системы водоснабжения и водоотведения, а также строительства современной системы водохозяйственного комплекса в прогнозный период планируется реализация следующих мероприятий: </w:t>
      </w:r>
    </w:p>
    <w:p w14:paraId="D4000000">
      <w:pPr>
        <w:pStyle w:val="Style_2"/>
        <w:tabs>
          <w:tab w:leader="none" w:pos="708" w:val="clear"/>
          <w:tab w:leader="none" w:pos="3288" w:val="left"/>
        </w:tabs>
        <w:spacing w:after="0" w:before="0" w:line="240" w:lineRule="auto"/>
        <w:ind w:firstLine="709" w:left="0" w:right="0"/>
        <w:contextualSpacing w:val="1"/>
        <w:jc w:val="both"/>
        <w:rPr>
          <w:rFonts w:ascii="Times New Roman" w:hAnsi="Times New Roman"/>
        </w:rPr>
      </w:pPr>
      <w:r>
        <w:rPr>
          <w:color w:val="000000"/>
          <w:sz w:val="24"/>
        </w:rPr>
        <w:t>1. В рамках долгосрочного плана комплексного социально-экономического развития Петропавловск-Камчатского городского округа на период до 2030 года, утвержденного распоряжением Правительства Российской Федерации 193-р, на период 2023–2026 годов предусмотрена реализация 11 мероприятий, направленных на строительство и реконструкцию инженерной инфраструктуры водоснабжения и водоотведения:</w:t>
      </w:r>
    </w:p>
    <w:p w14:paraId="D5000000">
      <w:pPr>
        <w:pStyle w:val="Style_2"/>
        <w:tabs>
          <w:tab w:leader="none" w:pos="708" w:val="clear"/>
          <w:tab w:leader="none" w:pos="3288" w:val="left"/>
        </w:tabs>
        <w:spacing w:after="0" w:before="0" w:line="240" w:lineRule="auto"/>
        <w:ind w:firstLine="709" w:left="0" w:right="0"/>
        <w:contextualSpacing w:val="1"/>
        <w:jc w:val="both"/>
        <w:rPr>
          <w:rFonts w:ascii="Times New Roman" w:hAnsi="Times New Roman"/>
        </w:rPr>
      </w:pPr>
      <w:r>
        <w:rPr>
          <w:color w:val="000000"/>
          <w:sz w:val="24"/>
        </w:rPr>
        <w:t xml:space="preserve">– </w:t>
      </w:r>
      <w:r>
        <w:rPr>
          <w:color w:val="000000"/>
          <w:sz w:val="24"/>
        </w:rPr>
        <w:t>реконструкция канализационных очистных сооружений «Чавыча» с увеличением производительности до 38 000 м</w:t>
      </w:r>
      <w:r>
        <w:rPr>
          <w:caps w:val="1"/>
          <w:color w:val="000000"/>
          <w:sz w:val="24"/>
          <w:vertAlign w:val="superscript"/>
        </w:rPr>
        <w:t>3</w:t>
      </w:r>
      <w:r>
        <w:rPr>
          <w:color w:val="000000"/>
          <w:sz w:val="24"/>
        </w:rPr>
        <w:t>/сут.;</w:t>
      </w:r>
    </w:p>
    <w:p w14:paraId="D6000000">
      <w:pPr>
        <w:pStyle w:val="Style_2"/>
        <w:tabs>
          <w:tab w:leader="none" w:pos="708" w:val="clear"/>
          <w:tab w:leader="none" w:pos="3288" w:val="left"/>
        </w:tabs>
        <w:spacing w:after="0" w:before="0" w:line="240" w:lineRule="auto"/>
        <w:ind w:firstLine="709" w:left="0" w:right="0"/>
        <w:contextualSpacing w:val="1"/>
        <w:jc w:val="both"/>
        <w:rPr>
          <w:rFonts w:ascii="Times New Roman" w:hAnsi="Times New Roman"/>
        </w:rPr>
      </w:pPr>
      <w:r>
        <w:rPr>
          <w:color w:val="000000"/>
          <w:sz w:val="24"/>
        </w:rPr>
        <w:t xml:space="preserve">– </w:t>
      </w:r>
      <w:r>
        <w:rPr>
          <w:color w:val="000000"/>
          <w:sz w:val="24"/>
        </w:rPr>
        <w:t>строительство КНС «Сероглазка» производительностью 16 500 м</w:t>
      </w:r>
      <w:r>
        <w:rPr>
          <w:caps w:val="1"/>
          <w:color w:val="000000"/>
          <w:sz w:val="24"/>
          <w:vertAlign w:val="superscript"/>
        </w:rPr>
        <w:t>3</w:t>
      </w:r>
      <w:r>
        <w:rPr>
          <w:color w:val="000000"/>
          <w:sz w:val="24"/>
        </w:rPr>
        <w:t>/сут.;</w:t>
      </w:r>
    </w:p>
    <w:p w14:paraId="D7000000">
      <w:pPr>
        <w:pStyle w:val="Style_2"/>
        <w:tabs>
          <w:tab w:leader="none" w:pos="708" w:val="clear"/>
          <w:tab w:leader="none" w:pos="3288" w:val="left"/>
        </w:tabs>
        <w:spacing w:after="0" w:before="0" w:line="240" w:lineRule="auto"/>
        <w:ind w:firstLine="709" w:left="0" w:right="0"/>
        <w:contextualSpacing w:val="1"/>
        <w:jc w:val="both"/>
        <w:rPr>
          <w:rFonts w:ascii="Times New Roman" w:hAnsi="Times New Roman"/>
        </w:rPr>
      </w:pPr>
      <w:r>
        <w:rPr>
          <w:color w:val="000000"/>
          <w:sz w:val="24"/>
        </w:rPr>
        <w:t xml:space="preserve">– </w:t>
      </w:r>
      <w:r>
        <w:rPr>
          <w:color w:val="000000"/>
          <w:sz w:val="24"/>
        </w:rPr>
        <w:t>строительство КНС «Фрунзе» производительностью 11 500 м</w:t>
      </w:r>
      <w:r>
        <w:rPr>
          <w:caps w:val="1"/>
          <w:color w:val="000000"/>
          <w:sz w:val="24"/>
          <w:vertAlign w:val="superscript"/>
        </w:rPr>
        <w:t>3</w:t>
      </w:r>
      <w:r>
        <w:rPr>
          <w:color w:val="000000"/>
          <w:sz w:val="24"/>
        </w:rPr>
        <w:t>/сут.;</w:t>
      </w:r>
    </w:p>
    <w:p w14:paraId="D8000000">
      <w:pPr>
        <w:pStyle w:val="Style_2"/>
        <w:tabs>
          <w:tab w:leader="none" w:pos="708" w:val="clear"/>
          <w:tab w:leader="none" w:pos="3288" w:val="left"/>
        </w:tabs>
        <w:spacing w:after="0" w:before="0" w:line="240" w:lineRule="auto"/>
        <w:ind w:firstLine="709" w:left="0" w:right="0"/>
        <w:contextualSpacing w:val="1"/>
        <w:jc w:val="both"/>
        <w:rPr>
          <w:rFonts w:ascii="Times New Roman" w:hAnsi="Times New Roman"/>
        </w:rPr>
      </w:pPr>
      <w:r>
        <w:rPr>
          <w:color w:val="000000"/>
          <w:sz w:val="24"/>
        </w:rPr>
        <w:t xml:space="preserve">– </w:t>
      </w:r>
      <w:r>
        <w:rPr>
          <w:color w:val="000000"/>
          <w:sz w:val="24"/>
        </w:rPr>
        <w:t>реконструкция КОС-29. Поэтапное увеличение производительности до 10 000 м</w:t>
      </w:r>
      <w:r>
        <w:rPr>
          <w:caps w:val="1"/>
          <w:color w:val="000000"/>
          <w:sz w:val="24"/>
          <w:vertAlign w:val="superscript"/>
        </w:rPr>
        <w:t>3</w:t>
      </w:r>
      <w:r>
        <w:rPr>
          <w:color w:val="000000"/>
          <w:sz w:val="24"/>
        </w:rPr>
        <w:t>/сут., г. Елизово, Елизовский муниципальный район;</w:t>
      </w:r>
    </w:p>
    <w:p w14:paraId="D9000000">
      <w:pPr>
        <w:pStyle w:val="Style_2"/>
        <w:tabs>
          <w:tab w:leader="none" w:pos="708" w:val="clear"/>
          <w:tab w:leader="none" w:pos="3288" w:val="left"/>
        </w:tabs>
        <w:spacing w:after="0" w:before="0" w:line="240" w:lineRule="auto"/>
        <w:ind w:firstLine="709" w:left="0" w:right="0"/>
        <w:contextualSpacing w:val="1"/>
        <w:jc w:val="both"/>
        <w:rPr>
          <w:rFonts w:ascii="Times New Roman" w:hAnsi="Times New Roman"/>
        </w:rPr>
      </w:pPr>
      <w:r>
        <w:rPr>
          <w:color w:val="000000"/>
          <w:sz w:val="24"/>
        </w:rPr>
        <w:t xml:space="preserve">– </w:t>
      </w:r>
      <w:r>
        <w:rPr>
          <w:color w:val="000000"/>
          <w:sz w:val="24"/>
        </w:rPr>
        <w:t>строительство КНС «Торговый порт» производительностью 150 м</w:t>
      </w:r>
      <w:r>
        <w:rPr>
          <w:caps w:val="1"/>
          <w:color w:val="000000"/>
          <w:sz w:val="24"/>
          <w:vertAlign w:val="superscript"/>
        </w:rPr>
        <w:t>3</w:t>
      </w:r>
      <w:r>
        <w:rPr>
          <w:color w:val="000000"/>
          <w:sz w:val="24"/>
        </w:rPr>
        <w:t>/сут, строительство напорных коллекторов от КНС «Торговый порт» до КНС «Рыбный порт»;</w:t>
      </w:r>
    </w:p>
    <w:p w14:paraId="DA000000">
      <w:pPr>
        <w:pStyle w:val="Style_2"/>
        <w:tabs>
          <w:tab w:leader="none" w:pos="708" w:val="clear"/>
          <w:tab w:leader="none" w:pos="3288" w:val="left"/>
        </w:tabs>
        <w:spacing w:after="0" w:before="0" w:line="240" w:lineRule="auto"/>
        <w:ind w:firstLine="709" w:left="0" w:right="0"/>
        <w:contextualSpacing w:val="1"/>
        <w:jc w:val="both"/>
        <w:rPr>
          <w:rFonts w:ascii="Times New Roman" w:hAnsi="Times New Roman"/>
        </w:rPr>
      </w:pPr>
      <w:r>
        <w:rPr>
          <w:color w:val="000000"/>
          <w:sz w:val="24"/>
        </w:rPr>
        <w:t xml:space="preserve">– </w:t>
      </w:r>
      <w:r>
        <w:rPr>
          <w:color w:val="000000"/>
          <w:sz w:val="24"/>
        </w:rPr>
        <w:t>строительство КНС «Рыбный порт» производительностью 600 м</w:t>
      </w:r>
      <w:r>
        <w:rPr>
          <w:caps w:val="1"/>
          <w:color w:val="000000"/>
          <w:sz w:val="24"/>
          <w:vertAlign w:val="superscript"/>
        </w:rPr>
        <w:t>3</w:t>
      </w:r>
      <w:r>
        <w:rPr>
          <w:color w:val="000000"/>
          <w:sz w:val="24"/>
        </w:rPr>
        <w:t>/сут. строительство напорных коллекторов от КНС «Рыбный порт» до КНС «Драмтеатр» (разработка проектной документации);</w:t>
      </w:r>
    </w:p>
    <w:p w14:paraId="DB000000">
      <w:pPr>
        <w:pStyle w:val="Style_2"/>
        <w:tabs>
          <w:tab w:leader="none" w:pos="708" w:val="clear"/>
          <w:tab w:leader="none" w:pos="3288" w:val="left"/>
        </w:tabs>
        <w:spacing w:after="0" w:before="0" w:line="240" w:lineRule="auto"/>
        <w:ind w:firstLine="709" w:left="0" w:right="0"/>
        <w:contextualSpacing w:val="1"/>
        <w:jc w:val="both"/>
        <w:rPr>
          <w:rFonts w:ascii="Times New Roman" w:hAnsi="Times New Roman"/>
        </w:rPr>
      </w:pPr>
      <w:r>
        <w:rPr>
          <w:color w:val="000000"/>
          <w:sz w:val="24"/>
        </w:rPr>
        <w:t xml:space="preserve">– </w:t>
      </w:r>
      <w:r>
        <w:rPr>
          <w:color w:val="000000"/>
          <w:sz w:val="24"/>
        </w:rPr>
        <w:t>строительство КНС «Драмтеатр» производительностью 1000 м</w:t>
      </w:r>
      <w:r>
        <w:rPr>
          <w:caps w:val="1"/>
          <w:color w:val="000000"/>
          <w:sz w:val="24"/>
          <w:vertAlign w:val="superscript"/>
        </w:rPr>
        <w:t>3</w:t>
      </w:r>
      <w:r>
        <w:rPr>
          <w:color w:val="000000"/>
          <w:sz w:val="24"/>
        </w:rPr>
        <w:t>/сут. Строительство мостового перехода через протоку, соединяющую оз. Култучное и Авачинскую губу» (в том числе проектные работы);</w:t>
      </w:r>
    </w:p>
    <w:p w14:paraId="DC000000">
      <w:pPr>
        <w:pStyle w:val="Style_2"/>
        <w:tabs>
          <w:tab w:leader="none" w:pos="708" w:val="clear"/>
          <w:tab w:leader="none" w:pos="3288" w:val="left"/>
        </w:tabs>
        <w:spacing w:after="0" w:before="0" w:line="240" w:lineRule="auto"/>
        <w:ind w:firstLine="709" w:left="0" w:right="0"/>
        <w:contextualSpacing w:val="1"/>
        <w:jc w:val="both"/>
        <w:rPr>
          <w:rFonts w:ascii="Times New Roman" w:hAnsi="Times New Roman"/>
        </w:rPr>
      </w:pPr>
      <w:r>
        <w:rPr>
          <w:color w:val="000000"/>
          <w:sz w:val="24"/>
        </w:rPr>
        <w:t xml:space="preserve">– </w:t>
      </w:r>
      <w:r>
        <w:rPr>
          <w:color w:val="000000"/>
          <w:sz w:val="24"/>
        </w:rPr>
        <w:t>капитальный ремонт магистрального водопровода диаметром 600 мм от площади Ленина до проектируемой камеры в районе ул. Красинцев, 1а» 1 этап;</w:t>
      </w:r>
    </w:p>
    <w:p w14:paraId="DD000000">
      <w:pPr>
        <w:pStyle w:val="Style_2"/>
        <w:tabs>
          <w:tab w:leader="none" w:pos="708" w:val="clear"/>
          <w:tab w:leader="none" w:pos="3288" w:val="left"/>
        </w:tabs>
        <w:spacing w:after="0" w:before="0" w:line="240" w:lineRule="auto"/>
        <w:ind w:firstLine="709" w:left="0" w:right="0"/>
        <w:contextualSpacing w:val="1"/>
        <w:jc w:val="both"/>
        <w:rPr>
          <w:rFonts w:ascii="Times New Roman" w:hAnsi="Times New Roman"/>
        </w:rPr>
      </w:pPr>
      <w:r>
        <w:rPr>
          <w:color w:val="000000"/>
          <w:sz w:val="24"/>
        </w:rPr>
        <w:t xml:space="preserve">– </w:t>
      </w:r>
      <w:r>
        <w:rPr>
          <w:color w:val="000000"/>
          <w:sz w:val="24"/>
        </w:rPr>
        <w:t>строительство КНС -1/1Е, со строительством сетей водоотведения по ул. Береговой, Октябрьской, Мирной (мкр. Заречный);</w:t>
      </w:r>
    </w:p>
    <w:p w14:paraId="DE000000">
      <w:pPr>
        <w:pStyle w:val="Style_2"/>
        <w:tabs>
          <w:tab w:leader="none" w:pos="708" w:val="clear"/>
          <w:tab w:leader="none" w:pos="3288" w:val="left"/>
        </w:tabs>
        <w:spacing w:after="0" w:before="0" w:line="240" w:lineRule="auto"/>
        <w:ind w:firstLine="709" w:left="0" w:right="0"/>
        <w:contextualSpacing w:val="1"/>
        <w:jc w:val="both"/>
        <w:rPr>
          <w:rFonts w:ascii="Times New Roman" w:hAnsi="Times New Roman"/>
        </w:rPr>
      </w:pPr>
      <w:r>
        <w:rPr>
          <w:color w:val="000000"/>
          <w:sz w:val="24"/>
        </w:rPr>
        <w:t xml:space="preserve">– </w:t>
      </w:r>
      <w:r>
        <w:rPr>
          <w:color w:val="000000"/>
          <w:sz w:val="24"/>
        </w:rPr>
        <w:t>строительство КНС-9Е. Строительство напорного коллектора в 2 ветки через реку Авача от КНС-9Е до КОС-29 (мкр. Заречный);</w:t>
      </w:r>
    </w:p>
    <w:p w14:paraId="DF000000">
      <w:pPr>
        <w:pStyle w:val="Style_2"/>
        <w:tabs>
          <w:tab w:leader="none" w:pos="708" w:val="clear"/>
          <w:tab w:leader="none" w:pos="3288" w:val="left"/>
        </w:tabs>
        <w:spacing w:after="0" w:before="0" w:line="240" w:lineRule="auto"/>
        <w:ind w:firstLine="709" w:left="0" w:right="0"/>
        <w:contextualSpacing w:val="1"/>
        <w:jc w:val="both"/>
        <w:rPr>
          <w:rFonts w:ascii="Times New Roman" w:hAnsi="Times New Roman"/>
        </w:rPr>
      </w:pPr>
      <w:r>
        <w:rPr>
          <w:color w:val="000000"/>
          <w:sz w:val="24"/>
        </w:rPr>
        <w:t xml:space="preserve">– </w:t>
      </w:r>
      <w:r>
        <w:rPr>
          <w:color w:val="000000"/>
          <w:sz w:val="24"/>
        </w:rPr>
        <w:t>строительство КНС «Заречная» 3500 м</w:t>
      </w:r>
      <w:r>
        <w:rPr>
          <w:caps w:val="1"/>
          <w:color w:val="000000"/>
          <w:sz w:val="24"/>
          <w:vertAlign w:val="superscript"/>
        </w:rPr>
        <w:t>3</w:t>
      </w:r>
      <w:r>
        <w:rPr>
          <w:color w:val="000000"/>
          <w:sz w:val="24"/>
        </w:rPr>
        <w:t xml:space="preserve">/сут со строительством напорных коллекторов Д-200 (мкр. Заречный). </w:t>
      </w:r>
    </w:p>
    <w:p w14:paraId="E0000000">
      <w:pPr>
        <w:pStyle w:val="Style_2"/>
        <w:tabs>
          <w:tab w:leader="none" w:pos="708" w:val="clear"/>
          <w:tab w:leader="none" w:pos="3288" w:val="left"/>
        </w:tabs>
        <w:spacing w:after="0" w:before="0" w:line="240" w:lineRule="auto"/>
        <w:ind w:firstLine="709" w:left="0" w:right="0"/>
        <w:contextualSpacing w:val="1"/>
        <w:jc w:val="both"/>
        <w:rPr>
          <w:rFonts w:ascii="Times New Roman" w:hAnsi="Times New Roman"/>
        </w:rPr>
      </w:pPr>
      <w:r>
        <w:rPr>
          <w:color w:val="000000"/>
          <w:sz w:val="24"/>
        </w:rPr>
        <w:t>2. В 2024 году запланировано завершение работ по мероприятиям</w:t>
      </w:r>
      <w:r>
        <w:rPr>
          <w:b w:val="0"/>
          <w:color w:val="000000"/>
          <w:sz w:val="24"/>
        </w:rPr>
        <w:t xml:space="preserve"> «Канализационная насосная станция № 15 в г. Петропавловске-Камчатском для муниципальных нужд Петропавловск-Камчатского городского округа, реконструкция системы водоотведения Елизовского городского поселения. 1 Этап. Реконструкция КОС-29 км, строительство сливной станции, реконструкция системы водоотведения центральной части г. Петропавловска-Камчатского. Канализационная насосная станция КНС «Мехзавод», реконструкция сетей водоснабжения с. Крутоберегово Усть-Камчатского сельского поселения Усть-Камчатского муниципального округа.</w:t>
      </w:r>
    </w:p>
    <w:p w14:paraId="E1000000">
      <w:pPr>
        <w:pStyle w:val="Style_2"/>
        <w:tabs>
          <w:tab w:leader="none" w:pos="708" w:val="clear"/>
          <w:tab w:leader="none" w:pos="3288" w:val="left"/>
        </w:tabs>
        <w:spacing w:after="0" w:before="0" w:line="240" w:lineRule="auto"/>
        <w:ind w:firstLine="709" w:left="0" w:right="0"/>
        <w:contextualSpacing w:val="1"/>
        <w:jc w:val="both"/>
        <w:rPr>
          <w:rFonts w:ascii="Times New Roman" w:hAnsi="Times New Roman"/>
        </w:rPr>
      </w:pPr>
      <w:r>
        <w:rPr>
          <w:color w:val="000000"/>
          <w:sz w:val="24"/>
        </w:rPr>
        <w:t xml:space="preserve">3. В рамках регионального проекта «Чистая вода» продолжается реализация мероприятий «Водовод с водозабором в с. Тигиль» и </w:t>
      </w:r>
      <w:r>
        <w:rPr>
          <w:b w:val="0"/>
          <w:color w:val="000000"/>
          <w:sz w:val="24"/>
        </w:rPr>
        <w:t>«Строительство системы хозяйственно-питьевого водоснабжения с. Лесная, Тигильского округа, Камчатского края»</w:t>
      </w:r>
      <w:r>
        <w:rPr>
          <w:color w:val="000000"/>
          <w:sz w:val="24"/>
        </w:rPr>
        <w:t xml:space="preserve">. Планируемым срок завершения строительно-монтажных работ по указанным мероприятиям </w:t>
      </w:r>
      <w:r>
        <w:rPr>
          <w:color w:val="000000"/>
          <w:spacing w:val="0"/>
          <w:sz w:val="24"/>
        </w:rPr>
        <w:t>– декабрь 2024 года</w:t>
      </w:r>
      <w:r>
        <w:rPr>
          <w:color w:val="000000"/>
          <w:sz w:val="24"/>
        </w:rPr>
        <w:t>.</w:t>
      </w:r>
    </w:p>
    <w:p w14:paraId="E2000000">
      <w:pPr>
        <w:pStyle w:val="Style_2"/>
        <w:widowControl w:val="0"/>
        <w:spacing w:line="240" w:lineRule="auto"/>
        <w:ind w:firstLine="709" w:left="0" w:right="0"/>
        <w:jc w:val="both"/>
        <w:rPr>
          <w:rFonts w:ascii="Times New Roman" w:hAnsi="Times New Roman"/>
        </w:rPr>
      </w:pPr>
      <w:r>
        <w:rPr>
          <w:color w:val="000000"/>
          <w:sz w:val="24"/>
        </w:rPr>
        <w:t xml:space="preserve">На территории края в 2023 году обработано 86,4 тыс. тонн твердых коммунальных отходов (далее – ТКО), что составляет 84,7% от общего объема образовавшихся ТКО, (102 тыс. т.). </w:t>
      </w:r>
    </w:p>
    <w:p w14:paraId="E3000000">
      <w:pPr>
        <w:pStyle w:val="Style_2"/>
        <w:widowControl w:val="0"/>
        <w:spacing w:line="240" w:lineRule="auto"/>
        <w:ind w:firstLine="709" w:left="0" w:right="0"/>
        <w:jc w:val="both"/>
        <w:rPr>
          <w:rFonts w:ascii="Times New Roman" w:hAnsi="Times New Roman"/>
        </w:rPr>
      </w:pPr>
      <w:r>
        <w:rPr>
          <w:color w:val="000000"/>
          <w:sz w:val="24"/>
        </w:rPr>
        <w:t>ООО «Феникс» с производственной мощностью 100 тыс. тонн в год сортирует ТКО на пластик, картон, бумагу, цветные и черные металлы, а также стекло и перерабатываются в полимерно-песчаную плитку, топливные брикеты, щепу и крафтовую бумагу.</w:t>
      </w:r>
    </w:p>
    <w:p w14:paraId="E4000000">
      <w:pPr>
        <w:pStyle w:val="Style_2"/>
        <w:widowControl w:val="0"/>
        <w:spacing w:line="240" w:lineRule="auto"/>
        <w:ind w:firstLine="709" w:left="0" w:right="0"/>
        <w:jc w:val="both"/>
        <w:rPr>
          <w:rFonts w:ascii="Times New Roman" w:hAnsi="Times New Roman"/>
        </w:rPr>
      </w:pPr>
      <w:r>
        <w:rPr>
          <w:color w:val="000000"/>
          <w:sz w:val="24"/>
        </w:rPr>
        <w:t>В п. Вулканный Елизовского муниципального района работает мусоросортировочный комплекс (ОАО «ЕМКХ») мощностью до 40 тысяч тонн ТКО в год.</w:t>
      </w:r>
    </w:p>
    <w:p w14:paraId="E5000000">
      <w:pPr>
        <w:pStyle w:val="Style_2"/>
        <w:widowControl w:val="0"/>
        <w:spacing w:line="240" w:lineRule="auto"/>
        <w:ind w:firstLine="709" w:left="0" w:right="0"/>
        <w:jc w:val="both"/>
        <w:rPr>
          <w:rFonts w:ascii="Times New Roman" w:hAnsi="Times New Roman"/>
        </w:rPr>
      </w:pPr>
      <w:r>
        <w:rPr>
          <w:color w:val="000000"/>
          <w:sz w:val="24"/>
        </w:rPr>
        <w:t>В соответствии с Актуализированной Территориальной схемой в области обращения с отходами, в том числе с ТКО в Камчатском крае ведется проектирование и строительство полигонов по захоронению ТКО и мусоросортировочных комплексов.</w:t>
      </w:r>
    </w:p>
    <w:p w14:paraId="E6000000">
      <w:pPr>
        <w:pStyle w:val="Style_2"/>
        <w:widowControl w:val="0"/>
        <w:spacing w:line="240" w:lineRule="auto"/>
        <w:ind w:firstLine="709" w:left="0" w:right="0"/>
        <w:jc w:val="both"/>
        <w:rPr>
          <w:rFonts w:ascii="Times New Roman" w:hAnsi="Times New Roman"/>
        </w:rPr>
      </w:pPr>
      <w:r>
        <w:rPr>
          <w:color w:val="000000"/>
          <w:sz w:val="24"/>
        </w:rPr>
        <w:t xml:space="preserve">В 2024 году планируется завершить этап проектирования по межмуниципальному Комплексу по обработке, утилизации, обезвреживанию и размещению отходов (Экотехнопарк) в Елизовском муниципальном районе и приступить к этапу строительства. </w:t>
      </w:r>
    </w:p>
    <w:p w14:paraId="E7000000">
      <w:pPr>
        <w:pStyle w:val="Style_2"/>
        <w:widowControl w:val="0"/>
        <w:spacing w:line="240" w:lineRule="auto"/>
        <w:ind w:firstLine="709" w:left="0" w:right="0"/>
        <w:jc w:val="both"/>
        <w:rPr>
          <w:rFonts w:ascii="Times New Roman" w:hAnsi="Times New Roman"/>
        </w:rPr>
      </w:pPr>
      <w:r>
        <w:rPr>
          <w:sz w:val="24"/>
        </w:rPr>
        <w:t>На территории городского округа «поселок Палана» и сельского поселения «поселок Оссора» в рамках ранее заключенных муниципальных контрактов продолжается проектирование объектов размещения отходов, включая обработку и обезвреживание ТКО.</w:t>
      </w:r>
    </w:p>
    <w:p w14:paraId="E8000000">
      <w:pPr>
        <w:pStyle w:val="Style_2"/>
        <w:widowControl w:val="0"/>
        <w:spacing w:line="240" w:lineRule="auto"/>
        <w:ind w:firstLine="709" w:left="0" w:right="0"/>
        <w:jc w:val="both"/>
        <w:rPr>
          <w:rFonts w:ascii="Times New Roman" w:hAnsi="Times New Roman"/>
        </w:rPr>
      </w:pPr>
      <w:r>
        <w:rPr>
          <w:color w:val="000000"/>
          <w:sz w:val="24"/>
        </w:rPr>
        <w:t>Строительство полигонов ТКО и реализация инвестиционных проектов по запуску мусоросортировочных комплексов позволит создать эффективную систему обращения с отходами производства и потребления с вовлечением отходов в повторный хозяйственный оборот, увеличит объем оказываемых услуг по обращению с твердыми коммунальными отходами, улучшит состояние окружающей среды и здоровье населения.</w:t>
      </w:r>
    </w:p>
    <w:p w14:paraId="E9000000">
      <w:pPr>
        <w:pStyle w:val="Style_2"/>
        <w:widowControl w:val="0"/>
        <w:spacing w:line="240" w:lineRule="auto"/>
        <w:ind w:firstLine="709" w:left="0" w:right="0"/>
        <w:jc w:val="both"/>
        <w:rPr>
          <w:rFonts w:ascii="Times New Roman" w:hAnsi="Times New Roman"/>
        </w:rPr>
      </w:pPr>
      <w:r>
        <w:rPr>
          <w:color w:val="000000"/>
          <w:sz w:val="24"/>
        </w:rPr>
        <w:t>Крупные предприятия отрасли: КГУП «Камчатский водоканал», ООО «Водоканал-Сервис», ГУП Камчатского края «Спецтранс», АО «Камчатэнергосервис».</w:t>
      </w:r>
    </w:p>
    <w:p w14:paraId="EA000000">
      <w:pPr>
        <w:pStyle w:val="Style_2"/>
        <w:widowControl w:val="0"/>
        <w:spacing w:line="240" w:lineRule="auto"/>
        <w:ind w:firstLine="709" w:left="0" w:right="0"/>
        <w:jc w:val="both"/>
        <w:rPr>
          <w:rFonts w:ascii="Times New Roman" w:hAnsi="Times New Roman"/>
        </w:rPr>
      </w:pPr>
      <w:r>
        <w:rPr>
          <w:color w:val="000000"/>
          <w:sz w:val="24"/>
        </w:rPr>
        <w:t>Среднесписочная численность работников организаций водоснабжения, водоотведения, организации сбора и утилизации отходов, деятельности по ликвидации загрязнений в 2023 году составила 1 885 человек (103,5% к показателю 2022 года). Среднемесячная номинальная начисленная заработная плата работников в 2023 году – 85,4 тыс. руб. (110,9% к показателю 2022 года).</w:t>
      </w:r>
    </w:p>
    <w:p w14:paraId="EB000000">
      <w:pPr>
        <w:pStyle w:val="Style_2"/>
        <w:widowControl w:val="0"/>
        <w:spacing w:line="240" w:lineRule="auto"/>
        <w:ind w:firstLine="709" w:left="0" w:right="0"/>
        <w:jc w:val="both"/>
        <w:rPr>
          <w:rFonts w:ascii="Times New Roman" w:hAnsi="Times New Roman"/>
        </w:rPr>
      </w:pPr>
      <w:r>
        <w:rPr>
          <w:color w:val="000000"/>
          <w:sz w:val="24"/>
        </w:rPr>
        <w:t>По базовому варианту прогноза объем отгруженной продукции прогнозируется в 2024 году в размере 4 477,6 млн руб., в 2025 году – 4 982,2 млн руб., в 2026 году – 5 295,5 млн руб., в 2027 году – 5 634,1 млн руб. Индекс производства прогнозируется в 2024 году – 102,8%, в 2025 – 103,7%, в 2026 году – 102,3%, в 2027 году – 102,4%. Рост в прогнозном периоде будет обеспечен развитием производства по сбору, обработке и утилизации отходов за счет строительства полигонов ТКО и наращивания потенциала мусоросортировочных комплексов, реализацией проекта по строительству и запуску «Экотехнопарка». В водоснабжении и водоотведении положительная динамика в прогнозном периоде ожидается по виду деятельности «сбор и обработка сточных вод» в связи с реализацией ряда проектов по строительству очистных сооружений. В прогнозном периоде продолжится плановая реализация мероприятий по реконструкции и модернизации действующей системы водоснабжения, а также строительство современной системы водохозяйственного комплекса.</w:t>
      </w:r>
    </w:p>
    <w:p w14:paraId="EC000000">
      <w:pPr>
        <w:pStyle w:val="Style_2"/>
        <w:widowControl w:val="0"/>
        <w:spacing w:line="240" w:lineRule="auto"/>
        <w:ind w:firstLine="709" w:left="0" w:right="0"/>
        <w:jc w:val="both"/>
        <w:rPr>
          <w:rFonts w:ascii="Times New Roman" w:hAnsi="Times New Roman"/>
          <w:color w:val="632523"/>
          <w:sz w:val="24"/>
        </w:rPr>
      </w:pPr>
    </w:p>
    <w:p w14:paraId="ED000000">
      <w:pPr>
        <w:pStyle w:val="Style_2"/>
        <w:spacing w:line="240" w:lineRule="auto"/>
        <w:ind/>
        <w:rPr>
          <w:rFonts w:ascii="Times New Roman" w:hAnsi="Times New Roman"/>
          <w:color w:val="000000"/>
        </w:rPr>
      </w:pPr>
      <w:r>
        <w:rPr>
          <w:b w:val="1"/>
          <w:color w:val="000000"/>
        </w:rPr>
        <w:t xml:space="preserve">3. Инвестиции </w:t>
      </w:r>
    </w:p>
    <w:p w14:paraId="EE000000">
      <w:pPr>
        <w:pStyle w:val="Style_2"/>
        <w:widowControl w:val="0"/>
        <w:spacing w:after="0" w:before="0" w:line="240" w:lineRule="auto"/>
        <w:ind w:firstLine="709" w:left="0" w:right="0"/>
        <w:jc w:val="both"/>
        <w:rPr>
          <w:rFonts w:ascii="Times New Roman" w:hAnsi="Times New Roman"/>
          <w:sz w:val="24"/>
        </w:rPr>
      </w:pPr>
      <w:r>
        <w:rPr>
          <w:color w:val="000000"/>
          <w:sz w:val="24"/>
        </w:rPr>
        <w:t xml:space="preserve">В течение пяти лет инвестиции региона демонстрируют позитивную динамику. Объем капитальных вложений в ценах соответствующих лет возрос с 46,7 млрд рублей в 2019 году до 128,2 млрд рублей в 2023 году. По итогам 2023 года индекс физического объема инвестиций в основной капитал в сопоставимых ценах составил 124,1% к уровню 2022 года. Рост показателя обеспечивается, преимущественно за счет реализации инвестиционных проектов </w:t>
      </w:r>
      <w:r>
        <w:rPr>
          <w:b w:val="0"/>
          <w:i w:val="0"/>
          <w:strike w:val="0"/>
          <w:shadow w:val="0"/>
          <w:color w:val="000000"/>
          <w:sz w:val="24"/>
          <w:u w:val="none"/>
        </w:rPr>
        <w:t>в горнодобывающей промышленности, рыбоперерабатывающем комплексе, сфере транспорта, гостиничном бизнесе, сельском хозяйстве.</w:t>
      </w:r>
    </w:p>
    <w:p w14:paraId="EF000000">
      <w:pPr>
        <w:pStyle w:val="Style_2"/>
        <w:widowControl w:val="0"/>
        <w:spacing w:after="0" w:before="0" w:line="240" w:lineRule="auto"/>
        <w:ind w:firstLine="709" w:left="0"/>
        <w:jc w:val="both"/>
        <w:rPr>
          <w:sz w:val="24"/>
        </w:rPr>
      </w:pPr>
      <w:r>
        <w:rPr>
          <w:color w:val="000000"/>
          <w:sz w:val="24"/>
        </w:rPr>
        <w:t xml:space="preserve">По предварительной оценке в </w:t>
      </w:r>
      <w:r>
        <w:rPr>
          <w:color w:val="000000"/>
          <w:sz w:val="24"/>
        </w:rPr>
        <w:t>2024</w:t>
      </w:r>
      <w:r>
        <w:rPr>
          <w:color w:val="000000"/>
          <w:sz w:val="24"/>
        </w:rPr>
        <w:t xml:space="preserve"> году ожидается незначительное снижение инвестиционной активности организаций </w:t>
      </w:r>
      <w:r>
        <w:rPr>
          <w:color w:val="000000"/>
          <w:sz w:val="24"/>
        </w:rPr>
        <w:t>относительно высокой базы 2023 года</w:t>
      </w:r>
      <w:r>
        <w:rPr>
          <w:color w:val="000000"/>
          <w:sz w:val="24"/>
        </w:rPr>
        <w:t>. П</w:t>
      </w:r>
      <w:r>
        <w:rPr>
          <w:color w:val="000000"/>
          <w:sz w:val="24"/>
        </w:rPr>
        <w:t>рирост инвестиций в период 2025</w:t>
      </w:r>
      <w:r>
        <w:rPr>
          <w:rFonts w:ascii="Times New Roman" w:hAnsi="Times New Roman"/>
          <w:color w:val="000000"/>
          <w:sz w:val="24"/>
        </w:rPr>
        <w:t>–2027 годов</w:t>
      </w:r>
      <w:r>
        <w:rPr>
          <w:color w:val="000000"/>
          <w:sz w:val="24"/>
        </w:rPr>
        <w:t xml:space="preserve"> согласно базовому варианту прогноза составит</w:t>
      </w:r>
      <w:r>
        <w:rPr>
          <w:color w:val="000000"/>
          <w:sz w:val="24"/>
        </w:rPr>
        <w:t xml:space="preserve"> </w:t>
      </w:r>
      <w:r>
        <w:rPr>
          <w:color w:val="000000"/>
          <w:sz w:val="24"/>
        </w:rPr>
        <w:t xml:space="preserve">11%. </w:t>
      </w:r>
    </w:p>
    <w:p w14:paraId="F0000000">
      <w:pPr>
        <w:pStyle w:val="Style_2"/>
        <w:spacing w:line="240" w:lineRule="auto"/>
        <w:ind w:firstLine="709" w:left="0" w:right="0"/>
        <w:jc w:val="both"/>
        <w:rPr>
          <w:rFonts w:ascii="Times New Roman" w:hAnsi="Times New Roman"/>
          <w:sz w:val="24"/>
        </w:rPr>
      </w:pPr>
      <w:r>
        <w:rPr>
          <w:color w:val="000000"/>
          <w:sz w:val="24"/>
        </w:rPr>
        <w:t xml:space="preserve">Существенный вклад в общий объем инвестиций в основной капитал будет обеспечиваться частными инвестиционными проектами в сфере туризма, транспорта, логистики, </w:t>
      </w:r>
      <w:r>
        <w:rPr>
          <w:color w:val="000000"/>
          <w:sz w:val="24"/>
        </w:rPr>
        <w:t xml:space="preserve">горнорудной промышленности, сельского хозяйства. Динамика инвестиций в основной капитал в сценариях развития определяется реализацией ряда крупных внебюджетных инвестиционных проектов: </w:t>
      </w:r>
    </w:p>
    <w:p w14:paraId="F1000000">
      <w:pPr>
        <w:pStyle w:val="Style_2"/>
        <w:spacing w:line="240" w:lineRule="auto"/>
        <w:ind w:firstLine="709" w:left="0" w:right="0"/>
        <w:jc w:val="both"/>
        <w:rPr>
          <w:rFonts w:ascii="Times New Roman" w:hAnsi="Times New Roman"/>
          <w:sz w:val="24"/>
        </w:rPr>
      </w:pPr>
      <w:r>
        <w:rPr>
          <w:color w:val="000000"/>
          <w:sz w:val="24"/>
        </w:rPr>
        <w:t xml:space="preserve">– </w:t>
      </w:r>
      <w:r>
        <w:rPr>
          <w:color w:val="000000"/>
          <w:sz w:val="24"/>
        </w:rPr>
        <w:t>создание туристского комплекса «Парк «Три вулкана»;</w:t>
      </w:r>
    </w:p>
    <w:p w14:paraId="F2000000">
      <w:pPr>
        <w:pStyle w:val="Style_2"/>
        <w:spacing w:line="240" w:lineRule="auto"/>
        <w:ind w:firstLine="709" w:left="0" w:right="0"/>
        <w:jc w:val="both"/>
        <w:rPr>
          <w:rFonts w:ascii="Times New Roman" w:hAnsi="Times New Roman"/>
          <w:sz w:val="24"/>
        </w:rPr>
      </w:pPr>
      <w:r>
        <w:rPr>
          <w:color w:val="000000"/>
          <w:sz w:val="24"/>
        </w:rPr>
        <w:t xml:space="preserve">– </w:t>
      </w:r>
      <w:r>
        <w:rPr>
          <w:color w:val="000000"/>
          <w:sz w:val="24"/>
        </w:rPr>
        <w:t>строительство ГОК на месторождении Кумроч;</w:t>
      </w:r>
    </w:p>
    <w:p w14:paraId="F3000000">
      <w:pPr>
        <w:pStyle w:val="Style_2"/>
        <w:tabs>
          <w:tab w:leader="none" w:pos="708" w:val="clear"/>
          <w:tab w:leader="none" w:pos="992" w:val="left"/>
        </w:tabs>
        <w:spacing w:line="240" w:lineRule="auto"/>
        <w:ind w:firstLine="709" w:left="0" w:right="0"/>
        <w:jc w:val="both"/>
        <w:rPr>
          <w:rFonts w:ascii="Times New Roman" w:hAnsi="Times New Roman"/>
          <w:sz w:val="24"/>
        </w:rPr>
      </w:pPr>
      <w:r>
        <w:rPr>
          <w:color w:val="000000"/>
          <w:sz w:val="24"/>
        </w:rPr>
        <w:t xml:space="preserve">– </w:t>
      </w:r>
      <w:r>
        <w:rPr>
          <w:color w:val="000000"/>
          <w:sz w:val="24"/>
        </w:rPr>
        <w:t>создание ГОК на базе месторождений АО «Камчатское золото»;</w:t>
      </w:r>
    </w:p>
    <w:p w14:paraId="F4000000">
      <w:pPr>
        <w:pStyle w:val="Style_2"/>
        <w:tabs>
          <w:tab w:leader="none" w:pos="708" w:val="clear"/>
          <w:tab w:leader="none" w:pos="992" w:val="left"/>
        </w:tabs>
        <w:spacing w:line="240" w:lineRule="auto"/>
        <w:ind w:firstLine="709" w:left="0" w:right="0"/>
        <w:jc w:val="both"/>
        <w:rPr>
          <w:rFonts w:ascii="Times New Roman" w:hAnsi="Times New Roman"/>
          <w:sz w:val="24"/>
        </w:rPr>
      </w:pPr>
      <w:r>
        <w:rPr>
          <w:color w:val="000000"/>
          <w:sz w:val="24"/>
        </w:rPr>
        <w:t xml:space="preserve">– </w:t>
      </w:r>
      <w:r>
        <w:rPr>
          <w:color w:val="000000"/>
          <w:sz w:val="24"/>
        </w:rPr>
        <w:t>строительство горнодобывающего предприятия на базе участка Асачинского месторождения (25 Жила);</w:t>
      </w:r>
    </w:p>
    <w:p w14:paraId="F5000000">
      <w:pPr>
        <w:pStyle w:val="Style_2"/>
        <w:tabs>
          <w:tab w:leader="none" w:pos="708" w:val="clear"/>
          <w:tab w:leader="none" w:pos="992" w:val="left"/>
        </w:tabs>
        <w:spacing w:line="240" w:lineRule="auto"/>
        <w:ind w:firstLine="709" w:left="0" w:right="0"/>
        <w:jc w:val="both"/>
        <w:rPr>
          <w:rFonts w:ascii="Times New Roman" w:hAnsi="Times New Roman"/>
          <w:sz w:val="24"/>
        </w:rPr>
      </w:pPr>
      <w:r>
        <w:rPr>
          <w:color w:val="000000"/>
          <w:sz w:val="24"/>
        </w:rPr>
        <w:t xml:space="preserve">– </w:t>
      </w:r>
      <w:r>
        <w:rPr>
          <w:color w:val="000000"/>
          <w:sz w:val="24"/>
        </w:rPr>
        <w:t>строительство подземного рудника и модернизации ГОК на базе месторождения Аметистовое;</w:t>
      </w:r>
    </w:p>
    <w:p w14:paraId="F6000000">
      <w:pPr>
        <w:pStyle w:val="Style_2"/>
        <w:tabs>
          <w:tab w:leader="none" w:pos="708" w:val="clear"/>
          <w:tab w:leader="none" w:pos="992" w:val="left"/>
        </w:tabs>
        <w:spacing w:line="240" w:lineRule="auto"/>
        <w:ind w:firstLine="709" w:left="0" w:right="0"/>
        <w:jc w:val="both"/>
        <w:rPr>
          <w:rFonts w:ascii="Times New Roman" w:hAnsi="Times New Roman"/>
          <w:sz w:val="24"/>
        </w:rPr>
      </w:pPr>
      <w:r>
        <w:rPr>
          <w:color w:val="000000"/>
          <w:sz w:val="24"/>
        </w:rPr>
        <w:t xml:space="preserve">– </w:t>
      </w:r>
      <w:r>
        <w:rPr>
          <w:color w:val="000000"/>
          <w:sz w:val="24"/>
        </w:rPr>
        <w:t>строительство тепличного комплекса «Камчатский» площадью 3,6 га для выращивания овощной продукции защищенного грунта на территории Камчатского края;</w:t>
      </w:r>
    </w:p>
    <w:p w14:paraId="F7000000">
      <w:pPr>
        <w:pStyle w:val="Style_2"/>
        <w:spacing w:line="240" w:lineRule="auto"/>
        <w:ind w:firstLine="709" w:left="0" w:right="0"/>
        <w:jc w:val="both"/>
        <w:rPr>
          <w:rFonts w:ascii="Times New Roman" w:hAnsi="Times New Roman"/>
          <w:sz w:val="24"/>
        </w:rPr>
      </w:pPr>
      <w:r>
        <w:rPr>
          <w:color w:val="000000"/>
          <w:sz w:val="24"/>
        </w:rPr>
        <w:t>–</w:t>
      </w:r>
      <w:r>
        <w:rPr>
          <w:color w:val="000000"/>
          <w:sz w:val="24"/>
        </w:rPr>
        <w:t xml:space="preserve"> </w:t>
      </w:r>
      <w:r>
        <w:rPr>
          <w:color w:val="000000"/>
          <w:sz w:val="24"/>
        </w:rPr>
        <w:t>строительство рефрижераторного терминала, терминала по обработке навалочных, генеральных грузов и пассажирского терминала для организации водного туризма;</w:t>
      </w:r>
    </w:p>
    <w:p w14:paraId="F8000000">
      <w:pPr>
        <w:pStyle w:val="Style_2"/>
        <w:tabs>
          <w:tab w:leader="none" w:pos="708" w:val="clear"/>
          <w:tab w:leader="none" w:pos="992" w:val="left"/>
        </w:tabs>
        <w:spacing w:line="240" w:lineRule="auto"/>
        <w:ind w:firstLine="709" w:left="0" w:right="0"/>
        <w:jc w:val="both"/>
        <w:rPr>
          <w:rFonts w:ascii="Times New Roman" w:hAnsi="Times New Roman"/>
          <w:sz w:val="24"/>
        </w:rPr>
      </w:pPr>
      <w:r>
        <w:rPr>
          <w:color w:val="000000"/>
          <w:sz w:val="24"/>
        </w:rPr>
        <w:t xml:space="preserve">– </w:t>
      </w:r>
      <w:r>
        <w:rPr>
          <w:color w:val="000000"/>
          <w:sz w:val="24"/>
        </w:rPr>
        <w:t>строительство туристического гостинично-развлекательного комплекса «Хонка Камчатка»;</w:t>
      </w:r>
    </w:p>
    <w:p w14:paraId="F9000000">
      <w:pPr>
        <w:pStyle w:val="Style_2"/>
        <w:tabs>
          <w:tab w:leader="none" w:pos="708" w:val="clear"/>
          <w:tab w:leader="none" w:pos="992" w:val="left"/>
        </w:tabs>
        <w:spacing w:line="240" w:lineRule="auto"/>
        <w:ind w:firstLine="709" w:left="0" w:right="0"/>
        <w:jc w:val="both"/>
        <w:rPr>
          <w:rFonts w:ascii="Times New Roman" w:hAnsi="Times New Roman"/>
          <w:sz w:val="24"/>
        </w:rPr>
      </w:pPr>
      <w:r>
        <w:rPr>
          <w:color w:val="000000"/>
          <w:sz w:val="24"/>
        </w:rPr>
        <w:t xml:space="preserve">– </w:t>
      </w:r>
      <w:r>
        <w:rPr>
          <w:color w:val="000000"/>
          <w:sz w:val="24"/>
        </w:rPr>
        <w:t>строительство рыбоперерабатывающего комплекса по глубокой переработке рыбной продукции;</w:t>
      </w:r>
    </w:p>
    <w:p w14:paraId="FA000000">
      <w:pPr>
        <w:pStyle w:val="Style_2"/>
        <w:tabs>
          <w:tab w:leader="none" w:pos="708" w:val="clear"/>
          <w:tab w:leader="none" w:pos="992" w:val="left"/>
        </w:tabs>
        <w:spacing w:line="240" w:lineRule="auto"/>
        <w:ind w:firstLine="709" w:left="0" w:right="0"/>
        <w:jc w:val="both"/>
        <w:rPr>
          <w:rFonts w:ascii="Times New Roman" w:hAnsi="Times New Roman"/>
          <w:sz w:val="24"/>
        </w:rPr>
      </w:pPr>
      <w:r>
        <w:rPr>
          <w:color w:val="000000"/>
          <w:sz w:val="24"/>
        </w:rPr>
        <w:t xml:space="preserve">– </w:t>
      </w:r>
      <w:r>
        <w:rPr>
          <w:color w:val="000000"/>
          <w:sz w:val="24"/>
        </w:rPr>
        <w:t>развитие рекреационной зоны на территории Рыбного порта в г. Петропавловске-Камчатском.</w:t>
      </w:r>
    </w:p>
    <w:p w14:paraId="FB000000">
      <w:pPr>
        <w:pStyle w:val="Style_2"/>
        <w:widowControl w:val="0"/>
        <w:spacing w:line="240" w:lineRule="auto"/>
        <w:ind w:firstLine="709" w:left="0" w:right="0"/>
        <w:jc w:val="both"/>
        <w:rPr>
          <w:rFonts w:ascii="Times New Roman" w:hAnsi="Times New Roman"/>
          <w:sz w:val="24"/>
        </w:rPr>
      </w:pPr>
      <w:r>
        <w:rPr>
          <w:color w:val="000000"/>
          <w:sz w:val="24"/>
        </w:rPr>
        <w:t>Резидентами ТОР «Камчатка» заключено 151 соглашение об осуществлении деятельности в целях реализации инвестиционных проектов на общую сумму 155,5 млрд рублей, из которых проинвестировано 71,5 млрд рублей. В рамках соглашений планировалось создание 13 247 новых рабочих мест, из которых уже создано 9 151 рабочее место.</w:t>
      </w:r>
    </w:p>
    <w:p w14:paraId="FC000000">
      <w:pPr>
        <w:pStyle w:val="Style_2"/>
        <w:spacing w:line="240" w:lineRule="auto"/>
        <w:ind w:firstLine="709" w:left="0" w:right="0"/>
        <w:jc w:val="both"/>
        <w:rPr>
          <w:rFonts w:ascii="Times New Roman" w:hAnsi="Times New Roman"/>
          <w:sz w:val="24"/>
        </w:rPr>
      </w:pPr>
      <w:r>
        <w:rPr>
          <w:color w:val="000000"/>
          <w:sz w:val="24"/>
        </w:rPr>
        <w:t>Обеспечение инвестиционных проектов резидентов ТОР «Камчатка» необходимой инженерной и транспортной инфраструктурой в среднесрочной перспективе планируется, в том числе, в рамках Плана социального развития центров экономического роста Камчатского края. Средства федерального бюджета предусматриваются на эти цели государственной программой Российской Федерации «Социально-экономичекое развитие Дальневосточного федерального округа».</w:t>
      </w:r>
    </w:p>
    <w:p w14:paraId="FD000000">
      <w:pPr>
        <w:pStyle w:val="Style_2"/>
        <w:spacing w:line="240" w:lineRule="auto"/>
        <w:ind w:firstLine="709" w:left="0" w:right="0"/>
        <w:jc w:val="both"/>
        <w:rPr>
          <w:rFonts w:ascii="Times New Roman" w:hAnsi="Times New Roman"/>
          <w:sz w:val="24"/>
        </w:rPr>
      </w:pPr>
      <w:r>
        <w:rPr>
          <w:color w:val="000000"/>
          <w:sz w:val="24"/>
        </w:rPr>
        <w:t>Резидентами Свободного порта Владивосток заключено 115 соглашений об осуществлении деятельности в целях реализации инвестиционных проектов на общую сумму 23,6 млрд рублей, из которых проинвестировано 16,7 млрд рублей. В рамках соглашений резидентами запланировано создание 2 288 новых рабочих мест, из которых уже создано 1 256 рабочих мест.</w:t>
      </w:r>
    </w:p>
    <w:p w14:paraId="FE000000">
      <w:pPr>
        <w:pStyle w:val="Style_2"/>
        <w:widowControl w:val="0"/>
        <w:spacing w:line="240" w:lineRule="auto"/>
        <w:ind w:firstLine="709" w:left="0" w:right="0"/>
        <w:jc w:val="both"/>
        <w:rPr>
          <w:rFonts w:ascii="Times New Roman" w:hAnsi="Times New Roman"/>
          <w:sz w:val="24"/>
        </w:rPr>
      </w:pPr>
      <w:r>
        <w:rPr>
          <w:b w:val="0"/>
          <w:sz w:val="24"/>
        </w:rPr>
        <w:t>В 2024 году</w:t>
      </w:r>
      <w:r>
        <w:rPr>
          <w:b w:val="1"/>
          <w:sz w:val="24"/>
        </w:rPr>
        <w:t xml:space="preserve"> </w:t>
      </w:r>
      <w:r>
        <w:rPr>
          <w:sz w:val="24"/>
        </w:rPr>
        <w:t>резидентами ТОР «Камчатка» и СПВ планируется завершение реализации значимых инвестиционных проектов:</w:t>
      </w:r>
    </w:p>
    <w:p w14:paraId="FF000000">
      <w:pPr>
        <w:pStyle w:val="Style_2"/>
        <w:widowControl w:val="0"/>
        <w:spacing w:line="240" w:lineRule="auto"/>
        <w:ind w:firstLine="709" w:left="0" w:right="0"/>
        <w:jc w:val="both"/>
        <w:rPr>
          <w:rFonts w:ascii="Times New Roman" w:hAnsi="Times New Roman"/>
          <w:sz w:val="24"/>
        </w:rPr>
      </w:pPr>
      <w:r>
        <w:rPr>
          <w:sz w:val="24"/>
        </w:rPr>
        <w:t xml:space="preserve">– </w:t>
      </w:r>
      <w:r>
        <w:rPr>
          <w:sz w:val="24"/>
        </w:rPr>
        <w:t xml:space="preserve">новый пассажирский терминал международного аэропорта Петропавловск-Камчатский (Елизово); </w:t>
      </w:r>
    </w:p>
    <w:p w14:paraId="00010000">
      <w:pPr>
        <w:pStyle w:val="Style_2"/>
        <w:widowControl w:val="0"/>
        <w:spacing w:line="240" w:lineRule="auto"/>
        <w:ind w:firstLine="709" w:left="0" w:right="0"/>
        <w:jc w:val="both"/>
        <w:rPr>
          <w:rFonts w:ascii="Times New Roman" w:hAnsi="Times New Roman"/>
          <w:sz w:val="24"/>
        </w:rPr>
      </w:pPr>
      <w:r>
        <w:rPr>
          <w:sz w:val="24"/>
        </w:rPr>
        <w:t xml:space="preserve">– </w:t>
      </w:r>
      <w:r>
        <w:rPr>
          <w:sz w:val="24"/>
        </w:rPr>
        <w:t xml:space="preserve">гостинично-деловой комплекс в г. Петропавловске-Камчатском; </w:t>
      </w:r>
    </w:p>
    <w:p w14:paraId="01010000">
      <w:pPr>
        <w:pStyle w:val="Style_2"/>
        <w:widowControl w:val="0"/>
        <w:spacing w:line="240" w:lineRule="auto"/>
        <w:ind w:firstLine="709" w:left="0" w:right="0"/>
        <w:jc w:val="both"/>
        <w:rPr>
          <w:rFonts w:ascii="Times New Roman" w:hAnsi="Times New Roman"/>
          <w:sz w:val="24"/>
        </w:rPr>
      </w:pPr>
      <w:r>
        <w:rPr>
          <w:sz w:val="24"/>
        </w:rPr>
        <w:t xml:space="preserve">– </w:t>
      </w:r>
      <w:r>
        <w:rPr>
          <w:sz w:val="24"/>
        </w:rPr>
        <w:t>морской перегрузочный комплекс сжиженного природного газа в Камчатском крае;</w:t>
      </w:r>
    </w:p>
    <w:p w14:paraId="02010000">
      <w:pPr>
        <w:pStyle w:val="Style_2"/>
        <w:widowControl w:val="0"/>
        <w:spacing w:line="240" w:lineRule="auto"/>
        <w:ind w:firstLine="709" w:left="0" w:right="0"/>
        <w:jc w:val="both"/>
        <w:rPr>
          <w:rFonts w:ascii="Times New Roman" w:hAnsi="Times New Roman"/>
          <w:sz w:val="24"/>
        </w:rPr>
      </w:pPr>
      <w:r>
        <w:rPr>
          <w:sz w:val="24"/>
        </w:rPr>
        <w:t xml:space="preserve">– </w:t>
      </w:r>
      <w:r>
        <w:rPr>
          <w:sz w:val="24"/>
        </w:rPr>
        <w:t>порт-хаб по комплексному обслуживанию рыбопромысловых судов и организации перевалки рефрижераторных и сухих контейнерных грузов.</w:t>
      </w:r>
    </w:p>
    <w:p w14:paraId="03010000">
      <w:pPr>
        <w:pStyle w:val="Style_2"/>
        <w:widowControl w:val="0"/>
        <w:spacing w:line="240" w:lineRule="auto"/>
        <w:ind/>
        <w:jc w:val="both"/>
        <w:rPr>
          <w:rFonts w:ascii="Times New Roman" w:hAnsi="Times New Roman"/>
          <w:sz w:val="24"/>
        </w:rPr>
      </w:pPr>
      <w:r>
        <w:rPr>
          <w:color w:val="000000"/>
          <w:sz w:val="24"/>
        </w:rPr>
        <w:tab/>
      </w:r>
      <w:r>
        <w:rPr>
          <w:color w:val="000000"/>
          <w:sz w:val="24"/>
        </w:rPr>
        <w:t xml:space="preserve">Консервативный вариант прогноза предусматривает сценарий ресурсных ограничений, а также ухудшение внешних факторов, влияющих на отказ инвесторов от реализации своих проектов или смещение сроков реализации проектов на более поздний срок. </w:t>
      </w:r>
    </w:p>
    <w:p w14:paraId="04010000">
      <w:pPr>
        <w:pStyle w:val="Style_2"/>
        <w:spacing w:line="240" w:lineRule="auto"/>
        <w:ind w:firstLine="709" w:left="0" w:right="0"/>
        <w:jc w:val="both"/>
        <w:rPr>
          <w:rFonts w:ascii="Times New Roman" w:hAnsi="Times New Roman"/>
          <w:sz w:val="24"/>
        </w:rPr>
      </w:pPr>
      <w:r>
        <w:rPr>
          <w:color w:val="000000"/>
          <w:sz w:val="24"/>
        </w:rPr>
        <w:t>На динамику инвестиций в основной капитал влияют сдерживающие факторы экономического роста:</w:t>
      </w:r>
    </w:p>
    <w:p w14:paraId="05010000">
      <w:pPr>
        <w:pStyle w:val="Style_2"/>
        <w:spacing w:line="240" w:lineRule="auto"/>
        <w:ind w:firstLine="709" w:left="0" w:right="0"/>
        <w:jc w:val="both"/>
        <w:rPr>
          <w:rFonts w:ascii="Times New Roman" w:hAnsi="Times New Roman"/>
          <w:sz w:val="24"/>
        </w:rPr>
      </w:pPr>
      <w:r>
        <w:rPr>
          <w:color w:val="000000"/>
          <w:sz w:val="24"/>
        </w:rPr>
        <w:t>– </w:t>
      </w:r>
      <w:r>
        <w:rPr>
          <w:color w:val="000000"/>
          <w:sz w:val="24"/>
        </w:rPr>
        <w:t>ужесточение санкционной политики в отношении Российской Федерации, приводящей к росту цен на сырьё и оборудование, проблемам с импортом критического оборудования и сложностям во взаиморасчётах между участниками инвестиционного процесса;</w:t>
      </w:r>
    </w:p>
    <w:p w14:paraId="06010000">
      <w:pPr>
        <w:pStyle w:val="Style_2"/>
        <w:spacing w:line="240" w:lineRule="auto"/>
        <w:ind w:firstLine="709" w:left="0" w:right="0"/>
        <w:jc w:val="both"/>
        <w:rPr>
          <w:rFonts w:ascii="Times New Roman" w:hAnsi="Times New Roman"/>
          <w:sz w:val="24"/>
        </w:rPr>
      </w:pPr>
      <w:r>
        <w:rPr>
          <w:color w:val="000000"/>
          <w:sz w:val="24"/>
        </w:rPr>
        <w:t>– </w:t>
      </w:r>
      <w:r>
        <w:rPr>
          <w:color w:val="000000"/>
          <w:sz w:val="24"/>
        </w:rPr>
        <w:t>удаленность региона от основных поставщиков сырья, материалов, комплектующих, влияющую на увеличение стоимости и сроков реализации проектов;</w:t>
      </w:r>
    </w:p>
    <w:p w14:paraId="07010000">
      <w:pPr>
        <w:pStyle w:val="Style_2"/>
        <w:spacing w:line="240" w:lineRule="auto"/>
        <w:ind w:firstLine="709" w:left="0" w:right="0"/>
        <w:jc w:val="both"/>
        <w:rPr>
          <w:rFonts w:ascii="Times New Roman" w:hAnsi="Times New Roman"/>
          <w:sz w:val="24"/>
        </w:rPr>
      </w:pPr>
      <w:r>
        <w:rPr>
          <w:color w:val="000000"/>
          <w:sz w:val="24"/>
        </w:rPr>
        <w:t>– </w:t>
      </w:r>
      <w:r>
        <w:rPr>
          <w:color w:val="000000"/>
          <w:sz w:val="24"/>
        </w:rPr>
        <w:t>внесение изменений в земельное законодательство в соответствии с которым у резидентов СПВ отсутствует преференция по предоставлению земельных участков в аренду без проведения торгов;</w:t>
      </w:r>
    </w:p>
    <w:p w14:paraId="08010000">
      <w:pPr>
        <w:pStyle w:val="Style_2"/>
        <w:spacing w:line="240" w:lineRule="auto"/>
        <w:ind w:firstLine="709" w:left="0" w:right="0"/>
        <w:jc w:val="both"/>
        <w:rPr>
          <w:rFonts w:ascii="Times New Roman" w:hAnsi="Times New Roman"/>
          <w:sz w:val="24"/>
        </w:rPr>
      </w:pPr>
      <w:r>
        <w:rPr>
          <w:color w:val="000000"/>
          <w:sz w:val="24"/>
        </w:rPr>
        <w:t>– </w:t>
      </w:r>
      <w:r>
        <w:rPr>
          <w:color w:val="000000"/>
          <w:sz w:val="24"/>
        </w:rPr>
        <w:t>отсутствие возможности использования новых территорий для потенциальных резидентов СПВ.</w:t>
      </w:r>
    </w:p>
    <w:p w14:paraId="09010000">
      <w:pPr>
        <w:pStyle w:val="Style_2"/>
        <w:spacing w:line="240" w:lineRule="auto"/>
        <w:ind w:firstLine="709" w:left="0" w:right="0"/>
        <w:jc w:val="both"/>
        <w:rPr>
          <w:rFonts w:ascii="Times New Roman" w:hAnsi="Times New Roman"/>
          <w:sz w:val="24"/>
        </w:rPr>
      </w:pPr>
      <w:r>
        <w:rPr>
          <w:color w:val="000000"/>
          <w:sz w:val="24"/>
        </w:rPr>
        <w:t>Значимую долю в объеме капитальных вложений по-прежнему будут составлять бюджетные инвестиции.</w:t>
      </w:r>
    </w:p>
    <w:p w14:paraId="0A010000">
      <w:pPr>
        <w:pStyle w:val="Style_2"/>
        <w:spacing w:line="240" w:lineRule="auto"/>
        <w:ind w:firstLine="709" w:left="0" w:right="0"/>
        <w:jc w:val="both"/>
        <w:rPr>
          <w:rFonts w:ascii="Times New Roman" w:hAnsi="Times New Roman"/>
          <w:sz w:val="24"/>
        </w:rPr>
      </w:pPr>
      <w:r>
        <w:rPr>
          <w:color w:val="000000"/>
          <w:sz w:val="24"/>
        </w:rPr>
        <w:t xml:space="preserve">В сфере бюджетных инвестиций в рамках государственной программы «Развитие транспортной системы в Камчатском крае» продолжается строительство автомобильной дороги общего пользования регионального значения Камчатского края «п. Термальный - туристский кластер «Три вулкана» (1-3 этапы)» с общим объемом финансирования за счет средств федерального и регионального бюджетов – 8,75 млрд рублей, </w:t>
      </w:r>
      <w:r>
        <w:rPr>
          <w:b w:val="0"/>
          <w:i w:val="0"/>
          <w:strike w:val="0"/>
          <w:shadow w:val="0"/>
          <w:color w:val="000000"/>
          <w:sz w:val="24"/>
          <w:u w:val="none"/>
        </w:rPr>
        <w:t>автомобильной дороги от поселка Заозерный до Халактырского пляжа.</w:t>
      </w:r>
    </w:p>
    <w:p w14:paraId="0B010000">
      <w:pPr>
        <w:pStyle w:val="Style_2"/>
        <w:spacing w:line="240" w:lineRule="auto"/>
        <w:ind w:firstLine="709" w:left="0" w:right="0"/>
        <w:jc w:val="both"/>
        <w:rPr>
          <w:rFonts w:ascii="Times New Roman" w:hAnsi="Times New Roman"/>
          <w:sz w:val="24"/>
        </w:rPr>
      </w:pPr>
      <w:r>
        <w:rPr>
          <w:color w:val="000000"/>
          <w:sz w:val="24"/>
        </w:rPr>
        <w:t xml:space="preserve">В рамках государственной программы «Развитие здравоохранения Камчатского края» завершается строительство </w:t>
      </w:r>
      <w:r>
        <w:rPr>
          <w:sz w:val="24"/>
        </w:rPr>
        <w:t>первого этапа Камчатской краевой больницы. В прогнозном периоде запланировано начало строительства второго этапа объекта. Программой модернизации первичного звена здравоохранения Камчатского края предусматривается строительство больниц, фельдшерско-акушерских пунктов, отделений врача общей практики, врачебных амбулаторий в районах края.</w:t>
      </w:r>
    </w:p>
    <w:p w14:paraId="0C010000">
      <w:pPr>
        <w:pStyle w:val="Style_2"/>
        <w:spacing w:line="240" w:lineRule="auto"/>
        <w:ind w:firstLine="709" w:left="0" w:right="0"/>
        <w:jc w:val="both"/>
        <w:rPr>
          <w:rFonts w:ascii="Times New Roman" w:hAnsi="Times New Roman"/>
          <w:sz w:val="24"/>
        </w:rPr>
      </w:pPr>
      <w:r>
        <w:rPr>
          <w:sz w:val="24"/>
        </w:rPr>
        <w:t>Инвестиционной программой Камчатского края предусматривается строительство важных социальных и инфраструктурных объектов: учебный корпус МБОУ «Средняя школа № 40 по ул. Вольского микрорайона «Северо-Восток» в г. Петропавловске-Камчатском,</w:t>
      </w:r>
      <w:r>
        <w:rPr>
          <w:sz w:val="24"/>
        </w:rPr>
        <w:t xml:space="preserve"> </w:t>
      </w:r>
      <w:r>
        <w:rPr>
          <w:b w:val="0"/>
          <w:i w:val="0"/>
          <w:strike w:val="0"/>
          <w:shadow w:val="0"/>
          <w:color w:val="000000"/>
          <w:sz w:val="24"/>
          <w:u w:val="none"/>
        </w:rPr>
        <w:t>у</w:t>
      </w:r>
      <w:r>
        <w:rPr>
          <w:b w:val="0"/>
          <w:i w:val="0"/>
          <w:strike w:val="0"/>
          <w:shadow w:val="0"/>
          <w:color w:val="000000"/>
          <w:sz w:val="24"/>
          <w:u w:val="none"/>
        </w:rPr>
        <w:t>чебный корпус МБОУ «Елизовская средняя школа №1 им. М.В. Ломоносова»</w:t>
      </w:r>
      <w:r>
        <w:rPr>
          <w:sz w:val="24"/>
        </w:rPr>
        <w:t xml:space="preserve">, Камчатский театр кукол, автостанция регионального значения с реконструкцией имеющихся зданий и сооружений, </w:t>
      </w:r>
      <w:r>
        <w:rPr>
          <w:b w:val="0"/>
          <w:i w:val="0"/>
          <w:strike w:val="0"/>
          <w:shadow w:val="0"/>
          <w:color w:val="000000"/>
          <w:sz w:val="24"/>
          <w:u w:val="none"/>
        </w:rPr>
        <w:t>общественный центр на площади Ленина с благоустройством прилегающей территории, межмуниципальный объект «Комплекс по обработке, утилизации, обезвреживанию и размещению отходов в Петропавловск-Камчатском городском округе» (Экотехнопарк).</w:t>
      </w:r>
    </w:p>
    <w:p w14:paraId="0D010000">
      <w:pPr>
        <w:pStyle w:val="Style_2"/>
        <w:spacing w:line="240" w:lineRule="auto"/>
        <w:ind w:firstLine="709" w:left="0" w:right="0"/>
        <w:jc w:val="both"/>
        <w:rPr>
          <w:rFonts w:ascii="Times New Roman" w:hAnsi="Times New Roman"/>
          <w:sz w:val="24"/>
        </w:rPr>
      </w:pPr>
      <w:r>
        <w:rPr>
          <w:color w:val="000000"/>
          <w:sz w:val="24"/>
        </w:rPr>
        <w:t>Более 17 млрд рублей предусмотрено на строительство регазификационного комплекса СПГ в бухте Раковая Авачинской губы.</w:t>
      </w:r>
    </w:p>
    <w:p w14:paraId="0E010000">
      <w:pPr>
        <w:pStyle w:val="Style_2"/>
        <w:widowControl w:val="0"/>
        <w:spacing w:after="0" w:before="0" w:line="240" w:lineRule="auto"/>
        <w:ind w:firstLine="709" w:left="0" w:right="0"/>
        <w:jc w:val="both"/>
        <w:rPr>
          <w:rFonts w:ascii="Times New Roman" w:hAnsi="Times New Roman"/>
          <w:sz w:val="24"/>
        </w:rPr>
      </w:pPr>
      <w:r>
        <w:rPr>
          <w:sz w:val="24"/>
        </w:rPr>
        <w:t xml:space="preserve">Реализация капиталоемких бюджетных инвестиционных проектов будет осуществляться  </w:t>
      </w:r>
      <w:r>
        <w:rPr>
          <w:color w:val="000000"/>
          <w:sz w:val="24"/>
        </w:rPr>
        <w:t>в соответствии с перечнем поручений Президента Российской Федерации по итогам совещания по вопросам долгосрочного социально-экономического развития Петропавловск-Камчатского городского округа от 07.10.2022 № Пр-1883 в рамках утвержденного распоряжением Правительства Российской Федерации от 31.01.2023 № 193-р плана комплексного</w:t>
      </w:r>
      <w:r>
        <w:rPr>
          <w:sz w:val="24"/>
        </w:rPr>
        <w:t xml:space="preserve"> </w:t>
      </w:r>
      <w:r>
        <w:rPr>
          <w:color w:val="000000"/>
          <w:sz w:val="24"/>
        </w:rPr>
        <w:t>социально-экономического развития Петропавловск-Камчатского городского округа на период до 2030 года (далее — План). В 2023–2024 годах осуществляется проектирование объектов Плана в сферах здравоохранение, образование, культура, жилищно-коммунальное хозяйство, туризм. С 2024 года запланировано начало строительства проектируемых объектов.</w:t>
      </w:r>
    </w:p>
    <w:p w14:paraId="0F010000">
      <w:pPr>
        <w:pStyle w:val="Style_2"/>
        <w:widowControl w:val="0"/>
        <w:spacing w:after="0" w:before="0" w:line="240" w:lineRule="auto"/>
        <w:ind w:firstLine="709" w:left="0" w:right="0"/>
        <w:jc w:val="both"/>
        <w:rPr>
          <w:rFonts w:ascii="Times New Roman" w:hAnsi="Times New Roman"/>
        </w:rPr>
      </w:pPr>
      <w:r>
        <w:rPr>
          <w:color w:val="000000"/>
          <w:sz w:val="24"/>
        </w:rPr>
        <w:t>Комплексное развитие территорий, определенных Планом, будет способствовать реализации инвестиционных проектов частными инвесторами. В прогнозируемом периоде сумма таких капиталовложений в рамках реализации Плана по предварительной оценке может составить более 33,5 млрд рублей.</w:t>
      </w:r>
    </w:p>
    <w:p w14:paraId="10010000">
      <w:pPr>
        <w:pStyle w:val="Style_2"/>
        <w:spacing w:line="240" w:lineRule="auto"/>
        <w:ind/>
        <w:rPr>
          <w:rFonts w:ascii="Times New Roman" w:hAnsi="Times New Roman"/>
          <w:b w:val="0"/>
          <w:color w:val="632523"/>
          <w:sz w:val="24"/>
        </w:rPr>
      </w:pPr>
    </w:p>
    <w:p w14:paraId="11010000">
      <w:pPr>
        <w:pStyle w:val="Style_2"/>
        <w:spacing w:line="240" w:lineRule="auto"/>
        <w:ind/>
        <w:rPr>
          <w:rFonts w:ascii="Times New Roman" w:hAnsi="Times New Roman"/>
          <w:color w:val="000000"/>
        </w:rPr>
      </w:pPr>
      <w:r>
        <w:rPr>
          <w:b w:val="1"/>
          <w:color w:val="000000"/>
        </w:rPr>
        <w:t>4. Строительство</w:t>
      </w:r>
    </w:p>
    <w:p w14:paraId="12010000">
      <w:pPr>
        <w:pStyle w:val="Style_2"/>
        <w:spacing w:after="0" w:before="0" w:line="240" w:lineRule="auto"/>
        <w:ind/>
        <w:contextualSpacing w:val="1"/>
        <w:jc w:val="both"/>
        <w:rPr>
          <w:rFonts w:ascii="Times New Roman" w:hAnsi="Times New Roman"/>
          <w:color w:val="000000"/>
          <w:sz w:val="24"/>
        </w:rPr>
      </w:pPr>
      <w:r>
        <w:rPr>
          <w:color w:val="000000"/>
          <w:sz w:val="24"/>
        </w:rPr>
        <w:tab/>
      </w:r>
      <w:r>
        <w:rPr>
          <w:color w:val="000000"/>
          <w:sz w:val="24"/>
        </w:rPr>
        <w:t xml:space="preserve">Строительная отрасль региона представлена </w:t>
      </w:r>
      <w:r>
        <w:rPr>
          <w:color w:val="000000"/>
          <w:sz w:val="24"/>
        </w:rPr>
        <w:t xml:space="preserve">878 строительными организациями различных форм собственности, зарегистрированными в Камчатском каре на начало 2024 года. По итогам 2023 года объем работ, выполненных по виду деятельности «Строительство», составил 38,99 млрд рублей или 88,4% к соответствующему периоду 2022 года в сопоставимых ценах. </w:t>
      </w:r>
      <w:r>
        <w:rPr>
          <w:b w:val="0"/>
          <w:i w:val="0"/>
          <w:strike w:val="0"/>
          <w:shadow w:val="0"/>
          <w:color w:val="000000"/>
          <w:sz w:val="24"/>
          <w:u w:val="none"/>
        </w:rPr>
        <w:t>C</w:t>
      </w:r>
      <w:r>
        <w:rPr>
          <w:b w:val="0"/>
          <w:i w:val="0"/>
          <w:strike w:val="0"/>
          <w:shadow w:val="0"/>
          <w:color w:val="000000"/>
          <w:sz w:val="24"/>
          <w:u w:val="none"/>
        </w:rPr>
        <w:t>нижение показателя обусловлено неравномерностью учета выполненных строительных работ, высокой базой предыдущего года (114,7% к 2021 году), а также завершением основного объема строительных работ по ряду крупных инвестиционных объектов. Факторы, способствующие значительному снижению объема работ в строительстве, отсутствовали.</w:t>
      </w:r>
    </w:p>
    <w:p w14:paraId="13010000">
      <w:pPr>
        <w:pStyle w:val="Style_2"/>
        <w:spacing w:line="240" w:lineRule="auto"/>
        <w:ind w:firstLine="709" w:left="0" w:right="0"/>
        <w:jc w:val="both"/>
        <w:rPr>
          <w:rFonts w:ascii="Times New Roman" w:hAnsi="Times New Roman"/>
          <w:color w:val="000000"/>
          <w:sz w:val="24"/>
        </w:rPr>
      </w:pPr>
      <w:r>
        <w:rPr>
          <w:color w:val="000000"/>
          <w:sz w:val="24"/>
        </w:rPr>
        <w:t>В 2023 году из объектов социальной сферы введены в эксплуатацию: общеобразовательные организации на 90 ученических мест, дошкольные общеобразовательные организации на 160 мест, организации амбулаторно-поликлинические на 85 посещений в смену, спортивные залы на 2,3 тыс. кв. метров, торгово-офисные центры 0,66 тыс. кв. метров, гостиницы на 54 места, инженерные сети 3,3 км.</w:t>
      </w:r>
    </w:p>
    <w:p w14:paraId="14010000">
      <w:pPr>
        <w:pStyle w:val="Style_2"/>
        <w:spacing w:line="240" w:lineRule="auto"/>
        <w:ind w:firstLine="709" w:left="0" w:right="0"/>
        <w:jc w:val="both"/>
        <w:rPr>
          <w:rFonts w:ascii="Times New Roman" w:hAnsi="Times New Roman"/>
          <w:color w:val="000000"/>
          <w:sz w:val="24"/>
        </w:rPr>
      </w:pPr>
      <w:r>
        <w:rPr>
          <w:color w:val="000000"/>
          <w:sz w:val="24"/>
        </w:rPr>
        <w:t>Из объектов производственного назначения в 2023 году введены в эксплуатацию: предприятия рыбообрабатывающие на 47,7 тыс. тонн, торговые предприятия на 0,6 тыс. кв. метров торговой площади, холодильники для рыбообрабатывающих производств на 14 тыс. тонн единовременного хранения, общетоварные склады площадью 6,7 тыс. кв. метров, предприятия общественного питания на 456 посадочных мест. Также введены в эксплуатацию 4 капитальных гаража, 2 автомойки, дизельные электростанции 8,1 тыс. кВт и асфальтобетонные дороги местного значения 5,5 км.</w:t>
      </w:r>
    </w:p>
    <w:p w14:paraId="15010000">
      <w:pPr>
        <w:pStyle w:val="Style_2"/>
        <w:spacing w:after="0" w:before="0" w:line="240" w:lineRule="auto"/>
        <w:ind/>
        <w:contextualSpacing w:val="1"/>
        <w:jc w:val="both"/>
        <w:rPr>
          <w:rFonts w:ascii="Times New Roman" w:hAnsi="Times New Roman"/>
          <w:color w:val="000000"/>
          <w:sz w:val="24"/>
        </w:rPr>
      </w:pPr>
      <w:r>
        <w:rPr>
          <w:color w:val="000000"/>
          <w:sz w:val="24"/>
        </w:rPr>
        <w:tab/>
      </w:r>
      <w:r>
        <w:rPr>
          <w:color w:val="000000"/>
          <w:sz w:val="24"/>
        </w:rPr>
        <w:t>В результате реализации консервативного сценария развития экономики региона среднегодовые темпы роста индекса физического объема работ по виду деятельности «Строительство» в 2025</w:t>
      </w:r>
      <w:r>
        <w:rPr>
          <w:color w:val="000000"/>
          <w:sz w:val="24"/>
        </w:rPr>
        <w:t>–</w:t>
      </w:r>
      <w:r>
        <w:rPr>
          <w:color w:val="000000"/>
          <w:sz w:val="24"/>
        </w:rPr>
        <w:t xml:space="preserve">2027 годах сложатся на уровне 101,6%, в базовом варианте </w:t>
      </w:r>
      <w:r>
        <w:rPr>
          <w:color w:val="000000"/>
          <w:sz w:val="24"/>
        </w:rPr>
        <w:t xml:space="preserve">– </w:t>
      </w:r>
      <w:r>
        <w:rPr>
          <w:color w:val="000000"/>
          <w:sz w:val="24"/>
        </w:rPr>
        <w:t xml:space="preserve">102,6%. </w:t>
      </w:r>
    </w:p>
    <w:p w14:paraId="16010000">
      <w:pPr>
        <w:pStyle w:val="Style_2"/>
        <w:spacing w:line="240" w:lineRule="auto"/>
        <w:ind w:firstLine="709" w:left="0" w:right="0"/>
        <w:jc w:val="both"/>
        <w:rPr>
          <w:rFonts w:ascii="Times New Roman" w:hAnsi="Times New Roman"/>
          <w:color w:val="000000"/>
          <w:sz w:val="24"/>
        </w:rPr>
      </w:pPr>
      <w:r>
        <w:rPr>
          <w:color w:val="000000"/>
          <w:sz w:val="24"/>
        </w:rPr>
        <w:t>В 2022</w:t>
      </w:r>
      <w:r>
        <w:rPr>
          <w:color w:val="000000"/>
          <w:sz w:val="24"/>
        </w:rPr>
        <w:t>–</w:t>
      </w:r>
      <w:r>
        <w:rPr>
          <w:color w:val="000000"/>
          <w:sz w:val="24"/>
        </w:rPr>
        <w:t>2023 годах показатель ввода в действие жилых домов продемонстрировал стабильный рост. Индекс физического объема в сфере жилищного строительства составил 112,2% и 129,1% соответственно. В 2023 году Камчатском крае введено в эксплуатацию 87 тыс. кв. метров жилья, в том числе 465 малоэтажных жилых домов, построенных индивидуальными застройщиками, общей площадью 54,4 тыс. кв. метров, 8 многоквартирных домов (459 квартир), общежитие на 42 номера и один жилой дом для семьи работника фельдшерско-акушерского пункта.</w:t>
      </w:r>
    </w:p>
    <w:p w14:paraId="17010000">
      <w:pPr>
        <w:pStyle w:val="Style_2"/>
        <w:spacing w:line="240" w:lineRule="auto"/>
        <w:ind w:firstLine="709" w:left="0" w:right="0"/>
        <w:jc w:val="both"/>
        <w:rPr>
          <w:rFonts w:ascii="Times New Roman" w:hAnsi="Times New Roman"/>
          <w:color w:val="000000"/>
          <w:sz w:val="24"/>
        </w:rPr>
      </w:pPr>
      <w:r>
        <w:rPr>
          <w:color w:val="000000"/>
          <w:sz w:val="24"/>
        </w:rPr>
        <w:t>В 2023 году, используя льготы, улучшили жилищные условия 57 молодых семей. Социальной выплатой первоначального взноса по ипотечному жилищному кредиту воспользовались 29 семей, 2 семьи реализовали свое право на социальную выплату для строительства индивидуального жилого дома.</w:t>
      </w:r>
    </w:p>
    <w:p w14:paraId="18010000">
      <w:pPr>
        <w:pStyle w:val="Style_2"/>
        <w:spacing w:after="0" w:before="0" w:line="240" w:lineRule="auto"/>
        <w:ind/>
        <w:contextualSpacing w:val="1"/>
        <w:jc w:val="both"/>
        <w:rPr>
          <w:rFonts w:ascii="Times New Roman" w:hAnsi="Times New Roman"/>
          <w:color w:val="000000"/>
          <w:sz w:val="24"/>
        </w:rPr>
      </w:pPr>
      <w:r>
        <w:rPr>
          <w:color w:val="000000"/>
          <w:sz w:val="24"/>
        </w:rPr>
        <w:tab/>
      </w:r>
      <w:r>
        <w:rPr>
          <w:color w:val="000000"/>
          <w:sz w:val="24"/>
        </w:rPr>
        <w:t>В рамках регионального проекта по переселению граждан из аварийного жилищного фонда на территории Камчатского края в 2023 году было расселено 7,89 тыс. кв. метров (301 гражданин).</w:t>
      </w:r>
    </w:p>
    <w:p w14:paraId="19010000">
      <w:pPr>
        <w:pStyle w:val="Style_2"/>
        <w:spacing w:line="240" w:lineRule="auto"/>
        <w:ind w:firstLine="709" w:left="0" w:right="0"/>
        <w:jc w:val="both"/>
        <w:rPr>
          <w:rFonts w:ascii="Times New Roman" w:hAnsi="Times New Roman"/>
          <w:color w:val="000000"/>
          <w:sz w:val="24"/>
        </w:rPr>
      </w:pPr>
      <w:r>
        <w:rPr>
          <w:color w:val="000000"/>
          <w:sz w:val="24"/>
        </w:rPr>
        <w:t xml:space="preserve">В 2024 году и прогнозном периоде ожидается наращивание объемов жилищного строительства. Росту темпов строительства жилья будет способствовать реализация инвесторами проектов комплексной застройки. </w:t>
      </w:r>
    </w:p>
    <w:p w14:paraId="1A010000">
      <w:pPr>
        <w:pStyle w:val="Style_2"/>
        <w:spacing w:line="240" w:lineRule="auto"/>
        <w:ind w:firstLine="709" w:left="0" w:right="0"/>
        <w:jc w:val="both"/>
        <w:rPr>
          <w:rFonts w:ascii="Times New Roman" w:hAnsi="Times New Roman"/>
          <w:color w:val="000000"/>
          <w:sz w:val="24"/>
        </w:rPr>
      </w:pPr>
      <w:r>
        <w:rPr>
          <w:color w:val="000000"/>
          <w:sz w:val="24"/>
        </w:rPr>
        <w:t>Так, с 2022 года ООО</w:t>
      </w:r>
      <w:r>
        <w:rPr>
          <w:b w:val="1"/>
          <w:color w:val="000000"/>
          <w:spacing w:val="0"/>
          <w:sz w:val="24"/>
          <w:highlight w:val="white"/>
        </w:rPr>
        <w:t> </w:t>
      </w:r>
      <w:r>
        <w:rPr>
          <w:b w:val="0"/>
          <w:color w:val="000000"/>
          <w:spacing w:val="0"/>
          <w:sz w:val="24"/>
          <w:highlight w:val="white"/>
        </w:rPr>
        <w:t>СЗ</w:t>
      </w:r>
      <w:r>
        <w:rPr>
          <w:b w:val="1"/>
          <w:color w:val="000000"/>
          <w:spacing w:val="0"/>
          <w:sz w:val="24"/>
          <w:highlight w:val="white"/>
        </w:rPr>
        <w:t> </w:t>
      </w:r>
      <w:r>
        <w:rPr>
          <w:b w:val="0"/>
          <w:color w:val="000000"/>
          <w:spacing w:val="0"/>
          <w:sz w:val="24"/>
          <w:highlight w:val="white"/>
        </w:rPr>
        <w:t>«Стройсистема-Маркет» реализуется инвестиционный проект по комплексной застройке нового микрорайона Чирельчик в поселке Термальный, включающий в себя объекты жилого, общественного и социального назначения, а также благоустройство и озеленение территории. Общая площадь территории жилого микрорайона составляет 40,7 га с жилищным фондом в 30 тыс. кв. метров и расчетной численностью населения 927 человек. Строительство микрорайона инвестор планирует завершить в 2028 году.</w:t>
      </w:r>
    </w:p>
    <w:p w14:paraId="1B010000">
      <w:pPr>
        <w:pStyle w:val="Style_2"/>
        <w:spacing w:line="240" w:lineRule="auto"/>
        <w:ind w:firstLine="709" w:left="0" w:right="0"/>
        <w:jc w:val="both"/>
        <w:rPr>
          <w:rFonts w:ascii="Times New Roman" w:hAnsi="Times New Roman"/>
          <w:color w:val="000000"/>
          <w:sz w:val="24"/>
        </w:rPr>
      </w:pPr>
      <w:r>
        <w:rPr>
          <w:color w:val="000000"/>
          <w:sz w:val="24"/>
        </w:rPr>
        <w:t xml:space="preserve">В 2023 году началось строительство комплекса жилых домов по ул. Тушканова в г. Петропавловске-Камчатском. В рамках инвестиционного проекта резидентом территории опережающего развития «Камчатка» предусмотрено строительство жилых домов. Согласно бизнес-плану жилищный фонд составит 136,5 тыс. кв. метров. Помимо жилых домов, проектом предусмотрено строительство парковочных стоянок и площадок для занятий спортом. Срок реализации проекта </w:t>
      </w:r>
      <w:r>
        <w:rPr>
          <w:color w:val="000000"/>
          <w:sz w:val="24"/>
        </w:rPr>
        <w:t>– 2023–2027 годы.</w:t>
      </w:r>
    </w:p>
    <w:p w14:paraId="1C010000">
      <w:pPr>
        <w:pStyle w:val="Style_2"/>
        <w:spacing w:line="240" w:lineRule="auto"/>
        <w:ind w:firstLine="709" w:left="0" w:right="0"/>
        <w:jc w:val="both"/>
        <w:rPr>
          <w:rFonts w:ascii="Times New Roman" w:hAnsi="Times New Roman"/>
          <w:color w:val="000000"/>
          <w:sz w:val="24"/>
        </w:rPr>
      </w:pPr>
      <w:r>
        <w:rPr>
          <w:color w:val="000000"/>
          <w:sz w:val="24"/>
        </w:rPr>
        <w:t>Также в 2023 году стартовала реализация крупномасштабного проекта – «Дальневосточный квартал», в рамках которого предполагается строительство микрорайона «Северный», включающего в себя многоквартирные жилые дома общей площадью 120 тыс. кв. метров, детского сада, школы и других социально значимых объектов. Первую очередь строительства многоквартирных жилых домов планируется завершить в 2025 году. Предполагается ввод в эксплуатацию около 619 квартир общей площадью жилых помещений 29 тыс. кв. метров. Около 30% построенного в данном микрорайоне жилья планируется к выкупу государственными органами для отдельных категорий граждан в рамках действующих социальных программ, 70% – будут выставлены застройщиками на первичный рынок жилья по ценам ниже рыночных.</w:t>
      </w:r>
    </w:p>
    <w:p w14:paraId="1D010000">
      <w:pPr>
        <w:pStyle w:val="Style_2"/>
        <w:spacing w:line="240" w:lineRule="auto"/>
        <w:ind w:firstLine="709" w:left="0" w:right="0"/>
        <w:jc w:val="both"/>
        <w:rPr>
          <w:rFonts w:ascii="Times New Roman" w:hAnsi="Times New Roman"/>
          <w:color w:val="000000"/>
          <w:sz w:val="24"/>
        </w:rPr>
      </w:pPr>
      <w:r>
        <w:rPr>
          <w:color w:val="000000"/>
          <w:sz w:val="24"/>
        </w:rPr>
        <w:t xml:space="preserve">В рамках государственной программы Камчатского края «Обеспечение доступным и комфортным жильем жителей Камчатского края» в 2024 году завершается строительство комплекса из пяти многоквартирных домов в жилом районе Приморский города Вилючинска Камчатского края. Жилой комплекс общей площадью </w:t>
      </w:r>
      <w:r>
        <w:rPr>
          <w:b w:val="0"/>
          <w:i w:val="0"/>
          <w:strike w:val="0"/>
          <w:shadow w:val="0"/>
          <w:color w:val="000000"/>
          <w:sz w:val="24"/>
          <w:u w:val="none"/>
        </w:rPr>
        <w:t xml:space="preserve">14,2 тыс. кв. метров </w:t>
      </w:r>
      <w:r>
        <w:rPr>
          <w:color w:val="000000"/>
          <w:sz w:val="24"/>
        </w:rPr>
        <w:t xml:space="preserve">возводится за счет бюджетных средств и рассчитан на </w:t>
      </w:r>
      <w:r>
        <w:rPr>
          <w:b w:val="0"/>
          <w:i w:val="0"/>
          <w:strike w:val="0"/>
          <w:shadow w:val="0"/>
          <w:color w:val="000000"/>
          <w:sz w:val="24"/>
          <w:u w:val="none"/>
        </w:rPr>
        <w:t xml:space="preserve">270 </w:t>
      </w:r>
      <w:r>
        <w:rPr>
          <w:b w:val="0"/>
          <w:i w:val="0"/>
          <w:strike w:val="0"/>
          <w:shadow w:val="0"/>
          <w:color w:val="000000"/>
          <w:sz w:val="24"/>
          <w:u w:val="none"/>
        </w:rPr>
        <w:t>квартир.</w:t>
      </w:r>
    </w:p>
    <w:p w14:paraId="1E010000">
      <w:pPr>
        <w:pStyle w:val="Style_2"/>
        <w:spacing w:after="0" w:before="0" w:line="240" w:lineRule="auto"/>
        <w:ind/>
        <w:contextualSpacing w:val="1"/>
        <w:jc w:val="both"/>
        <w:rPr>
          <w:rFonts w:ascii="Times New Roman" w:hAnsi="Times New Roman"/>
          <w:color w:val="000000"/>
          <w:sz w:val="24"/>
        </w:rPr>
      </w:pPr>
      <w:r>
        <w:rPr>
          <w:color w:val="000000"/>
          <w:sz w:val="24"/>
        </w:rPr>
        <w:tab/>
      </w:r>
      <w:r>
        <w:rPr>
          <w:color w:val="000000"/>
          <w:sz w:val="24"/>
        </w:rPr>
        <w:t>Ввод жилья в 2024 году с учетом жилых домов, построенных населением за счет собственных и заемных средств, оценивается в 91 тыс. кв. метров. К 2027 году в базовом варианте прогноза ожидается ввод в действие жилых домов общей площадью 138,6 тыс. кв. метров. Консервативный вариант прогноза учитывает риски, связанные с ограничениями на рынке труда, дефицитом строительных мощностей, а также удаленностью региона от основных поставщиков сырья, материалов, комплектующих, влияющей на увеличение стоимости и сроков реализации проектов.</w:t>
      </w:r>
    </w:p>
    <w:p w14:paraId="1F010000">
      <w:pPr>
        <w:pStyle w:val="Style_2"/>
        <w:spacing w:line="240" w:lineRule="auto"/>
        <w:ind w:firstLine="709" w:left="0" w:right="0"/>
        <w:jc w:val="both"/>
        <w:rPr>
          <w:rFonts w:ascii="Times New Roman" w:hAnsi="Times New Roman"/>
          <w:color w:val="632523"/>
        </w:rPr>
      </w:pPr>
    </w:p>
    <w:p w14:paraId="20010000">
      <w:pPr>
        <w:pStyle w:val="Style_2"/>
        <w:spacing w:line="240" w:lineRule="auto"/>
        <w:ind/>
        <w:jc w:val="both"/>
        <w:rPr>
          <w:rFonts w:ascii="Times New Roman" w:hAnsi="Times New Roman"/>
        </w:rPr>
      </w:pPr>
      <w:r>
        <w:rPr>
          <w:b w:val="1"/>
          <w:color w:val="000000"/>
        </w:rPr>
        <w:t>5. Внешнеэкономическая деятельность</w:t>
      </w:r>
    </w:p>
    <w:p w14:paraId="21010000">
      <w:pPr>
        <w:pStyle w:val="Style_2"/>
        <w:spacing w:line="240" w:lineRule="auto"/>
        <w:ind w:firstLine="708" w:left="0" w:right="0"/>
        <w:jc w:val="both"/>
        <w:rPr>
          <w:rFonts w:ascii="Times New Roman" w:hAnsi="Times New Roman"/>
        </w:rPr>
      </w:pPr>
      <w:r>
        <w:rPr>
          <w:sz w:val="24"/>
        </w:rPr>
        <w:t>Ввиду санкционной политики в отношении Российской Федерации и в соответствии с поручением первого заместителя Председателя Правительства Российской Федерации А.Р. Белоусова статистические данные об объемах экспортно-импортных операций с февраля 2022 года не публикуется.</w:t>
      </w:r>
    </w:p>
    <w:p w14:paraId="22010000">
      <w:pPr>
        <w:pStyle w:val="Style_2"/>
        <w:spacing w:line="240" w:lineRule="auto"/>
        <w:ind w:firstLine="708" w:left="0" w:right="0"/>
        <w:jc w:val="both"/>
        <w:rPr>
          <w:rFonts w:ascii="Times New Roman" w:hAnsi="Times New Roman"/>
        </w:rPr>
      </w:pPr>
      <w:r>
        <w:t>По прогнозной оценке, внешнеторговый оборот (без учета услуг) в 2024 году составит 1 578,5 млн долларов США. Объем экспорта товаров оценивается в размере 1 405,5 млн долларов США, объем импорта товаров – 173,0 млн долларов США.</w:t>
      </w:r>
    </w:p>
    <w:p w14:paraId="23010000">
      <w:pPr>
        <w:pStyle w:val="Style_2"/>
        <w:spacing w:line="240" w:lineRule="auto"/>
        <w:ind w:firstLine="709" w:left="0" w:right="0"/>
        <w:jc w:val="both"/>
        <w:rPr>
          <w:rFonts w:ascii="Times New Roman" w:hAnsi="Times New Roman"/>
        </w:rPr>
      </w:pPr>
      <w:r>
        <w:t>По базовому варианту прогноза в 2025 году внешнеторговый оборот региона составит 1 649,5 млн долларов США. Объем экспорта товаров оценивается в размере 1 466,0 млн долларов США, объем импорта товаров – 183,5 млн долларов США; в 2026 году внешнеторговый оборот сложится в объеме 1 700,7 млн долларов США, в том числе экспорт товаров – 1 506,7 млн долларов США, импорт – 194,0 млн долларов США.</w:t>
      </w:r>
    </w:p>
    <w:p w14:paraId="24010000">
      <w:pPr>
        <w:pStyle w:val="Style_2"/>
        <w:spacing w:line="240" w:lineRule="auto"/>
        <w:ind w:firstLine="709" w:left="0" w:right="0"/>
        <w:jc w:val="both"/>
        <w:rPr>
          <w:rFonts w:ascii="Times New Roman" w:hAnsi="Times New Roman"/>
        </w:rPr>
      </w:pPr>
      <w:r>
        <w:t>К 2027 году объем внешнеторговых операций по базовому варианту достигнет 1 782,3 млн долларов США. Основную долю в объеме экспорта товаров по-прежнему будет формировать рыбная продукция (не менее 70%). Вместе с тем одной из существенных статей экспорта в последние годы является поставка драгоценных камней, металлов и изделий из них (23% от общего экспорта региона).</w:t>
      </w:r>
    </w:p>
    <w:p w14:paraId="25010000">
      <w:pPr>
        <w:pStyle w:val="Style_2"/>
        <w:spacing w:line="240" w:lineRule="auto"/>
        <w:ind w:firstLine="709" w:left="0" w:right="0"/>
        <w:jc w:val="both"/>
        <w:rPr>
          <w:rFonts w:ascii="Times New Roman" w:hAnsi="Times New Roman"/>
        </w:rPr>
      </w:pPr>
      <w:r>
        <w:t>Практически весь объем экспортных и импортных операций Камчатского края будет осуществляться со странами вне СНГ (не менее 97%). Основными торговыми партнерами Камчатского края останутся Китай, Республика Корея, Япония. Вместе с тем к основным экспортерам камчатской продукции добавятся Турция, ОАЭ.</w:t>
      </w:r>
    </w:p>
    <w:p w14:paraId="26010000">
      <w:pPr>
        <w:pStyle w:val="Style_2"/>
        <w:spacing w:line="240" w:lineRule="auto"/>
        <w:ind w:firstLine="709" w:left="0" w:right="0"/>
        <w:jc w:val="both"/>
        <w:rPr>
          <w:rFonts w:ascii="Times New Roman" w:hAnsi="Times New Roman"/>
        </w:rPr>
      </w:pPr>
      <w:r>
        <w:t>Объем экспортных операций в страны СНГ в 2027 году оценивается в 7,3 млн долларов США, основную долю которых составят экспортированные консервы из рыбы и морепродуктов.</w:t>
      </w:r>
    </w:p>
    <w:p w14:paraId="27010000">
      <w:pPr>
        <w:pStyle w:val="Style_2"/>
        <w:spacing w:line="240" w:lineRule="auto"/>
        <w:ind w:firstLine="709" w:left="0" w:right="0"/>
        <w:jc w:val="both"/>
        <w:rPr>
          <w:rFonts w:ascii="Times New Roman" w:hAnsi="Times New Roman"/>
        </w:rPr>
      </w:pPr>
      <w:r>
        <w:t>По наметившейся тенденции основную долю в объеме экспорта товаров, по-прежнему, будет формировать рыбная продукция, это не менее 70% от общего объема экспорта товаров. Продолжится тенденция увеличения доли стоимости продукции глубокой степени переработки в общем стоимостном объеме рыбной продукции, поставляемой на экспорт.</w:t>
      </w:r>
    </w:p>
    <w:p w14:paraId="28010000">
      <w:pPr>
        <w:pStyle w:val="Style_2"/>
        <w:spacing w:line="240" w:lineRule="auto"/>
        <w:ind w:firstLine="709" w:left="0" w:right="0"/>
        <w:jc w:val="both"/>
        <w:rPr>
          <w:rFonts w:ascii="Times New Roman" w:hAnsi="Times New Roman"/>
        </w:rPr>
      </w:pPr>
      <w:r>
        <w:t>Товарная структура импорта до 2027 года в основном будет определяться поставкой промыслового вооружения для флота (плавучие суда, морозильное оборудование), продовольственных и непродовольственных товаров, различного оборудования и услуг, в том числе в рамках реализации проектов ТОР «Камчатка». Вместе с тем прогнозируется переориентация поставщиков импортной продукции в рамках укрепления сотрудничества с дружественными странами.</w:t>
      </w:r>
    </w:p>
    <w:p w14:paraId="29010000">
      <w:pPr>
        <w:pStyle w:val="Style_2"/>
        <w:spacing w:line="240" w:lineRule="auto"/>
        <w:ind w:firstLine="709" w:left="0" w:right="0"/>
        <w:jc w:val="both"/>
        <w:rPr>
          <w:rFonts w:ascii="Times New Roman" w:hAnsi="Times New Roman"/>
        </w:rPr>
      </w:pPr>
      <w:r>
        <w:t>Рост показателей экспорта и импорта товаров Камчатского края в 2024–2027 годах обусловлен развитием производства, переориентацией рынка, активизацией взаимодействия с зарубежными партнерами из дружественных стран, выполнением мероприятий в рамках национального проекта «Международная кооперация и экспорт».</w:t>
      </w:r>
    </w:p>
    <w:p w14:paraId="2A010000">
      <w:pPr>
        <w:pStyle w:val="Style_2"/>
        <w:spacing w:line="240" w:lineRule="auto"/>
        <w:ind w:firstLine="709" w:left="0" w:right="0"/>
        <w:jc w:val="both"/>
        <w:rPr>
          <w:rFonts w:ascii="Times New Roman" w:hAnsi="Times New Roman"/>
        </w:rPr>
      </w:pPr>
      <w:r>
        <w:rPr>
          <w:color w:val="000000"/>
        </w:rPr>
        <w:t>Реализация крупнейших проектов ТОР «Камчатка» предусматривает ввоз оборудования, материалов и сырья для развития, производства и строительства объектов на территории Камчатского края.</w:t>
      </w:r>
    </w:p>
    <w:p w14:paraId="2B010000">
      <w:pPr>
        <w:pStyle w:val="Style_2"/>
        <w:spacing w:line="240" w:lineRule="auto"/>
        <w:ind w:firstLine="709" w:left="0" w:right="0"/>
        <w:jc w:val="both"/>
        <w:rPr>
          <w:rFonts w:ascii="Times New Roman" w:hAnsi="Times New Roman"/>
          <w:color w:val="000000"/>
          <w:sz w:val="24"/>
        </w:rPr>
      </w:pPr>
    </w:p>
    <w:p w14:paraId="2C010000">
      <w:pPr>
        <w:pStyle w:val="Style_2"/>
        <w:widowControl w:val="0"/>
        <w:spacing w:line="240" w:lineRule="auto"/>
        <w:ind/>
        <w:rPr>
          <w:rFonts w:ascii="Times New Roman" w:hAnsi="Times New Roman"/>
        </w:rPr>
      </w:pPr>
      <w:r>
        <w:rPr>
          <w:b w:val="1"/>
          <w:color w:val="000000"/>
          <w:sz w:val="24"/>
        </w:rPr>
        <w:t>6. Потребительский рынок</w:t>
      </w:r>
    </w:p>
    <w:p w14:paraId="2D010000">
      <w:pPr>
        <w:pStyle w:val="Style_2"/>
        <w:spacing w:line="240" w:lineRule="auto"/>
        <w:ind w:firstLine="709" w:left="0" w:right="0"/>
        <w:jc w:val="both"/>
        <w:rPr>
          <w:rFonts w:ascii="Times New Roman" w:hAnsi="Times New Roman"/>
        </w:rPr>
      </w:pPr>
      <w:r>
        <w:rPr>
          <w:color w:val="000000"/>
          <w:sz w:val="24"/>
        </w:rPr>
        <w:t>Оборот розничной торговли в 2023 году сложился в размере 101 193,4 млн рублей, что в сопоставимых ценах составил 107,8% к уровню 2022 года.</w:t>
      </w:r>
    </w:p>
    <w:p w14:paraId="2E010000">
      <w:pPr>
        <w:pStyle w:val="Style_2"/>
        <w:spacing w:line="240" w:lineRule="auto"/>
        <w:ind w:firstLine="709" w:left="0" w:right="0"/>
        <w:jc w:val="both"/>
        <w:rPr>
          <w:rFonts w:ascii="Times New Roman" w:hAnsi="Times New Roman"/>
        </w:rPr>
      </w:pPr>
      <w:r>
        <w:rPr>
          <w:color w:val="000000"/>
          <w:sz w:val="24"/>
        </w:rPr>
        <w:t xml:space="preserve">По итогам 2023 года индекс потребительских цен в регионе составил 107,8% (в 2022 году – 112,2%), в том числе  на продовольственные товары – 108,0% (в 2022 году – 115,1%), непродовольственные товары – 108,7% (в 2020 году – 114,3%). </w:t>
      </w:r>
    </w:p>
    <w:p w14:paraId="2F010000">
      <w:pPr>
        <w:pStyle w:val="Style_2"/>
        <w:spacing w:line="240" w:lineRule="auto"/>
        <w:ind w:firstLine="709" w:left="0" w:right="0"/>
        <w:jc w:val="both"/>
        <w:rPr>
          <w:rFonts w:ascii="Times New Roman" w:hAnsi="Times New Roman"/>
        </w:rPr>
      </w:pPr>
      <w:r>
        <w:rPr>
          <w:color w:val="000000"/>
          <w:sz w:val="24"/>
        </w:rPr>
        <w:t>Значительную роль в увеличении инфляционного давления на потребительский сектор экономики региона сыграли введенные санкционные ограничения, увеличение стоимости перевозок, а также  временные факторы: уход с российских рынков иностранных компаний и смена ассортимента.</w:t>
      </w:r>
    </w:p>
    <w:p w14:paraId="30010000">
      <w:pPr>
        <w:pStyle w:val="Style_2"/>
        <w:spacing w:line="240" w:lineRule="auto"/>
        <w:ind w:firstLine="709" w:left="0" w:right="0"/>
        <w:jc w:val="both"/>
        <w:rPr>
          <w:rFonts w:ascii="Times New Roman" w:hAnsi="Times New Roman"/>
        </w:rPr>
      </w:pPr>
      <w:r>
        <w:rPr>
          <w:color w:val="000000"/>
          <w:sz w:val="24"/>
        </w:rPr>
        <w:t>В 2023 году оборот розничной торговли в регионе на 94,2% формировался торгующими организациями и индивидуальными предпринимателями, осуществляющими деятельность вне рынка, доля розничных рынков и ярмарок составила 5,8%.</w:t>
      </w:r>
    </w:p>
    <w:p w14:paraId="31010000">
      <w:pPr>
        <w:pStyle w:val="Style_2"/>
        <w:spacing w:line="240" w:lineRule="auto"/>
        <w:ind w:firstLine="709" w:left="0" w:right="0"/>
        <w:jc w:val="both"/>
        <w:rPr>
          <w:rFonts w:ascii="Times New Roman" w:hAnsi="Times New Roman"/>
        </w:rPr>
      </w:pPr>
      <w:r>
        <w:rPr>
          <w:color w:val="000000"/>
          <w:sz w:val="24"/>
        </w:rPr>
        <w:t xml:space="preserve">Среднесписочная численность работников (без внешних совместителей) организаций торговли в 2023 году составила 6,4 тыс. человек, по отношению к 2022 году численность снизилась на 14% (7,3 тыс. человек). </w:t>
      </w:r>
    </w:p>
    <w:p w14:paraId="32010000">
      <w:pPr>
        <w:pStyle w:val="Style_2"/>
        <w:spacing w:line="240" w:lineRule="auto"/>
        <w:ind w:firstLine="709" w:left="0" w:right="0"/>
        <w:jc w:val="both"/>
        <w:rPr>
          <w:rFonts w:ascii="Times New Roman" w:hAnsi="Times New Roman"/>
        </w:rPr>
      </w:pPr>
      <w:r>
        <w:rPr>
          <w:color w:val="000000"/>
          <w:sz w:val="24"/>
        </w:rPr>
        <w:t>Среднемесячная номинальная начисленная заработная плата работников оптовой торговли в 2023 году составила 78 930,1 рублей (112,0% к 2022 году), розничной торговли – 74 189,7 рублей (120,5% к 2022 году).</w:t>
      </w:r>
    </w:p>
    <w:p w14:paraId="33010000">
      <w:pPr>
        <w:pStyle w:val="Style_2"/>
        <w:spacing w:after="0" w:before="0" w:line="240" w:lineRule="auto"/>
        <w:ind w:firstLine="709" w:left="0" w:right="0"/>
        <w:jc w:val="both"/>
        <w:rPr>
          <w:rFonts w:ascii="Times New Roman" w:hAnsi="Times New Roman"/>
        </w:rPr>
      </w:pPr>
      <w:r>
        <w:rPr>
          <w:color w:val="000000"/>
          <w:sz w:val="24"/>
        </w:rPr>
        <w:t xml:space="preserve">В настоящее время развитая региональная товаропроводящая инфраструктура, включающая стационарные и нестационарные торговые объекты, розничные рынки и ярмарочные площадки, обеспечивает потребности свыше 288,0 тысяч жителей Камчатского края. Наличие торговых площадей разнообразных форматов характеризует географическую доступность товаров для населения, а также разнообразие ассортиментных позиций, предлагаемых потребителям. </w:t>
      </w:r>
    </w:p>
    <w:p w14:paraId="34010000">
      <w:pPr>
        <w:pStyle w:val="Style_2"/>
        <w:spacing w:after="0" w:before="0" w:line="240" w:lineRule="auto"/>
        <w:ind w:firstLine="709" w:left="0" w:right="0"/>
        <w:jc w:val="both"/>
        <w:rPr>
          <w:rFonts w:ascii="Times New Roman" w:hAnsi="Times New Roman"/>
        </w:rPr>
      </w:pPr>
      <w:r>
        <w:rPr>
          <w:color w:val="000000"/>
          <w:sz w:val="24"/>
        </w:rPr>
        <w:t>В Камчатском крае осуществляют деятельность 3 620 объектов розничной торговли (увеличение на 1,5% в сравнении с 2022 годом), в том числе: магазины – 2 193, павильоны – 982, палатки, киоски – 445.</w:t>
      </w:r>
    </w:p>
    <w:p w14:paraId="35010000">
      <w:pPr>
        <w:pStyle w:val="Style_2"/>
        <w:spacing w:line="240" w:lineRule="auto"/>
        <w:ind w:firstLine="709" w:left="0" w:right="0"/>
        <w:jc w:val="both"/>
        <w:rPr>
          <w:rFonts w:ascii="Times New Roman" w:hAnsi="Times New Roman"/>
        </w:rPr>
      </w:pPr>
      <w:r>
        <w:rPr>
          <w:color w:val="000000"/>
          <w:sz w:val="24"/>
        </w:rPr>
        <w:t>Активное развитие в 2023 году на территории региона продолжили торговые сети. Оборот розничных торговых сетей в 2023 году составил 27 758,3 млн рублей, или 100,5% к уровню 2022  года в сопоставимых ценах. Их удельный вес в общем объеме оборота розничной торговли составил 27,4% (в 2022 году – 31,1%). В структуре розничного оборота торговых сетей доля реализации непродовольственными товарами составляет 42,7% (2022 год – 43,3%), пищевыми продуктами, включая напитки, и табачными изделиями 57,3% (2022 год – 56,7%). Торговые сети представлены региональными и федеральными операторами, реализующими продовольственные и непродовольственные товары. Развитие сетевого ритейла имеет положительные стороны: повышается дисциплинированность производителей в части выполнения сроков и объемов поставок, уровня и стабильности качества поставляемой в сети продукции, а также обеспечивается возможность реализации продукции в рознице по более низким для потребителя ценам.</w:t>
      </w:r>
    </w:p>
    <w:p w14:paraId="36010000">
      <w:pPr>
        <w:pStyle w:val="Style_2"/>
        <w:spacing w:line="240" w:lineRule="auto"/>
        <w:ind w:firstLine="709" w:left="0" w:right="0"/>
        <w:jc w:val="both"/>
        <w:rPr>
          <w:rFonts w:ascii="Times New Roman" w:hAnsi="Times New Roman"/>
        </w:rPr>
      </w:pPr>
      <w:r>
        <w:rPr>
          <w:color w:val="000000"/>
          <w:sz w:val="24"/>
        </w:rPr>
        <w:t>К наиболее развитым в регионе федеральным торговым сетям, реализующим непродовольственные товары, относятся: сети супермаркетов цифровой и бытовой техники «DNS» – 11, «Эльдорадо» – 3 и «М.Видео» – 2, сети магазинов одежды «O’Stin» – 2 и «Gloria Jeans» – 1, сеть магазинов товаров для спорта «Спортмастер» – 2, сети магазинов косметики и парфюмерии «Л'Этуаль» – 2 и «Рив Гош» – 2.</w:t>
      </w:r>
    </w:p>
    <w:p w14:paraId="37010000">
      <w:pPr>
        <w:pStyle w:val="Style_2"/>
        <w:spacing w:line="240" w:lineRule="auto"/>
        <w:ind w:firstLine="709" w:left="0" w:right="0"/>
        <w:jc w:val="both"/>
        <w:rPr>
          <w:rFonts w:ascii="Times New Roman" w:hAnsi="Times New Roman"/>
        </w:rPr>
      </w:pPr>
      <w:r>
        <w:rPr>
          <w:color w:val="000000"/>
          <w:sz w:val="24"/>
        </w:rPr>
        <w:t>К наиболее развитым региональным розничным сетям относятся: супермаркеты ГК «Шамса» – 11, сеть магазинов строительных товаров и товаров для дома «Гвоздь» – 2, сеть мебельных магазинов «Серая лошадь» – 2, магазины местных производителей – ООО «Агротек-Маркет» – 24, ООО «Юкидим» – 24, АО «Молокозавод Петропавловский» – 21, АО «Петропавловский хлебокомбинат» – 30 и другие.</w:t>
      </w:r>
    </w:p>
    <w:p w14:paraId="38010000">
      <w:pPr>
        <w:pStyle w:val="Style_2"/>
        <w:spacing w:line="240" w:lineRule="auto"/>
        <w:ind w:firstLine="709" w:left="0" w:right="0"/>
        <w:jc w:val="both"/>
        <w:rPr>
          <w:rFonts w:ascii="Times New Roman" w:hAnsi="Times New Roman"/>
        </w:rPr>
      </w:pPr>
      <w:r>
        <w:rPr>
          <w:color w:val="000000"/>
          <w:sz w:val="24"/>
        </w:rPr>
        <w:t>Особое внимание уделяется развитию в регионе сети формата дискаунтеров, как наиболее востребованному среди населения не только в отношении ассортиментного ряда товаров, но и ценовой политики, ориентированной на потребности обширного круга покупателей.</w:t>
      </w:r>
    </w:p>
    <w:p w14:paraId="39010000">
      <w:pPr>
        <w:pStyle w:val="Style_2"/>
        <w:spacing w:line="240" w:lineRule="auto"/>
        <w:ind w:firstLine="709" w:left="0" w:right="0"/>
        <w:jc w:val="both"/>
        <w:rPr>
          <w:rFonts w:ascii="Times New Roman" w:hAnsi="Times New Roman"/>
        </w:rPr>
      </w:pPr>
      <w:r>
        <w:rPr>
          <w:color w:val="000000"/>
          <w:sz w:val="24"/>
        </w:rPr>
        <w:t>В ценовой политике дискаунтеров применяется метод фиксированной минимальной наценки, при которой осуществляется выбор производителя товара с наименьшей отпускной ценой и устанавливается фиксированная торговая наценка, что позволяет удовлетворить потребности потребителя в том числе с низким уровнем дохода.</w:t>
      </w:r>
    </w:p>
    <w:p w14:paraId="3A010000">
      <w:pPr>
        <w:pStyle w:val="Style_2"/>
        <w:spacing w:line="240" w:lineRule="auto"/>
        <w:ind w:firstLine="709" w:left="0" w:right="0"/>
        <w:jc w:val="both"/>
        <w:rPr>
          <w:rFonts w:ascii="Times New Roman" w:hAnsi="Times New Roman"/>
        </w:rPr>
      </w:pPr>
      <w:r>
        <w:rPr>
          <w:color w:val="000000"/>
          <w:sz w:val="24"/>
        </w:rPr>
        <w:t>В настоящее время в Камчатском крае осуществляют деятельность 4 торговые сети дискаунтеров: региональная: «Дискам» – 19 и федеральные: «Светофор» – 6, «Маяк» – 1, «Доброцен» – 2.</w:t>
      </w:r>
    </w:p>
    <w:p w14:paraId="3B010000">
      <w:pPr>
        <w:pStyle w:val="Style_2"/>
        <w:spacing w:line="240" w:lineRule="auto"/>
        <w:ind w:firstLine="709" w:left="0" w:right="0"/>
        <w:jc w:val="both"/>
        <w:rPr>
          <w:rFonts w:ascii="Times New Roman" w:hAnsi="Times New Roman"/>
        </w:rPr>
      </w:pPr>
      <w:r>
        <w:rPr>
          <w:color w:val="000000"/>
          <w:sz w:val="24"/>
        </w:rPr>
        <w:t xml:space="preserve">Кроме того, в регионе с 2022 года развивается торговая сеть «Белорусский фермер». Магазины данной сети пользуются все большей популярностью у населения Камчатского края. На сегодняшний день на территории г. Петропавловска-Камчатского осуществляют деятельность 4 фирменных магазина. </w:t>
      </w:r>
    </w:p>
    <w:p w14:paraId="3C010000">
      <w:pPr>
        <w:pStyle w:val="Style_2"/>
        <w:spacing w:line="240" w:lineRule="auto"/>
        <w:ind w:firstLine="709" w:left="0" w:right="0"/>
        <w:jc w:val="both"/>
        <w:rPr>
          <w:rFonts w:ascii="Times New Roman" w:hAnsi="Times New Roman"/>
        </w:rPr>
      </w:pPr>
      <w:r>
        <w:rPr>
          <w:color w:val="000000"/>
          <w:sz w:val="24"/>
        </w:rPr>
        <w:t>По итогам 2023 года количество нестационарных торговых объектов круглогодичного размещения составило 594 единицы (снижение на 9,7% в сравнении с 2022 годом). Ввиду особых климатических условий, территориальной и экономической разобщенности районов применение мобильных форматов торговли на территории муниципальных образований, находящихся на расстоянии более 300 км до краевого центра, менее актуально. Более приемлемыми для сбыта продукции в данных районах считаются специально оборудованные места на рынках и постоянно действующих ярмарках. В целях расширения возможностей сбыта продукции, произведенной крестьянскими (фермерскими) хозяйствами, а также гражданами, ведущими личное подсобное хозяйство, занимающимися садоводством и огородничеством, обеспечения ее доступности для населения, в регионе ведется работа по расширению и популяризации ярмарочной формы торговли. В 2023 году на территории края организовано 93 торговые площадки (аналогичный период 2022 года – 97 торговых площадок, в том числе 58 постоянно действующих ярмарочных площадок (аналогичный период 2022 года – 54 ярмарочные площадки). С наступлением аграрного сезона в регионе традиционно проводится работа по организации дополнительных сезонных уличных торговых площадок. В текущем году на 2 организованных на территории краевого центра ярмарочных площадках ведутся работы по размещению двух крытых ярмарочных комплексов для торговли товарами камчатских производителей, в том числе сельскохозяйственной продукцией, произведенной крестьянскими (фермерскими) хозяйствами, гражданами, ведущими личное подсобное хозяйство. Реализация проектов рассчитана на 3 этапа: с 2023 по 2025 годы, первый из которых планируется завершить в августе 2024 года. В населенных пунктах Камчатского края сохраняется тенденция проведения ярмарок «Выходного дня», где реализуется свежая сельскохозяйственная продукция, произведенная крестьянскими (фермерскими) хозяйствами, гражданами, ведущими личное подсобное хозяйство, занимающимися садоводством и огородничеством, и иные товары камчатских производителей. Широкую популярность также получили праздничные краевые универсальные ярмарки: осенние, пасхальные, новогодние и другие. Вследствие постоянного покупательского спроса на «фермерскую» продукцию, в крае созданы условия для организации сбыта продукции местных сельскохозяйственных товаропроизводителей на розничных рынках. На территории края осуществляют деятельность 3 универсальных розничных рынка, на которых предусмотрено 441 торговое место для реализации продовольственных товаров, в том числе 117 торговых мест, выделенных для реализации сельскохозяйственной продукции.</w:t>
      </w:r>
    </w:p>
    <w:p w14:paraId="3D010000">
      <w:pPr>
        <w:pStyle w:val="Style_2"/>
        <w:spacing w:line="240" w:lineRule="auto"/>
        <w:ind w:firstLine="709" w:left="0" w:right="0"/>
        <w:jc w:val="both"/>
        <w:rPr>
          <w:rFonts w:ascii="Times New Roman" w:hAnsi="Times New Roman"/>
        </w:rPr>
      </w:pPr>
      <w:r>
        <w:rPr>
          <w:color w:val="000000"/>
          <w:sz w:val="24"/>
        </w:rPr>
        <w:t>Развиваются собственные сети местных товаропроизводителей. В настоящее время на территории региона торговая сеть производителей составляет более 200 торговых объектов, в том числе порядка 20 специализированных торговых объектов по продаже рыбы и морепродуктов, принадлежащих рыбодобывающим компаниям и где реализуется качественная рыбная продукция местных производителей, в том числе и охлажденная рыба.</w:t>
      </w:r>
    </w:p>
    <w:p w14:paraId="3E010000">
      <w:pPr>
        <w:pStyle w:val="Style_2"/>
        <w:spacing w:line="240" w:lineRule="auto"/>
        <w:ind w:firstLine="709" w:left="0" w:right="0"/>
        <w:jc w:val="both"/>
        <w:rPr>
          <w:rFonts w:ascii="Times New Roman" w:hAnsi="Times New Roman"/>
        </w:rPr>
      </w:pPr>
      <w:r>
        <w:rPr>
          <w:color w:val="000000"/>
          <w:sz w:val="24"/>
        </w:rPr>
        <w:t>Развивается дистанционная торговля через интернет-магазины, продажи по каталогам. Покупка товара через интернет-магазин позволяет покупателю, не выходя из дома, приобрести товар по цене более низкой, чем в обычном магазине, осуществляющем торговлю традиционным способом.</w:t>
      </w:r>
    </w:p>
    <w:p w14:paraId="3F010000">
      <w:pPr>
        <w:pStyle w:val="Style_2"/>
        <w:spacing w:line="240" w:lineRule="auto"/>
        <w:ind w:firstLine="709" w:left="0" w:right="0"/>
        <w:jc w:val="both"/>
        <w:rPr>
          <w:rFonts w:ascii="Times New Roman" w:hAnsi="Times New Roman"/>
        </w:rPr>
      </w:pPr>
      <w:r>
        <w:rPr>
          <w:color w:val="000000"/>
          <w:sz w:val="24"/>
        </w:rPr>
        <w:t xml:space="preserve">В 2023 году доля продаж через интернет в общем обороте розничной торговли по крупным и средним торгующим организациям увеличилась и составила 1,77% (2022 год – 1,51%). </w:t>
      </w:r>
    </w:p>
    <w:p w14:paraId="40010000">
      <w:pPr>
        <w:pStyle w:val="Style_2"/>
        <w:spacing w:line="240" w:lineRule="auto"/>
        <w:ind w:firstLine="709" w:left="0" w:right="0"/>
        <w:jc w:val="both"/>
        <w:rPr>
          <w:rFonts w:ascii="Times New Roman" w:hAnsi="Times New Roman"/>
        </w:rPr>
      </w:pPr>
      <w:r>
        <w:rPr>
          <w:b w:val="1"/>
          <w:i w:val="1"/>
          <w:color w:val="000000"/>
          <w:sz w:val="24"/>
        </w:rPr>
        <w:t>В структуре розничных продаж</w:t>
      </w:r>
      <w:r>
        <w:rPr>
          <w:color w:val="000000"/>
          <w:sz w:val="24"/>
        </w:rPr>
        <w:t xml:space="preserve"> в 2023 году по сравнению с 2021 годом сохранилась тенденция в пользу продовольственных товаров (пищевые продукты, включая напитки и табачные изделия) – 57,9% (в 2022 году – 58,7%), доля непродовольственных товаров составила 42,1% (в 2022 году – 41,3%).</w:t>
      </w:r>
    </w:p>
    <w:p w14:paraId="41010000">
      <w:pPr>
        <w:pStyle w:val="Style_2"/>
        <w:spacing w:line="240" w:lineRule="auto"/>
        <w:ind w:firstLine="709" w:left="0" w:right="0"/>
        <w:jc w:val="both"/>
        <w:rPr>
          <w:rFonts w:ascii="Times New Roman" w:hAnsi="Times New Roman"/>
        </w:rPr>
      </w:pPr>
      <w:r>
        <w:rPr>
          <w:color w:val="000000"/>
          <w:sz w:val="24"/>
        </w:rPr>
        <w:t>Оборот розничной торговли пищевыми продуктами, включая напитки и табачными изделиями, в товарной массе сложился выше уровня  2022 года на 6,4% и составил в сопоставимых ценах 58 598,5 млн рублей, оборот непродовольственных товаров увеличился на 9,8% (42 594,9 млн рублей).</w:t>
      </w:r>
    </w:p>
    <w:p w14:paraId="42010000">
      <w:pPr>
        <w:pStyle w:val="Style_2"/>
        <w:spacing w:line="240" w:lineRule="auto"/>
        <w:ind w:firstLine="709" w:left="0" w:right="0"/>
        <w:jc w:val="both"/>
        <w:rPr>
          <w:rFonts w:ascii="Times New Roman" w:hAnsi="Times New Roman"/>
        </w:rPr>
      </w:pPr>
      <w:r>
        <w:rPr>
          <w:color w:val="000000"/>
          <w:sz w:val="24"/>
        </w:rPr>
        <w:t>В 2023 году увеличилась реализация продовольственных товаров, в том числе продукты из мяса и мяса птицы 10,2%, рыбной продукции на 4,4%, молоко питьевое на 28,1%, яйца птицы на 10,3%, хлеб и хлебобулочные изделия на 30,9%, свежие овощи на 10,0% и др.</w:t>
      </w:r>
    </w:p>
    <w:p w14:paraId="43010000">
      <w:pPr>
        <w:pStyle w:val="Style_2"/>
        <w:spacing w:line="240" w:lineRule="auto"/>
        <w:ind w:firstLine="709" w:left="0" w:right="0"/>
        <w:jc w:val="both"/>
        <w:rPr>
          <w:rFonts w:ascii="Times New Roman" w:hAnsi="Times New Roman"/>
        </w:rPr>
      </w:pPr>
      <w:r>
        <w:rPr>
          <w:color w:val="000000"/>
          <w:sz w:val="24"/>
        </w:rPr>
        <w:t>Объем продаж непродовольственных товаров обеспечивался увеличением потребительского спроса на товары длительного пользования – аудиоаппаратура,  компьютеры, игры и игрушки, ювелирные изделия и др.</w:t>
      </w:r>
    </w:p>
    <w:p w14:paraId="44010000">
      <w:pPr>
        <w:pStyle w:val="Style_2"/>
        <w:spacing w:line="240" w:lineRule="auto"/>
        <w:ind w:firstLine="709" w:left="0" w:right="0"/>
        <w:jc w:val="both"/>
        <w:rPr>
          <w:rFonts w:ascii="Times New Roman" w:hAnsi="Times New Roman"/>
        </w:rPr>
      </w:pPr>
      <w:r>
        <w:rPr>
          <w:color w:val="000000"/>
          <w:sz w:val="24"/>
        </w:rPr>
        <w:t>Ресурсное обеспечение алкогольного рынка Камчатского края в полном объеме формировалось за счет ввоза продукции внешних российских и зарубежных производителей (за исключением пива). Пиво местных производителей в общем объеме поставок составляет около 30%.</w:t>
      </w:r>
    </w:p>
    <w:p w14:paraId="45010000">
      <w:pPr>
        <w:pStyle w:val="Style_2"/>
        <w:spacing w:line="240" w:lineRule="auto"/>
        <w:ind w:firstLine="709" w:left="0" w:right="0"/>
        <w:jc w:val="both"/>
        <w:rPr>
          <w:rFonts w:ascii="Times New Roman" w:hAnsi="Times New Roman"/>
        </w:rPr>
      </w:pPr>
      <w:r>
        <w:rPr>
          <w:color w:val="000000"/>
          <w:sz w:val="24"/>
        </w:rPr>
        <w:t>Показатель потребления алкогольных напитков и пива на душу населения с января 2017 года рассчитывается только с учетом объемов алкогольной продукции, зафиксированных в единой государственной автоматизированной информационной системе «Объем потребления алкогольной продукции на человека в пересчете на безводный спирт», за 2023 год данный показатель снизился на 0,5% и составил 8,94 л/чел (в 2022 году – 8,99 л).</w:t>
      </w:r>
    </w:p>
    <w:p w14:paraId="46010000">
      <w:pPr>
        <w:pStyle w:val="Style_2"/>
        <w:spacing w:line="240" w:lineRule="auto"/>
        <w:ind w:firstLine="709" w:left="0" w:right="0"/>
        <w:jc w:val="both"/>
        <w:rPr>
          <w:rFonts w:ascii="Times New Roman" w:hAnsi="Times New Roman"/>
        </w:rPr>
      </w:pPr>
      <w:r>
        <w:rPr>
          <w:color w:val="000000"/>
          <w:sz w:val="24"/>
        </w:rPr>
        <w:t>За 2023 год доля доходов от акцизов к общему объему доходов бюджета составила 0,70%.</w:t>
      </w:r>
    </w:p>
    <w:p w14:paraId="47010000">
      <w:pPr>
        <w:pStyle w:val="Style_2"/>
        <w:spacing w:line="240" w:lineRule="auto"/>
        <w:ind w:firstLine="709" w:left="0" w:right="0"/>
        <w:jc w:val="both"/>
        <w:rPr>
          <w:rFonts w:ascii="Times New Roman" w:hAnsi="Times New Roman"/>
        </w:rPr>
      </w:pPr>
      <w:r>
        <w:rPr>
          <w:color w:val="000000"/>
          <w:sz w:val="24"/>
        </w:rPr>
        <w:t>В течение года сохранялся устойчивый уровень товарных запасов основной номенклатуры товаров в организациях розничной торговли Камчатского края, включая труднодоступные и отдаленные населенные пункты региона. Обеспеченность оборота товарными запасами на конец года сложилась в среднем в количестве 42 дней.</w:t>
      </w:r>
    </w:p>
    <w:p w14:paraId="48010000">
      <w:pPr>
        <w:pStyle w:val="Style_2"/>
        <w:spacing w:line="240" w:lineRule="auto"/>
        <w:ind w:firstLine="709" w:left="0" w:right="0"/>
        <w:jc w:val="both"/>
        <w:rPr>
          <w:rFonts w:ascii="Times New Roman" w:hAnsi="Times New Roman"/>
        </w:rPr>
      </w:pPr>
      <w:r>
        <w:rPr>
          <w:color w:val="000000"/>
          <w:sz w:val="24"/>
        </w:rPr>
        <w:t xml:space="preserve">Прогноз развития потребительского рынка товаров и услуг в среднесрочной перспективе учитывает влияние инфляционных процессов, санкционного давления, рост реальных денежных доходов населения, изменение ситуации в банковском кредитовании, а также развитие многоформатной торговли, в том числе ярмарочной торговли, сети местных производителей. Потребительский спрос будет поддержан региональными мерами: возмещение транспортных расходов предприятий при доставке продовольственных товаров первой необходимости в отдаленные районы региона; возмещение расходов на организацию и обустройство объектов малоформатной торговли, в том числе ярмарок, предоставление комплексных услуг для предпринимателей Камчатского края, которые направлены на рост узнаваемости бренда, в том числе: «Автоматизация бизнес-процессов», «Настройка контекстной рекламы», «Настройка таргетированной рекламы», «Проведение информационной кампании», «Разработка бизнес-плана» и др. </w:t>
      </w:r>
    </w:p>
    <w:p w14:paraId="49010000">
      <w:pPr>
        <w:pStyle w:val="Style_2"/>
        <w:spacing w:line="240" w:lineRule="auto"/>
        <w:ind w:firstLine="709" w:left="0" w:right="0"/>
        <w:jc w:val="both"/>
        <w:rPr>
          <w:rFonts w:ascii="Times New Roman" w:hAnsi="Times New Roman"/>
        </w:rPr>
      </w:pPr>
      <w:r>
        <w:rPr>
          <w:color w:val="000000"/>
          <w:sz w:val="24"/>
        </w:rPr>
        <w:t xml:space="preserve">С учетом общероссийских и региональных тенденций можно предположить, что в Камчатском крае продолжится рост сетевой торговли. Кроме того, население региона более активно начнёт пользоваться услугами интернет-торговли и другими современными формами торгового обслуживания – дистанционной торговлей, торговлей по образцам, с использованием автоматов и т.д. Укрепление в регионе позиций крупных федеральных и региональных торговых сетей, использование современных технологий движения товаров, характерных для сетевых ритейлеров, а также внедрение новых форм продаж улучшат качество торгового обслуживания населения региона, будут способствовать формированию конкурентной среды и развитию торговой деятельности. </w:t>
      </w:r>
    </w:p>
    <w:p w14:paraId="4A010000">
      <w:pPr>
        <w:pStyle w:val="Style_2"/>
        <w:spacing w:line="240" w:lineRule="auto"/>
        <w:ind w:firstLine="709" w:left="0" w:right="0"/>
        <w:jc w:val="both"/>
        <w:rPr>
          <w:rFonts w:ascii="Times New Roman" w:hAnsi="Times New Roman"/>
        </w:rPr>
      </w:pPr>
      <w:r>
        <w:rPr>
          <w:color w:val="000000"/>
          <w:sz w:val="24"/>
        </w:rPr>
        <w:t>Увеличение денежных доходов населения и активное наращивание собственного производства будут способствовать дальнейшему росту потребительского спро</w:t>
      </w:r>
      <w:r>
        <w:rPr>
          <w:b w:val="0"/>
          <w:color w:val="000000"/>
          <w:sz w:val="24"/>
        </w:rPr>
        <w:t>са</w:t>
      </w:r>
      <w:r>
        <w:rPr>
          <w:b w:val="0"/>
          <w:i w:val="1"/>
          <w:color w:val="000000"/>
          <w:sz w:val="24"/>
        </w:rPr>
        <w:t>.</w:t>
      </w:r>
      <w:r>
        <w:rPr>
          <w:b w:val="1"/>
          <w:i w:val="1"/>
          <w:color w:val="000000"/>
          <w:sz w:val="24"/>
        </w:rPr>
        <w:t xml:space="preserve"> </w:t>
      </w:r>
      <w:r>
        <w:rPr>
          <w:b w:val="0"/>
          <w:i w:val="0"/>
          <w:color w:val="000000"/>
          <w:sz w:val="24"/>
        </w:rPr>
        <w:t xml:space="preserve">По оценке в 2024 году </w:t>
      </w:r>
      <w:r>
        <w:rPr>
          <w:b w:val="0"/>
          <w:i w:val="0"/>
          <w:color w:val="000000"/>
          <w:sz w:val="24"/>
        </w:rPr>
        <w:t>темп</w:t>
      </w:r>
      <w:r>
        <w:rPr>
          <w:color w:val="000000"/>
          <w:sz w:val="24"/>
        </w:rPr>
        <w:t xml:space="preserve"> оборота розничной торговли увеличится на 6,0 % и в сумме составит 114 237,2 млн рублей. </w:t>
      </w:r>
    </w:p>
    <w:p w14:paraId="4B010000">
      <w:pPr>
        <w:pStyle w:val="Style_2"/>
        <w:spacing w:line="240" w:lineRule="auto"/>
        <w:ind w:firstLine="709" w:left="0" w:right="0"/>
        <w:jc w:val="both"/>
        <w:rPr>
          <w:rFonts w:ascii="Times New Roman" w:hAnsi="Times New Roman"/>
        </w:rPr>
      </w:pPr>
      <w:r>
        <w:rPr>
          <w:b w:val="0"/>
          <w:i w:val="0"/>
          <w:color w:val="000000"/>
          <w:sz w:val="24"/>
        </w:rPr>
        <w:t xml:space="preserve">В базовом варианте </w:t>
      </w:r>
      <w:r>
        <w:rPr>
          <w:color w:val="000000"/>
          <w:sz w:val="24"/>
        </w:rPr>
        <w:t xml:space="preserve">прогноза с учетом реализации комплекса мер по поддержке экономики темп роста оборота розничной торговли в 2025 году в сопоставимых ценах составит 5,5% и 126 546,3 млн рублей.  </w:t>
      </w:r>
    </w:p>
    <w:p w14:paraId="4C010000">
      <w:pPr>
        <w:pStyle w:val="Style_2"/>
        <w:spacing w:line="240" w:lineRule="auto"/>
        <w:ind w:firstLine="709" w:left="0" w:right="0"/>
        <w:jc w:val="both"/>
        <w:rPr>
          <w:rFonts w:ascii="Times New Roman" w:hAnsi="Times New Roman"/>
        </w:rPr>
      </w:pPr>
      <w:r>
        <w:rPr>
          <w:color w:val="000000"/>
          <w:sz w:val="24"/>
        </w:rPr>
        <w:t>В дальнейшем, в случае положительной динамики реальных денежных доходов населения, потребительской активности, снижения инфляционного давления, процессов импортозамещения прогнозируемый оборот розничной торговли к 2027 году составит – 148 180,7 млн рублей.</w:t>
      </w:r>
    </w:p>
    <w:p w14:paraId="4D010000">
      <w:pPr>
        <w:pStyle w:val="Style_2"/>
        <w:spacing w:line="240" w:lineRule="auto"/>
        <w:ind w:firstLine="709" w:left="0" w:right="0"/>
        <w:jc w:val="both"/>
        <w:rPr>
          <w:rFonts w:ascii="Times New Roman" w:hAnsi="Times New Roman"/>
        </w:rPr>
      </w:pPr>
      <w:r>
        <w:rPr>
          <w:b w:val="0"/>
          <w:i w:val="0"/>
          <w:color w:val="000000"/>
          <w:sz w:val="24"/>
        </w:rPr>
        <w:t xml:space="preserve">В консервативном варианте </w:t>
      </w:r>
      <w:r>
        <w:rPr>
          <w:color w:val="000000"/>
          <w:sz w:val="24"/>
        </w:rPr>
        <w:t>прогноза в 2025</w:t>
      </w:r>
      <w:r>
        <w:rPr>
          <w:color w:val="000000"/>
          <w:sz w:val="24"/>
        </w:rPr>
        <w:t>–</w:t>
      </w:r>
      <w:r>
        <w:rPr>
          <w:color w:val="000000"/>
          <w:sz w:val="24"/>
        </w:rPr>
        <w:t>2027 годах на фоне более  жесткого применения санкционного режима, низкого экономического роста прогнозируется увеличение оборота розничной торговли в сопоставимых ценах на 2,0–3,5 %.</w:t>
      </w:r>
    </w:p>
    <w:p w14:paraId="4E010000">
      <w:pPr>
        <w:pStyle w:val="Style_2"/>
        <w:spacing w:line="240" w:lineRule="auto"/>
        <w:ind w:firstLine="709" w:left="0" w:right="0"/>
        <w:jc w:val="both"/>
        <w:rPr>
          <w:rFonts w:ascii="Times New Roman" w:hAnsi="Times New Roman"/>
        </w:rPr>
      </w:pPr>
      <w:r>
        <w:rPr>
          <w:b w:val="1"/>
          <w:i w:val="1"/>
          <w:color w:val="000000"/>
          <w:sz w:val="24"/>
        </w:rPr>
        <w:t>Платные услуги населению</w:t>
      </w:r>
    </w:p>
    <w:p w14:paraId="4F010000">
      <w:pPr>
        <w:pStyle w:val="Style_2"/>
        <w:widowControl w:val="0"/>
        <w:spacing w:line="240" w:lineRule="auto"/>
        <w:ind w:firstLine="709" w:left="0" w:right="0"/>
        <w:jc w:val="both"/>
        <w:rPr>
          <w:rFonts w:ascii="Times New Roman" w:hAnsi="Times New Roman"/>
        </w:rPr>
      </w:pPr>
      <w:r>
        <w:rPr>
          <w:color w:val="000000"/>
          <w:sz w:val="24"/>
        </w:rPr>
        <w:t>За 2023 год населению края оказано платных услуг по всем каналам реализации на 33 320,6 млн рублей, что выше уровня 2022 года на 1,0% в сопоставимых ценах. Положительная динамика обусловлена изменением потребительского спроса и структуры потребления, а также ростом доходов населения.</w:t>
      </w:r>
    </w:p>
    <w:p w14:paraId="50010000">
      <w:pPr>
        <w:pStyle w:val="Style_2"/>
        <w:widowControl w:val="0"/>
        <w:spacing w:line="240" w:lineRule="auto"/>
        <w:ind w:firstLine="709" w:left="0" w:right="0"/>
        <w:jc w:val="both"/>
        <w:rPr>
          <w:rFonts w:ascii="Times New Roman" w:hAnsi="Times New Roman"/>
        </w:rPr>
      </w:pPr>
      <w:r>
        <w:rPr>
          <w:color w:val="000000"/>
          <w:sz w:val="24"/>
        </w:rPr>
        <w:t xml:space="preserve">Влияние курсовой динамики на темпы роста цен рынка услуг слабее, чем на товары. Основное влияние на формирование реального объема платных услуг в регионе оказывают услуги «обязательного» характера: транспортные, жилищные и коммунальные, а также телекоммуникационные. Совокупная доля этих видов услуг составила в 2023 году 72,0% общего объема потребляемых услуг. </w:t>
      </w:r>
    </w:p>
    <w:p w14:paraId="51010000">
      <w:pPr>
        <w:pStyle w:val="Style_2"/>
        <w:widowControl w:val="0"/>
        <w:spacing w:line="240" w:lineRule="auto"/>
        <w:ind w:firstLine="709" w:left="0" w:right="0"/>
        <w:jc w:val="both"/>
        <w:rPr>
          <w:rFonts w:ascii="Times New Roman" w:hAnsi="Times New Roman"/>
        </w:rPr>
      </w:pPr>
      <w:r>
        <w:rPr>
          <w:color w:val="000000"/>
          <w:sz w:val="24"/>
        </w:rPr>
        <w:t>Объем транспортных услуг составил 6 909,9 млн рублей или 101,6% в сопоставимых ценах к уровню 2022 года. Жилищные и коммунальные услуги сложились в объеме: жилищные – 2 522,3 млн рублей (101,6% к уровню 2022 года в сопоставимых ценах), коммунальные – 9 446,1 млн рублей (102,1%). Объем оказанных телекоммуникационных услуг составил 4 998,2 млн рублей или 100,3% в сопоставимых ценах к уровню 2022 года.</w:t>
      </w:r>
    </w:p>
    <w:p w14:paraId="52010000">
      <w:pPr>
        <w:pStyle w:val="Style_2"/>
        <w:widowControl w:val="0"/>
        <w:spacing w:line="240" w:lineRule="auto"/>
        <w:ind w:firstLine="709" w:left="0" w:right="0"/>
        <w:jc w:val="both"/>
        <w:rPr>
          <w:rFonts w:ascii="Times New Roman" w:hAnsi="Times New Roman"/>
        </w:rPr>
      </w:pPr>
      <w:r>
        <w:rPr>
          <w:color w:val="000000"/>
          <w:sz w:val="24"/>
        </w:rPr>
        <w:t xml:space="preserve">В структуре платных услуг доля бытовых услуг – 6,1%, они составили 2 035,8 млн рублей, что в сопоставимых ценах на 0,5% выше уровня 2022 года. </w:t>
      </w:r>
    </w:p>
    <w:p w14:paraId="53010000">
      <w:pPr>
        <w:pStyle w:val="Style_2"/>
        <w:widowControl w:val="0"/>
        <w:spacing w:line="240" w:lineRule="auto"/>
        <w:ind w:firstLine="709" w:left="0" w:right="0"/>
        <w:jc w:val="both"/>
        <w:rPr>
          <w:rFonts w:ascii="Times New Roman" w:hAnsi="Times New Roman"/>
        </w:rPr>
      </w:pPr>
      <w:r>
        <w:rPr>
          <w:color w:val="000000"/>
          <w:sz w:val="24"/>
        </w:rPr>
        <w:t xml:space="preserve">Объем платных услуг в 2024 году оценивается в 35 486,0 млн рублей, или 102,6% в сопоставимых ценах к уровню 2023 года. Объем платных услуг по базовому варианту прогнозируется: в 2025 году – 37 720,2 млн рублей (103,0% в сопоставимых ценах к оценке 2024 года), в 2026 году – 39 978,6 млн рублей (102,9% в сопоставимых ценах к 2025 году), в 2027 году – 42 207,4 млн рублей (102,5% в сопоставимых ценах к 2026 году). </w:t>
      </w:r>
    </w:p>
    <w:p w14:paraId="54010000">
      <w:pPr>
        <w:pStyle w:val="Style_2"/>
        <w:widowControl w:val="0"/>
        <w:spacing w:line="240" w:lineRule="auto"/>
        <w:ind w:firstLine="709" w:left="0" w:right="0"/>
        <w:jc w:val="both"/>
        <w:rPr>
          <w:rFonts w:ascii="Times New Roman" w:hAnsi="Times New Roman"/>
        </w:rPr>
      </w:pPr>
      <w:r>
        <w:rPr>
          <w:b w:val="0"/>
          <w:i w:val="0"/>
          <w:color w:val="000000"/>
          <w:sz w:val="24"/>
        </w:rPr>
        <w:t>Возможности развития сферы платных услуг обусловлены состоянием экономического потенциала, реальных денежных доходов населения, темпами инфляции. Наибольшую долю в общем объеме, как и в предыдущие годы, составят услуги обязательного» характера: жилищные и коммунальные услуги, услуги пассажирского транспорта и телекоммуникационные.</w:t>
      </w:r>
    </w:p>
    <w:p w14:paraId="55010000">
      <w:pPr>
        <w:pStyle w:val="Style_2"/>
        <w:spacing w:line="240" w:lineRule="auto"/>
        <w:ind/>
        <w:rPr>
          <w:rFonts w:ascii="Times New Roman" w:hAnsi="Times New Roman"/>
          <w:color w:val="632523"/>
        </w:rPr>
      </w:pPr>
    </w:p>
    <w:p w14:paraId="56010000">
      <w:pPr>
        <w:pStyle w:val="Style_2"/>
        <w:widowControl w:val="0"/>
        <w:spacing w:line="240" w:lineRule="auto"/>
        <w:ind/>
        <w:rPr>
          <w:rFonts w:ascii="Times New Roman" w:hAnsi="Times New Roman"/>
        </w:rPr>
      </w:pPr>
      <w:r>
        <w:rPr>
          <w:b w:val="1"/>
          <w:color w:val="000000"/>
        </w:rPr>
        <w:t>7. Уровень жизни населения</w:t>
      </w:r>
    </w:p>
    <w:p w14:paraId="57010000">
      <w:pPr>
        <w:pStyle w:val="Style_2"/>
        <w:widowControl w:val="0"/>
        <w:spacing w:line="240" w:lineRule="auto"/>
        <w:ind w:firstLine="709" w:left="0" w:right="0"/>
        <w:jc w:val="both"/>
        <w:rPr>
          <w:rFonts w:ascii="Times New Roman" w:hAnsi="Times New Roman"/>
        </w:rPr>
      </w:pPr>
      <w:r>
        <w:t>Реальные денежные доходы населения в 2023 году сложились на уровне 101,0% к 2022 году, реальные располагаемые денежные доходы составили 101,0%, реальная заработная плата – 107,5%, реальный размер пенсий составил 100,3%.</w:t>
      </w:r>
    </w:p>
    <w:p w14:paraId="58010000">
      <w:pPr>
        <w:pStyle w:val="Style_2"/>
        <w:widowControl w:val="0"/>
        <w:spacing w:line="240" w:lineRule="auto"/>
        <w:ind w:firstLine="709" w:left="0" w:right="0"/>
        <w:jc w:val="both"/>
        <w:rPr>
          <w:rFonts w:ascii="Times New Roman" w:hAnsi="Times New Roman"/>
        </w:rPr>
      </w:pPr>
      <w:r>
        <w:t>Величина прожиточного минимума в 2023 году в Камчатском крае в среднем на душу населения составила 26 388 руб., увеличившись на 9,0% относительно 2022 года, для трудоспособного населения – 28 763 руб., для пенсионеров – 22 694 руб., для детей – 28 105 руб.</w:t>
      </w:r>
    </w:p>
    <w:p w14:paraId="59010000">
      <w:pPr>
        <w:pStyle w:val="Style_2"/>
        <w:widowControl w:val="0"/>
        <w:spacing w:line="240" w:lineRule="auto"/>
        <w:ind w:firstLine="709" w:left="0" w:right="0"/>
        <w:jc w:val="both"/>
        <w:rPr>
          <w:rFonts w:ascii="Times New Roman" w:hAnsi="Times New Roman"/>
        </w:rPr>
      </w:pPr>
      <w:r>
        <w:t>Среднедушевой доход сложился в размере 84 661,0 руб., что номинально выше уровня 2022 года на 9,2%, реальные денежные доходы увеличились на 0,1%.</w:t>
      </w:r>
    </w:p>
    <w:p w14:paraId="5A010000">
      <w:pPr>
        <w:pStyle w:val="Style_2"/>
        <w:widowControl w:val="0"/>
        <w:spacing w:line="240" w:lineRule="auto"/>
        <w:ind w:firstLine="709" w:left="0" w:right="0"/>
        <w:jc w:val="both"/>
        <w:rPr>
          <w:rFonts w:ascii="Times New Roman" w:hAnsi="Times New Roman"/>
        </w:rPr>
      </w:pPr>
      <w:r>
        <w:t>Соотношение среднедушевых денежных доходов и величины прожиточного минимума за 2023 год составило 299,8% (2022 год – 291,6%).</w:t>
      </w:r>
    </w:p>
    <w:p w14:paraId="5B010000">
      <w:pPr>
        <w:pStyle w:val="Style_2"/>
        <w:widowControl w:val="0"/>
        <w:spacing w:line="240" w:lineRule="auto"/>
        <w:ind w:firstLine="709" w:left="0" w:right="0"/>
        <w:jc w:val="both"/>
        <w:rPr>
          <w:rFonts w:ascii="Times New Roman" w:hAnsi="Times New Roman"/>
        </w:rPr>
      </w:pPr>
      <w:r>
        <w:t xml:space="preserve">Средний размер назначенных месячных пенсий на 01.01.2024 сложился в размере 30 182,3 руб., номинальный рост – 7,9%, реальный – 0,3%. </w:t>
      </w:r>
    </w:p>
    <w:p w14:paraId="5C010000">
      <w:pPr>
        <w:pStyle w:val="Style_2"/>
        <w:widowControl w:val="0"/>
        <w:spacing w:line="240" w:lineRule="auto"/>
        <w:ind w:firstLine="709" w:left="0" w:right="0"/>
        <w:jc w:val="both"/>
        <w:rPr>
          <w:rFonts w:ascii="Times New Roman" w:hAnsi="Times New Roman"/>
        </w:rPr>
      </w:pPr>
      <w:r>
        <w:t xml:space="preserve">Соотношение среднего размера назначенной месячной пенсии к величине прожиточного минимума пенсионера на 01.01.2024 составило 133,0% (на 01.01.2023 – 134,0%). </w:t>
      </w:r>
    </w:p>
    <w:p w14:paraId="5D010000">
      <w:pPr>
        <w:pStyle w:val="Style_2"/>
        <w:widowControl w:val="0"/>
        <w:spacing w:line="240" w:lineRule="auto"/>
        <w:ind w:firstLine="709" w:left="0" w:right="0"/>
        <w:jc w:val="both"/>
        <w:rPr>
          <w:rFonts w:ascii="Times New Roman" w:hAnsi="Times New Roman"/>
        </w:rPr>
      </w:pPr>
      <w:r>
        <w:t xml:space="preserve">Начисленный фонд оплаты труда полного круга предприятий в 2023 году вырос относительно 2022 года на 14,7%, его номинальная величина составила 171 264,0 млн руб. </w:t>
      </w:r>
    </w:p>
    <w:p w14:paraId="5E010000">
      <w:pPr>
        <w:pStyle w:val="Style_2"/>
        <w:widowControl w:val="0"/>
        <w:spacing w:line="240" w:lineRule="auto"/>
        <w:ind w:firstLine="709" w:left="0" w:right="0"/>
        <w:jc w:val="both"/>
        <w:rPr>
          <w:rFonts w:ascii="Times New Roman" w:hAnsi="Times New Roman"/>
        </w:rPr>
      </w:pPr>
      <w:r>
        <w:t>Наибольшая доля фонда оплаты труда сформирована в традиционных и наиболее значимых для региона видах деятельности. На долю  рыболовства – 17,5%, органов государственного управления и обеспечения военной безопасности приходится 16,1%, обрабатывающих производств – 11,4%, образования – 8,8%, здравоохранения – 7,4%, транспортировки и хранения – 6,1%, энергетики – 6,1%, строительства – 3,8%, добычи полезных ископаемых – 3,6%, торговли – 3,4%, профессиональной, научной и технической деятельности – 3,3%, культуры и спорта – 1,8%, финансовой деятельности – 1,7%,  операций с недвижимым имуществом – 1,5%,  связи – 1,2%, сельского хозяйства – 0,7%.</w:t>
      </w:r>
    </w:p>
    <w:p w14:paraId="5F010000">
      <w:pPr>
        <w:pStyle w:val="Style_2"/>
        <w:widowControl w:val="0"/>
        <w:spacing w:line="240" w:lineRule="auto"/>
        <w:ind w:firstLine="709" w:left="0" w:right="0"/>
        <w:jc w:val="both"/>
        <w:rPr>
          <w:rFonts w:ascii="Times New Roman" w:hAnsi="Times New Roman"/>
        </w:rPr>
      </w:pPr>
      <w:r>
        <w:t xml:space="preserve">Номинально, среднемесячная заработная плата работников в 2023 году составила 119 563,0 руб. (115,5% к уровню 2022 года). Уровень реальной заработной платы составил 107,5%. </w:t>
      </w:r>
    </w:p>
    <w:p w14:paraId="60010000">
      <w:pPr>
        <w:pStyle w:val="Style_2"/>
        <w:widowControl w:val="0"/>
        <w:spacing w:line="240" w:lineRule="auto"/>
        <w:ind w:firstLine="709" w:left="0" w:right="0"/>
        <w:jc w:val="both"/>
        <w:rPr>
          <w:rFonts w:ascii="Times New Roman" w:hAnsi="Times New Roman"/>
        </w:rPr>
      </w:pPr>
      <w:r>
        <w:t>Сохраняется высокая межотраслевая дифференциация заработной платы. Наиболее высокий уровень заработной платы сложился по виду деятельности воздушного и космического транспорта – 210 403,8 руб. (176,0% от среднего значения по краю). Также выше среднекраевого значения заработная плата в следующих видах деятельности: рыболовстве и рыбоводстве – 191 015,9 руб. (159,8% от среднего значения по краю); добыче полезных ископаемых – 162 049,1 руб. (135,5%); производстве пищевых продуктов – 161 429,9 руб. (135,0%),  финансовой и страховой деятельности – 153 748,1 руб. (128,6%); деятельности водного транспорта – 150 710,6 руб. (126,1%); научных исследованиях и разработках – 127 103,1 руб. (106,3%).</w:t>
      </w:r>
    </w:p>
    <w:p w14:paraId="61010000">
      <w:pPr>
        <w:pStyle w:val="Style_2"/>
        <w:widowControl w:val="0"/>
        <w:spacing w:line="240" w:lineRule="auto"/>
        <w:ind w:firstLine="709" w:left="0" w:right="0"/>
        <w:jc w:val="both"/>
        <w:rPr>
          <w:rFonts w:ascii="Times New Roman" w:hAnsi="Times New Roman"/>
        </w:rPr>
      </w:pPr>
      <w:r>
        <w:t>Ниже среднекраевого значения заработная плата сложилась в таких видах деятельности как: транспортировка и хранение – 114 488,1 руб. (95,8%); профессиональная, научная и техническая – 115 526,0 руб. (96,6%); государственное управление и обеспечение военной безопасности – 112 764,5 руб. (94,3%); здравоохранение и социальные услуги – 105 611,0 руб. (88,3%); строительство – 88 719,7 руб. (74,2%); культура и спорт – 90 007,9 руб. (75,3%); водоснабжение и водоотведение – 85 400,6 руб. (71,4%); производство напитков – 78 236,1 руб. (65,4%); операции с недвижимым имуществом – 70 087,3 руб. (58,6%); лесоводство и лесозаготовки – 72 976,3 руб. (61,0%).</w:t>
      </w:r>
    </w:p>
    <w:p w14:paraId="62010000">
      <w:pPr>
        <w:pStyle w:val="Style_2"/>
        <w:widowControl w:val="0"/>
        <w:spacing w:line="240" w:lineRule="auto"/>
        <w:ind w:firstLine="709" w:left="0" w:right="0"/>
        <w:jc w:val="both"/>
        <w:rPr>
          <w:rFonts w:ascii="Times New Roman" w:hAnsi="Times New Roman"/>
        </w:rPr>
      </w:pPr>
      <w:r>
        <w:t>Соотношение среднемесячной номинальной заработной платы и прожиточного минимума трудоспособного населения составило 415,7% (в 2022 году – 391,4%).</w:t>
      </w:r>
    </w:p>
    <w:p w14:paraId="63010000">
      <w:pPr>
        <w:pStyle w:val="Style_2"/>
        <w:widowControl w:val="0"/>
        <w:spacing w:line="240" w:lineRule="auto"/>
        <w:ind w:firstLine="709" w:left="0" w:right="0"/>
        <w:jc w:val="both"/>
        <w:rPr>
          <w:rFonts w:ascii="Times New Roman" w:hAnsi="Times New Roman"/>
        </w:rPr>
      </w:pPr>
      <w:r>
        <w:t>Населению Камчатского края предоставляется 80 видов мер социальной поддержки. Получателями являются более 102,6 тыс. человек, т.е. каждый третий житель края, – это ветераны войны и труда, дети войны, инвалиды, семьи с детьми, пожилые граждане. Среди основных мер – поддержка по оплате жилого помещения и коммунальных услуг, предоставление льготного проезда городским и пригородным транспортом по социальным проездным билетам для федеральных и региональных льготников, ежемесячные адресные выплаты отдельным категориям ветеранов войны, государственные пособия и выплаты семьям с детьми, региональная социальная доплата к пенсии и социальная доплата к пенсии пенсионерам, проживающим в Корякском округе. Многодетным семьям предоставляется более 20 видов социальных выплат (на лекарственное обеспечение, проезд в общественном транспорте, на школьно-письменные принадлежности, при одновременном рождении двух и более детей, на оплату коммунальных платежей и др).</w:t>
      </w:r>
    </w:p>
    <w:p w14:paraId="64010000">
      <w:pPr>
        <w:pStyle w:val="Style_2"/>
        <w:widowControl w:val="0"/>
        <w:spacing w:line="240" w:lineRule="auto"/>
        <w:ind w:firstLine="709" w:left="0" w:right="0"/>
        <w:jc w:val="both"/>
        <w:rPr>
          <w:rFonts w:ascii="Times New Roman" w:hAnsi="Times New Roman"/>
        </w:rPr>
      </w:pPr>
      <w:r>
        <w:t>По оценке, в 2024 году среднегодовая начисленная заработная плата в среднем по региону составит 134 149,7 руб. Реальные располагаемые денежные доходы населения составят 103,5%, реальная заработная плата – 103,9%.</w:t>
      </w:r>
    </w:p>
    <w:p w14:paraId="65010000">
      <w:pPr>
        <w:pStyle w:val="Style_2"/>
        <w:widowControl w:val="0"/>
        <w:spacing w:line="240" w:lineRule="auto"/>
        <w:ind w:firstLine="709" w:left="0" w:right="0"/>
        <w:jc w:val="both"/>
        <w:rPr>
          <w:rFonts w:ascii="Times New Roman" w:hAnsi="Times New Roman"/>
        </w:rPr>
      </w:pPr>
      <w:r>
        <w:t xml:space="preserve">С 1 января 2024 года размер величины прожиточного минимума установлен в размере 27 602 руб. на душу населения. </w:t>
      </w:r>
    </w:p>
    <w:p w14:paraId="66010000">
      <w:pPr>
        <w:pStyle w:val="Style_2"/>
        <w:widowControl w:val="0"/>
        <w:spacing w:line="240" w:lineRule="auto"/>
        <w:ind w:firstLine="709" w:left="0" w:right="0"/>
        <w:jc w:val="both"/>
        <w:rPr>
          <w:rFonts w:ascii="Times New Roman" w:hAnsi="Times New Roman"/>
        </w:rPr>
      </w:pPr>
      <w:r>
        <w:t xml:space="preserve">Прогноз денежных доходов населения согласно базовому варианту отражает результаты реализации основных целей социальной государственной и региональной политики в этом периоде. Исходя из критериев, формирующих базовый вариант прогноза, реальные располагаемые денежные доходы в 2027 году составят 102,0%. </w:t>
      </w:r>
    </w:p>
    <w:p w14:paraId="67010000">
      <w:pPr>
        <w:pStyle w:val="Style_2"/>
        <w:widowControl w:val="0"/>
        <w:spacing w:line="240" w:lineRule="auto"/>
        <w:ind w:firstLine="709" w:left="0" w:right="0"/>
        <w:jc w:val="both"/>
        <w:rPr>
          <w:rFonts w:ascii="Times New Roman" w:hAnsi="Times New Roman"/>
        </w:rPr>
      </w:pPr>
      <w:r>
        <w:t xml:space="preserve">Дополнительный вклад в рост доходов населения внесет рост доходов от предпринимательской деятельности. В условиях развития новых форм ведения бизнеса и легализации занятости в ближайшие годы будет расти число самозанятых граждан, индивидуальных предпринимателей и занятых у индивидуальных предпринимателей. </w:t>
      </w:r>
    </w:p>
    <w:p w14:paraId="68010000">
      <w:pPr>
        <w:pStyle w:val="Style_2"/>
        <w:widowControl w:val="0"/>
        <w:spacing w:line="240" w:lineRule="auto"/>
        <w:ind w:firstLine="709" w:left="0" w:right="0"/>
        <w:jc w:val="both"/>
        <w:rPr>
          <w:rFonts w:ascii="Times New Roman" w:hAnsi="Times New Roman"/>
        </w:rPr>
      </w:pPr>
      <w:r>
        <w:t>В прогнозе с 2025 года по 2027 год предусмотрен рост номинальной и реальной заработной платы. К 2027 году заработная плата составит 166,2 тыс. руб. Её номинальный рост к уровню средней оплаты труда 2024 года составит порядка 23,9%.</w:t>
      </w:r>
    </w:p>
    <w:p w14:paraId="69010000">
      <w:pPr>
        <w:pStyle w:val="Style_2"/>
        <w:widowControl w:val="0"/>
        <w:spacing w:line="240" w:lineRule="auto"/>
        <w:ind w:firstLine="709" w:left="0" w:right="0"/>
        <w:jc w:val="both"/>
        <w:rPr>
          <w:rFonts w:ascii="Times New Roman" w:hAnsi="Times New Roman"/>
        </w:rPr>
      </w:pPr>
      <w:r>
        <w:t xml:space="preserve">Численность населения с денежными доходами ниже величины прожиточного минимума будет снижаться с 10,7% в 2024 году до 9,5% в 2027 году. </w:t>
      </w:r>
    </w:p>
    <w:p w14:paraId="6A010000">
      <w:pPr>
        <w:pStyle w:val="Style_2"/>
        <w:widowControl w:val="0"/>
        <w:spacing w:line="240" w:lineRule="auto"/>
        <w:ind w:firstLine="709" w:left="0" w:right="0"/>
        <w:jc w:val="both"/>
        <w:rPr>
          <w:rFonts w:ascii="Times New Roman" w:hAnsi="Times New Roman"/>
        </w:rPr>
      </w:pPr>
      <w:r>
        <w:t>В результате реализации сценарных условий базового варианта ожидается устойчивый рост показателей уровня жизни, снижение размеров и глубины бедности, сокращение социально-экономической дифференциации населения.</w:t>
      </w:r>
    </w:p>
    <w:p w14:paraId="6B010000">
      <w:pPr>
        <w:pStyle w:val="Style_2"/>
        <w:widowControl w:val="0"/>
        <w:spacing w:line="240" w:lineRule="auto"/>
        <w:ind w:firstLine="709" w:left="0" w:right="0"/>
        <w:jc w:val="both"/>
        <w:rPr>
          <w:rFonts w:ascii="Times New Roman" w:hAnsi="Times New Roman"/>
        </w:rPr>
      </w:pPr>
      <w:r>
        <w:t>По консервативному варианту прогноза среднемесячная номинальная начисленная заработная плата составит 158,0 тыс. руб. в 2027 году с номинальным приростом к уровню средней оплаты труда 2024 года на 17,8%.</w:t>
      </w:r>
    </w:p>
    <w:p w14:paraId="6C010000">
      <w:pPr>
        <w:pStyle w:val="Style_2"/>
        <w:widowControl w:val="0"/>
        <w:spacing w:line="240" w:lineRule="auto"/>
        <w:ind w:firstLine="709" w:left="0" w:right="0"/>
        <w:rPr>
          <w:rFonts w:ascii="Times New Roman" w:hAnsi="Times New Roman"/>
          <w:b w:val="1"/>
          <w:color w:val="953735"/>
        </w:rPr>
      </w:pPr>
    </w:p>
    <w:p w14:paraId="6D010000">
      <w:pPr>
        <w:pStyle w:val="Style_2"/>
        <w:widowControl w:val="0"/>
        <w:spacing w:line="240" w:lineRule="auto"/>
        <w:ind/>
        <w:rPr>
          <w:rFonts w:ascii="Times New Roman" w:hAnsi="Times New Roman"/>
        </w:rPr>
      </w:pPr>
      <w:r>
        <w:rPr>
          <w:b w:val="1"/>
          <w:color w:val="000000"/>
        </w:rPr>
        <w:t>8. Труд и занятость</w:t>
      </w:r>
    </w:p>
    <w:p w14:paraId="6E010000">
      <w:pPr>
        <w:pStyle w:val="Style_2"/>
        <w:widowControl w:val="0"/>
        <w:spacing w:line="240" w:lineRule="auto"/>
        <w:ind w:firstLine="709" w:left="0" w:right="0"/>
        <w:jc w:val="both"/>
        <w:rPr>
          <w:rFonts w:ascii="Times New Roman" w:hAnsi="Times New Roman"/>
        </w:rPr>
      </w:pPr>
      <w:r>
        <w:t>Ситуация на рынке труда Камчатского края в 2023 году характеризуется относительно стабильными показателями. Численность безработных граждан, зарегистрированных в органах службы занятости с целью поиска подходящей работы, составила 1,4 тыс. человек (на конец 2022 года – 1,8 тыс. чел.).</w:t>
      </w:r>
    </w:p>
    <w:p w14:paraId="6F010000">
      <w:pPr>
        <w:pStyle w:val="Style_2"/>
        <w:widowControl w:val="0"/>
        <w:spacing w:line="240" w:lineRule="auto"/>
        <w:ind w:firstLine="709" w:left="0" w:right="0"/>
        <w:jc w:val="both"/>
        <w:rPr>
          <w:rFonts w:ascii="Times New Roman" w:hAnsi="Times New Roman"/>
        </w:rPr>
      </w:pPr>
      <w:r>
        <w:t xml:space="preserve">Уровень регистрируемой безработицы по Камчатскому краю, рассчитанный как отношение численности безработных граждан к численности рабочей силы, на конец 2023 года составил 0,8% (на 01.01.2023 – 1,1%). </w:t>
      </w:r>
    </w:p>
    <w:p w14:paraId="70010000">
      <w:pPr>
        <w:pStyle w:val="Style_2"/>
        <w:widowControl w:val="0"/>
        <w:spacing w:line="240" w:lineRule="auto"/>
        <w:ind w:firstLine="709" w:left="0" w:right="0"/>
        <w:jc w:val="both"/>
        <w:rPr>
          <w:rFonts w:ascii="Times New Roman" w:hAnsi="Times New Roman"/>
        </w:rPr>
      </w:pPr>
      <w:r>
        <w:t xml:space="preserve">Численность рабочей силы (экономически активного населения) в 2023 году составила 167,2 тыс. человек или 57,9% от общей численности постоянного населения. </w:t>
      </w:r>
    </w:p>
    <w:p w14:paraId="71010000">
      <w:pPr>
        <w:pStyle w:val="Style_2"/>
        <w:widowControl w:val="0"/>
        <w:spacing w:line="240" w:lineRule="auto"/>
        <w:ind w:firstLine="709" w:left="0" w:right="0"/>
        <w:jc w:val="both"/>
        <w:rPr>
          <w:rFonts w:ascii="Times New Roman" w:hAnsi="Times New Roman"/>
        </w:rPr>
      </w:pPr>
      <w:r>
        <w:t>Общий уровень безработицы в 2023 году составил 2,1% (2,9% в 2022 году). Численность безработных, рассчитанная по методологии МОТ, составила – 3,5 тыс. человек (4,9 тыс. чел. в 2022 году).</w:t>
      </w:r>
    </w:p>
    <w:p w14:paraId="72010000">
      <w:pPr>
        <w:pStyle w:val="Style_2"/>
        <w:spacing w:line="240" w:lineRule="auto"/>
        <w:ind w:firstLine="709" w:left="0" w:right="0"/>
        <w:jc w:val="both"/>
        <w:rPr>
          <w:rFonts w:ascii="Times New Roman" w:hAnsi="Times New Roman"/>
        </w:rPr>
      </w:pPr>
      <w:r>
        <w:t xml:space="preserve">Численность официально зарегистрированных безработных граждан на конец 2023 года составила 1,4 тыс. человек. </w:t>
      </w:r>
    </w:p>
    <w:p w14:paraId="73010000">
      <w:pPr>
        <w:pStyle w:val="Style_2"/>
        <w:spacing w:line="240" w:lineRule="auto"/>
        <w:ind w:firstLine="709" w:left="0" w:right="0"/>
        <w:jc w:val="both"/>
        <w:rPr>
          <w:rFonts w:ascii="Times New Roman" w:hAnsi="Times New Roman"/>
        </w:rPr>
      </w:pPr>
      <w:r>
        <w:t>В течение 2023 года в органы государственной службы занятости населения Камчатского края за содействием в трудоустройстве обратились 5,5 тыс. человек, из них трудоустроено 2,9 тыс. человек или 52,3% (в 2022 году – 45,8%).</w:t>
      </w:r>
    </w:p>
    <w:p w14:paraId="74010000">
      <w:pPr>
        <w:pStyle w:val="Style_2"/>
        <w:spacing w:line="240" w:lineRule="auto"/>
        <w:ind w:firstLine="709" w:left="0" w:right="0"/>
        <w:jc w:val="both"/>
        <w:rPr>
          <w:rFonts w:ascii="Times New Roman" w:hAnsi="Times New Roman"/>
        </w:rPr>
      </w:pPr>
      <w:r>
        <w:t>Количество заявленных вакансий в течение 2023 года составило 16,1 тыс. единиц, из них 59,5% – вакансии рабочих профессий.</w:t>
      </w:r>
    </w:p>
    <w:p w14:paraId="75010000">
      <w:pPr>
        <w:pStyle w:val="Style_2"/>
        <w:spacing w:line="240" w:lineRule="auto"/>
        <w:ind w:firstLine="709" w:left="0" w:right="0"/>
        <w:jc w:val="both"/>
        <w:rPr>
          <w:rFonts w:ascii="Times New Roman" w:hAnsi="Times New Roman"/>
        </w:rPr>
      </w:pPr>
      <w:r>
        <w:t>Потребность в работниках в Камчатском крае на 01.01.2024 составила 6,1 тыс. человек (на 01.01.2023 – 4,9 тыс. человек). Напряженность на рынке труда составила 0,3 человека на одну заявленную вакансию (на 01.01.2023 – 0,4).</w:t>
      </w:r>
    </w:p>
    <w:p w14:paraId="76010000">
      <w:pPr>
        <w:pStyle w:val="Style_2"/>
        <w:spacing w:line="240" w:lineRule="auto"/>
        <w:ind w:firstLine="709" w:left="0" w:right="0"/>
        <w:jc w:val="both"/>
        <w:rPr>
          <w:rFonts w:ascii="Times New Roman" w:hAnsi="Times New Roman"/>
        </w:rPr>
      </w:pPr>
      <w:r>
        <w:t>Проведено 122 ярмарок вакансий, при этом наибольшей популярностью пользуются специализированные мини-ярмарки вакансий, на которых решаются проблемы конкретных работодателей по заполнению имеющихся вакансий.</w:t>
      </w:r>
    </w:p>
    <w:p w14:paraId="77010000">
      <w:pPr>
        <w:pStyle w:val="Style_2"/>
        <w:spacing w:line="240" w:lineRule="auto"/>
        <w:ind w:firstLine="709" w:left="0" w:right="0"/>
        <w:jc w:val="both"/>
        <w:rPr>
          <w:rFonts w:ascii="Times New Roman" w:hAnsi="Times New Roman"/>
        </w:rPr>
      </w:pPr>
      <w:r>
        <w:t xml:space="preserve">В целях создания условий для удовлетворения потребностей рынка труда квалифицированными кадрами в соответствии с социальными и экономическими задачами развития Камчатского края, устранения имеющегося дисбаланса в системе подготовки кадров реализуется государственная программа Камчатского края «Развитие образования в Камчатском крае». Ключевая цель направления </w:t>
      </w:r>
      <w:r>
        <w:t>–</w:t>
      </w:r>
      <w:r>
        <w:t xml:space="preserve"> увеличение доли выпускников образовательных организаций, реализующих программы среднего профессионального образования, занятых по виду деятельности и полученным компетенциям до 63,3% в 2030 году. Основными задачами подпрограммы являются:</w:t>
      </w:r>
    </w:p>
    <w:p w14:paraId="78010000">
      <w:pPr>
        <w:pStyle w:val="Style_2"/>
        <w:spacing w:line="240" w:lineRule="auto"/>
        <w:ind w:firstLine="709" w:left="0" w:right="0"/>
        <w:jc w:val="both"/>
        <w:rPr>
          <w:rFonts w:ascii="Times New Roman" w:hAnsi="Times New Roman"/>
        </w:rPr>
      </w:pPr>
      <w:r>
        <w:t>1) разработка 100% образовательных программ Профессионалитета во взаимодействии с работодателями; обеспечение функционирования современной системы опережающей профессиональной подготовки в соответствии с запросами отраслей экономики Камчатского края;</w:t>
      </w:r>
    </w:p>
    <w:p w14:paraId="79010000">
      <w:pPr>
        <w:pStyle w:val="Style_2"/>
        <w:spacing w:line="240" w:lineRule="auto"/>
        <w:ind w:firstLine="709" w:left="0" w:right="0"/>
        <w:jc w:val="both"/>
        <w:rPr>
          <w:rFonts w:ascii="Times New Roman" w:hAnsi="Times New Roman"/>
        </w:rPr>
      </w:pPr>
      <w:r>
        <w:t>2) обеспечение реализации образовательных программ среднего профессионального образования, которое характеризуется увеличением доли выпускников образовательных организаций, реализующих программы среднего профессионального образования, занятых по виду деятельности и полученным компетенциям;</w:t>
      </w:r>
    </w:p>
    <w:p w14:paraId="7A010000">
      <w:pPr>
        <w:pStyle w:val="Style_2"/>
        <w:spacing w:line="240" w:lineRule="auto"/>
        <w:ind w:firstLine="709" w:left="0" w:right="0"/>
        <w:jc w:val="both"/>
        <w:rPr>
          <w:rFonts w:ascii="Times New Roman" w:hAnsi="Times New Roman"/>
        </w:rPr>
      </w:pPr>
      <w:r>
        <w:t>3) подготовка квалифицированных рабочих, служащих и специалистов среднего звена в соответствии с современными стандартами и передовыми технологиями путем сохранения и развития современной материально-технической базы профессиональных образовательных организаций.</w:t>
      </w:r>
    </w:p>
    <w:p w14:paraId="7B010000">
      <w:pPr>
        <w:pStyle w:val="Style_2"/>
        <w:spacing w:line="240" w:lineRule="auto"/>
        <w:ind w:firstLine="709" w:left="0" w:right="0"/>
        <w:jc w:val="both"/>
        <w:rPr>
          <w:rFonts w:ascii="Times New Roman" w:hAnsi="Times New Roman"/>
        </w:rPr>
      </w:pPr>
      <w:r>
        <w:t>Важная роль регулирования ситуации на рынке труда возложена на государственную программу Камчатского края «Содействие занятости населения Камчатского края», одной из целей которой является реализация региональной политики, направленной на развитие трудовых ресурсов, повышение их мобильности и защиту регионального рынка труда.</w:t>
      </w:r>
    </w:p>
    <w:p w14:paraId="7C010000">
      <w:pPr>
        <w:pStyle w:val="Style_2"/>
        <w:spacing w:line="240" w:lineRule="auto"/>
        <w:ind w:firstLine="709" w:left="0" w:right="0"/>
        <w:jc w:val="both"/>
        <w:rPr>
          <w:rFonts w:ascii="Times New Roman" w:hAnsi="Times New Roman"/>
        </w:rPr>
      </w:pPr>
      <w:r>
        <w:t>С 2016 по 2022 годы в Камчатском крае проведено 6 региональных чемпионатов «Молодые профессионалы (Ворлдскиллс Россия)». Количество компетенций увеличилось с 5 до 22. Представители Камчатского края ежегодно принимают участие в Финале Национального чемпионата «Молодые профессионалы (Ворлдскиллс Россия)». Мероприятие «Молодые профессионалы (Ворлдскиллс Россия)» в Камчатском крае пользуется популярностью у обучающихся общеобразовательных организаций Камчатского края, их родителей. С 2016 года по 2022 годы конкурс посетили более 6000 зрителей. Количество участников Финала выросло за этот период с 1 до 5.</w:t>
      </w:r>
    </w:p>
    <w:p w14:paraId="7D010000">
      <w:pPr>
        <w:pStyle w:val="Style_2"/>
        <w:spacing w:line="240" w:lineRule="auto"/>
        <w:ind w:firstLine="709" w:left="0" w:right="0"/>
        <w:jc w:val="both"/>
        <w:rPr>
          <w:rFonts w:ascii="Times New Roman" w:hAnsi="Times New Roman"/>
        </w:rPr>
      </w:pPr>
      <w:r>
        <w:rPr>
          <w:color w:val="151515"/>
        </w:rPr>
        <w:t xml:space="preserve">С 2023 года в Российской Федерации стартовало новое Всероссийское чемпионатное движение по профессиональному мастерству. </w:t>
      </w:r>
    </w:p>
    <w:p w14:paraId="7E010000">
      <w:pPr>
        <w:pStyle w:val="Style_2"/>
        <w:spacing w:line="240" w:lineRule="auto"/>
        <w:ind w:firstLine="709" w:left="0" w:right="0"/>
        <w:jc w:val="both"/>
        <w:rPr>
          <w:rFonts w:ascii="Times New Roman" w:hAnsi="Times New Roman"/>
        </w:rPr>
      </w:pPr>
      <w:r>
        <w:rPr>
          <w:color w:val="151515"/>
        </w:rPr>
        <w:t>В апреле 2023 года в Камчатском крае был проведен региональный этап Чемпионата по профессиональному мастерству «Профессионалы» на 10 площадках. В основной категории проведены соревнования по 20 компетенциям, в которых приняли участие 117 конкурсантов в общем зачете, 107 экспертов-наставников, 26 индустриальных экспертов.</w:t>
      </w:r>
    </w:p>
    <w:p w14:paraId="7F010000">
      <w:pPr>
        <w:pStyle w:val="Style_2"/>
        <w:spacing w:line="240" w:lineRule="auto"/>
        <w:ind w:firstLine="709" w:left="0" w:right="0"/>
        <w:jc w:val="both"/>
        <w:rPr>
          <w:rFonts w:ascii="Times New Roman" w:hAnsi="Times New Roman"/>
        </w:rPr>
      </w:pPr>
      <w:r>
        <w:rPr>
          <w:color w:val="151515"/>
        </w:rPr>
        <w:t>В категории «Юниоры» проведены соревнования по 5 компетенциям, в которых приняли участие 25 конкурсантов в общем зачете, 5 конкурсантов вне зачета, 25 экспертов-наставников, 7 индустриальных экспертов.</w:t>
      </w:r>
    </w:p>
    <w:p w14:paraId="80010000">
      <w:pPr>
        <w:pStyle w:val="Style_2"/>
        <w:spacing w:line="240" w:lineRule="auto"/>
        <w:ind w:firstLine="709" w:left="0" w:right="0"/>
        <w:jc w:val="both"/>
        <w:rPr>
          <w:rFonts w:ascii="Times New Roman" w:hAnsi="Times New Roman"/>
        </w:rPr>
      </w:pPr>
      <w:r>
        <w:rPr>
          <w:color w:val="151515"/>
        </w:rPr>
        <w:t>Партнерами регионального этапа стали 35 организаций, в том числе 25 предоставили вакансии или стажировки для победителей и призеров. Деловая программа состоялась по 7 направлениям. Проведено 16 мероприятий, в которых приняли участие 700 человек. В рамках регионального этапа также реализована профориентационная программа, в которой приняли участие 506 школьников. Для обеспечения качественной организации и проведения регионального этапа задействованы 102 волонтера.</w:t>
      </w:r>
    </w:p>
    <w:p w14:paraId="81010000">
      <w:pPr>
        <w:pStyle w:val="Style_2"/>
        <w:spacing w:line="240" w:lineRule="auto"/>
        <w:ind w:firstLine="709" w:left="0" w:right="0"/>
        <w:jc w:val="both"/>
        <w:rPr>
          <w:rFonts w:ascii="Times New Roman" w:hAnsi="Times New Roman"/>
        </w:rPr>
      </w:pPr>
      <w:r>
        <w:t>В период с 26.02.2024 по 29.02.2024 гг. на территории Камчатского края проведен региональный этап чемпионата по профессиональному мастерству «Профессионалы» (далее - Чемпионат). В конкурсных мероприятиях по 26 компетенциям приняли участие 164 конкурсанта, 235 экспертов, 203 волонтера.</w:t>
      </w:r>
    </w:p>
    <w:p w14:paraId="82010000">
      <w:pPr>
        <w:pStyle w:val="Style_2"/>
        <w:widowControl w:val="0"/>
        <w:spacing w:line="240" w:lineRule="auto"/>
        <w:ind w:firstLine="709" w:left="0" w:right="0"/>
        <w:jc w:val="both"/>
        <w:rPr>
          <w:rFonts w:ascii="Times New Roman" w:hAnsi="Times New Roman"/>
        </w:rPr>
      </w:pPr>
      <w:r>
        <w:t>Партнерами Чемпионата в 2024 году выступили 73 организации, которые предоставили 38 вакансий и 119 стажировок для участников соревнований. В организованных на площадках Чемпионата профориентационных мероприятиях приняло участие 578 школьников.</w:t>
      </w:r>
    </w:p>
    <w:p w14:paraId="83010000">
      <w:pPr>
        <w:pStyle w:val="Style_2"/>
        <w:spacing w:line="240" w:lineRule="auto"/>
        <w:ind w:firstLine="709" w:left="0" w:right="0"/>
        <w:jc w:val="both"/>
        <w:rPr>
          <w:rFonts w:ascii="Times New Roman" w:hAnsi="Times New Roman"/>
        </w:rPr>
      </w:pPr>
      <w:r>
        <w:t>В 2025</w:t>
      </w:r>
      <w:r>
        <w:rPr>
          <w:color w:val="000000"/>
        </w:rPr>
        <w:t>–</w:t>
      </w:r>
      <w:r>
        <w:t>2027 годах проблемными останутся такие вопросы, как структурное несоответствие спроса и предложения рабочей силы, недостаток кадров необходимой квалификации, присутствие на рынке труда значительного числа граждан, испытывающих трудности в поиске подходящей работы.</w:t>
      </w:r>
    </w:p>
    <w:p w14:paraId="84010000">
      <w:pPr>
        <w:pStyle w:val="Style_2"/>
        <w:spacing w:line="240" w:lineRule="auto"/>
        <w:ind w:firstLine="709" w:left="0" w:right="0"/>
        <w:jc w:val="both"/>
        <w:rPr>
          <w:rFonts w:ascii="Times New Roman" w:hAnsi="Times New Roman"/>
        </w:rPr>
      </w:pPr>
      <w:r>
        <w:t>Согласно базовому варианту численность безработных, рассчитанная по методологии МОТ, сократится с 3,5 тыс. человек в 2024 году до 3,2 тыс. человек в 2027 году, уровень безработицы сократится с 2,1% в 2024 году до 1,8% в 2027 году.</w:t>
      </w:r>
    </w:p>
    <w:p w14:paraId="85010000">
      <w:pPr>
        <w:pStyle w:val="Style_2"/>
        <w:spacing w:line="240" w:lineRule="auto"/>
        <w:ind w:firstLine="709" w:left="0" w:right="0"/>
        <w:jc w:val="both"/>
        <w:rPr>
          <w:rFonts w:ascii="Times New Roman" w:hAnsi="Times New Roman"/>
        </w:rPr>
      </w:pPr>
      <w:r>
        <w:t>Предполагается, что количество официально зарегистрированных безработных сократится с 1,4 тыс. человек в 2024 году до 1,1 тыс. человек в 2027 году. Уровень официально зарегистрированной безработицы будет стабильно снижаться и к 2027 году достигнет 0,6%.</w:t>
      </w:r>
    </w:p>
    <w:p w14:paraId="86010000">
      <w:pPr>
        <w:pStyle w:val="Style_2"/>
        <w:spacing w:line="240" w:lineRule="auto"/>
        <w:ind w:firstLine="709" w:left="0" w:right="0"/>
        <w:jc w:val="both"/>
        <w:rPr>
          <w:rFonts w:ascii="Times New Roman" w:hAnsi="Times New Roman"/>
        </w:rPr>
      </w:pPr>
      <w:r>
        <w:t>Согласно консервативному варианту численность безработных, рассчитанная по методологии МОТ, к 2027 году составит 3,5 тыс. человек. Уровень безработицы составит в 2027 году 2,1%.</w:t>
      </w:r>
    </w:p>
    <w:p w14:paraId="87010000">
      <w:pPr>
        <w:pStyle w:val="Style_2"/>
        <w:spacing w:line="240" w:lineRule="auto"/>
        <w:ind w:firstLine="709" w:left="0" w:right="0"/>
        <w:jc w:val="both"/>
        <w:rPr>
          <w:rFonts w:ascii="Times New Roman" w:hAnsi="Times New Roman"/>
        </w:rPr>
      </w:pPr>
      <w:r>
        <w:t>Предполагается, что количество официально зарегистрированных безработных сократится к 2027 году составит 1,4 тыс. человек. Уровень официально зарегистрированной безработицы составит 0,9% в 2027 году.</w:t>
      </w:r>
    </w:p>
    <w:p w14:paraId="88010000">
      <w:pPr>
        <w:pStyle w:val="Style_2"/>
        <w:spacing w:line="240" w:lineRule="auto"/>
        <w:ind w:firstLine="709" w:left="0" w:right="0"/>
        <w:jc w:val="both"/>
        <w:rPr>
          <w:rFonts w:ascii="Times New Roman" w:hAnsi="Times New Roman"/>
        </w:rPr>
      </w:pPr>
    </w:p>
    <w:p w14:paraId="89010000">
      <w:pPr>
        <w:pStyle w:val="Style_2"/>
        <w:spacing w:line="240" w:lineRule="auto"/>
        <w:ind/>
        <w:jc w:val="center"/>
        <w:rPr>
          <w:rFonts w:ascii="Times New Roman" w:hAnsi="Times New Roman"/>
        </w:rPr>
      </w:pPr>
      <w:r>
        <w:t>Прогноз потребности в привлечении иностранных работников в Камчатский край по отдельным видам экономической деятельности</w:t>
      </w:r>
    </w:p>
    <w:p w14:paraId="8A010000">
      <w:pPr>
        <w:pStyle w:val="Style_2"/>
        <w:spacing w:line="240" w:lineRule="auto"/>
        <w:ind w:firstLine="7938" w:left="0" w:right="0"/>
        <w:jc w:val="right"/>
        <w:rPr>
          <w:rFonts w:ascii="Times New Roman" w:hAnsi="Times New Roman"/>
        </w:rPr>
      </w:pPr>
      <w:r>
        <w:t>человек</w:t>
      </w:r>
    </w:p>
    <w:tbl>
      <w:tblPr>
        <w:tblStyle w:val="Style_6"/>
        <w:tblInd w:type="dxa" w:w="103"/>
        <w:tblLayout w:type="fixed"/>
        <w:tblCellMar>
          <w:top w:type="dxa" w:w="0"/>
          <w:left w:type="dxa" w:w="108"/>
          <w:bottom w:type="dxa" w:w="0"/>
          <w:right w:type="dxa" w:w="108"/>
        </w:tblCellMar>
      </w:tblPr>
      <w:tblGrid>
        <w:gridCol w:w="819"/>
        <w:gridCol w:w="3785"/>
        <w:gridCol w:w="916"/>
        <w:gridCol w:w="922"/>
        <w:gridCol w:w="916"/>
        <w:gridCol w:w="915"/>
        <w:gridCol w:w="917"/>
        <w:gridCol w:w="911"/>
      </w:tblGrid>
      <w:tr>
        <w:tc>
          <w:tcPr>
            <w:tcW w:type="dxa" w:w="819"/>
            <w:vMerge w:val="restart"/>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vAlign w:val="center"/>
          </w:tcPr>
          <w:p w14:paraId="8B010000">
            <w:pPr>
              <w:pStyle w:val="Style_2"/>
              <w:spacing w:after="0" w:before="0" w:line="240" w:lineRule="auto"/>
              <w:ind/>
              <w:jc w:val="center"/>
              <w:rPr>
                <w:rFonts w:ascii="Times New Roman" w:hAnsi="Times New Roman"/>
              </w:rPr>
            </w:pPr>
            <w:r>
              <w:rPr>
                <w:color w:val="000000"/>
                <w:sz w:val="18"/>
              </w:rPr>
              <w:t>№</w:t>
            </w:r>
          </w:p>
          <w:p w14:paraId="8C010000">
            <w:pPr>
              <w:pStyle w:val="Style_2"/>
              <w:spacing w:after="0" w:before="0" w:line="240" w:lineRule="auto"/>
              <w:ind/>
              <w:jc w:val="center"/>
              <w:rPr>
                <w:rFonts w:ascii="Times New Roman" w:hAnsi="Times New Roman"/>
              </w:rPr>
            </w:pPr>
            <w:r>
              <w:rPr>
                <w:color w:val="000000"/>
                <w:sz w:val="18"/>
              </w:rPr>
              <w:t>ОКВЭД</w:t>
            </w:r>
          </w:p>
        </w:tc>
        <w:tc>
          <w:tcPr>
            <w:tcW w:type="dxa" w:w="3785"/>
            <w:vMerge w:val="restart"/>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vAlign w:val="center"/>
          </w:tcPr>
          <w:p w14:paraId="8D010000">
            <w:pPr>
              <w:pStyle w:val="Style_2"/>
              <w:spacing w:after="0" w:before="0" w:line="240" w:lineRule="auto"/>
              <w:ind/>
              <w:jc w:val="center"/>
              <w:rPr>
                <w:rFonts w:ascii="Times New Roman" w:hAnsi="Times New Roman"/>
              </w:rPr>
            </w:pPr>
            <w:r>
              <w:rPr>
                <w:color w:val="000000"/>
                <w:sz w:val="18"/>
              </w:rPr>
              <w:t>Наименование</w:t>
            </w:r>
          </w:p>
        </w:tc>
        <w:tc>
          <w:tcPr>
            <w:tcW w:type="dxa" w:w="916"/>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vAlign w:val="center"/>
          </w:tcPr>
          <w:p w14:paraId="8E010000">
            <w:pPr>
              <w:pStyle w:val="Style_2"/>
              <w:spacing w:after="0" w:before="0" w:line="240" w:lineRule="auto"/>
              <w:ind/>
              <w:jc w:val="center"/>
              <w:rPr>
                <w:rFonts w:ascii="Times New Roman" w:hAnsi="Times New Roman"/>
              </w:rPr>
            </w:pPr>
            <w:r>
              <w:rPr>
                <w:sz w:val="18"/>
              </w:rPr>
              <w:t>отчет</w:t>
            </w:r>
          </w:p>
        </w:tc>
        <w:tc>
          <w:tcPr>
            <w:tcW w:type="dxa" w:w="922"/>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vAlign w:val="center"/>
          </w:tcPr>
          <w:p w14:paraId="8F010000">
            <w:pPr>
              <w:pStyle w:val="Style_2"/>
              <w:spacing w:after="0" w:before="0" w:line="240" w:lineRule="auto"/>
              <w:ind/>
              <w:jc w:val="center"/>
              <w:rPr>
                <w:rFonts w:ascii="Times New Roman" w:hAnsi="Times New Roman"/>
              </w:rPr>
            </w:pPr>
            <w:r>
              <w:rPr>
                <w:sz w:val="18"/>
              </w:rPr>
              <w:t>отчет</w:t>
            </w:r>
          </w:p>
        </w:tc>
        <w:tc>
          <w:tcPr>
            <w:tcW w:type="dxa" w:w="916"/>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vAlign w:val="center"/>
          </w:tcPr>
          <w:p w14:paraId="90010000">
            <w:pPr>
              <w:pStyle w:val="Style_2"/>
              <w:spacing w:after="0" w:before="0" w:line="240" w:lineRule="auto"/>
              <w:ind/>
              <w:jc w:val="center"/>
              <w:rPr>
                <w:rFonts w:ascii="Times New Roman" w:hAnsi="Times New Roman"/>
              </w:rPr>
            </w:pPr>
            <w:r>
              <w:rPr>
                <w:color w:val="000000"/>
                <w:sz w:val="18"/>
              </w:rPr>
              <w:t>оценка</w:t>
            </w:r>
          </w:p>
        </w:tc>
        <w:tc>
          <w:tcPr>
            <w:tcW w:type="dxa" w:w="2743"/>
            <w:gridSpan w:val="3"/>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vAlign w:val="center"/>
          </w:tcPr>
          <w:p w14:paraId="91010000">
            <w:pPr>
              <w:pStyle w:val="Style_2"/>
              <w:spacing w:after="0" w:before="0" w:line="240" w:lineRule="auto"/>
              <w:ind/>
              <w:jc w:val="center"/>
              <w:rPr>
                <w:rFonts w:ascii="Times New Roman" w:hAnsi="Times New Roman"/>
              </w:rPr>
            </w:pPr>
            <w:r>
              <w:rPr>
                <w:color w:val="000000"/>
                <w:sz w:val="18"/>
              </w:rPr>
              <w:t>прогноз</w:t>
            </w:r>
          </w:p>
        </w:tc>
      </w:tr>
      <w:tr>
        <w:tc>
          <w:tcPr>
            <w:tcW w:type="dxa" w:w="819"/>
            <w:gridSpan w:val="1"/>
            <w:vMerge w:val="continue"/>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vAlign w:val="center"/>
          </w:tcPr>
          <w:p/>
        </w:tc>
        <w:tc>
          <w:tcPr>
            <w:tcW w:type="dxa" w:w="3785"/>
            <w:gridSpan w:val="1"/>
            <w:vMerge w:val="continue"/>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vAlign w:val="center"/>
          </w:tcPr>
          <w:p/>
        </w:tc>
        <w:tc>
          <w:tcPr>
            <w:tcW w:type="dxa" w:w="916"/>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vAlign w:val="center"/>
          </w:tcPr>
          <w:p w14:paraId="92010000">
            <w:pPr>
              <w:pStyle w:val="Style_2"/>
              <w:spacing w:after="0" w:before="0" w:line="240" w:lineRule="auto"/>
              <w:ind/>
              <w:jc w:val="center"/>
              <w:rPr>
                <w:rFonts w:ascii="Times New Roman" w:hAnsi="Times New Roman"/>
              </w:rPr>
            </w:pPr>
            <w:r>
              <w:rPr>
                <w:color w:val="000000"/>
                <w:sz w:val="18"/>
              </w:rPr>
              <w:t>2022 год</w:t>
            </w:r>
          </w:p>
        </w:tc>
        <w:tc>
          <w:tcPr>
            <w:tcW w:type="dxa" w:w="922"/>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vAlign w:val="center"/>
          </w:tcPr>
          <w:p w14:paraId="93010000">
            <w:pPr>
              <w:pStyle w:val="Style_2"/>
              <w:spacing w:after="0" w:before="0" w:line="240" w:lineRule="auto"/>
              <w:ind/>
              <w:jc w:val="center"/>
              <w:rPr>
                <w:rFonts w:ascii="Times New Roman" w:hAnsi="Times New Roman"/>
              </w:rPr>
            </w:pPr>
            <w:r>
              <w:rPr>
                <w:color w:val="000000"/>
                <w:sz w:val="18"/>
              </w:rPr>
              <w:t>2023 год</w:t>
            </w:r>
          </w:p>
        </w:tc>
        <w:tc>
          <w:tcPr>
            <w:tcW w:type="dxa" w:w="916"/>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vAlign w:val="center"/>
          </w:tcPr>
          <w:p w14:paraId="94010000">
            <w:pPr>
              <w:pStyle w:val="Style_2"/>
              <w:spacing w:after="0" w:before="0" w:line="240" w:lineRule="auto"/>
              <w:ind/>
              <w:jc w:val="center"/>
              <w:rPr>
                <w:rFonts w:ascii="Times New Roman" w:hAnsi="Times New Roman"/>
              </w:rPr>
            </w:pPr>
            <w:r>
              <w:rPr>
                <w:color w:val="000000"/>
                <w:sz w:val="18"/>
              </w:rPr>
              <w:t>2024 год</w:t>
            </w:r>
          </w:p>
        </w:tc>
        <w:tc>
          <w:tcPr>
            <w:tcW w:type="dxa" w:w="915"/>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vAlign w:val="center"/>
          </w:tcPr>
          <w:p w14:paraId="95010000">
            <w:pPr>
              <w:pStyle w:val="Style_2"/>
              <w:spacing w:after="0" w:before="0" w:line="240" w:lineRule="auto"/>
              <w:ind/>
              <w:jc w:val="center"/>
              <w:rPr>
                <w:rFonts w:ascii="Times New Roman" w:hAnsi="Times New Roman"/>
              </w:rPr>
            </w:pPr>
            <w:r>
              <w:rPr>
                <w:color w:val="000000"/>
                <w:sz w:val="18"/>
              </w:rPr>
              <w:t>2025 год</w:t>
            </w:r>
          </w:p>
        </w:tc>
        <w:tc>
          <w:tcPr>
            <w:tcW w:type="dxa" w:w="917"/>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vAlign w:val="center"/>
          </w:tcPr>
          <w:p w14:paraId="96010000">
            <w:pPr>
              <w:pStyle w:val="Style_2"/>
              <w:spacing w:after="0" w:before="0" w:line="240" w:lineRule="auto"/>
              <w:ind/>
              <w:jc w:val="center"/>
              <w:rPr>
                <w:rFonts w:ascii="Times New Roman" w:hAnsi="Times New Roman"/>
              </w:rPr>
            </w:pPr>
            <w:r>
              <w:rPr>
                <w:color w:val="000000"/>
                <w:sz w:val="18"/>
              </w:rPr>
              <w:t>2026 год</w:t>
            </w:r>
          </w:p>
        </w:tc>
        <w:tc>
          <w:tcPr>
            <w:tcW w:type="dxa" w:w="91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7010000">
            <w:pPr>
              <w:pStyle w:val="Style_2"/>
              <w:spacing w:after="0" w:before="0" w:line="240" w:lineRule="auto"/>
              <w:ind/>
              <w:jc w:val="center"/>
              <w:rPr>
                <w:rFonts w:ascii="Times New Roman" w:hAnsi="Times New Roman"/>
              </w:rPr>
            </w:pPr>
            <w:r>
              <w:rPr>
                <w:color w:val="000000"/>
                <w:sz w:val="18"/>
              </w:rPr>
              <w:t>2027 год</w:t>
            </w:r>
          </w:p>
        </w:tc>
      </w:tr>
      <w:tr>
        <w:tc>
          <w:tcPr>
            <w:tcW w:type="dxa" w:w="819"/>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vAlign w:val="center"/>
          </w:tcPr>
          <w:p w14:paraId="98010000">
            <w:pPr>
              <w:pStyle w:val="Style_2"/>
              <w:spacing w:after="0" w:before="0" w:line="240" w:lineRule="auto"/>
              <w:ind/>
              <w:jc w:val="center"/>
              <w:rPr>
                <w:rFonts w:ascii="Times New Roman" w:hAnsi="Times New Roman"/>
              </w:rPr>
            </w:pPr>
            <w:r>
              <w:rPr>
                <w:sz w:val="18"/>
              </w:rPr>
              <w:t>1-3</w:t>
            </w:r>
          </w:p>
        </w:tc>
        <w:tc>
          <w:tcPr>
            <w:tcW w:type="dxa" w:w="3785"/>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99010000">
            <w:pPr>
              <w:pStyle w:val="Style_2"/>
              <w:spacing w:after="0" w:before="0" w:line="240" w:lineRule="auto"/>
              <w:ind/>
              <w:jc w:val="left"/>
              <w:rPr>
                <w:rFonts w:ascii="Times New Roman" w:hAnsi="Times New Roman"/>
              </w:rPr>
            </w:pPr>
            <w:r>
              <w:rPr>
                <w:color w:val="000000"/>
                <w:sz w:val="18"/>
              </w:rPr>
              <w:t>РАЗДЕЛ (A) СЕЛЬСКОЕ ХОЗЯЙСТВО, ОХОТА И ЛЕСНОЕ ХОЗЯЙСТВО, РЫБОЛОВСТВО, РЫБОВОДСТВО</w:t>
            </w:r>
          </w:p>
        </w:tc>
        <w:tc>
          <w:tcPr>
            <w:tcW w:type="dxa" w:w="916"/>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vAlign w:val="center"/>
          </w:tcPr>
          <w:p w14:paraId="9A010000">
            <w:pPr>
              <w:pStyle w:val="Style_2"/>
              <w:spacing w:line="240" w:lineRule="auto"/>
              <w:ind/>
              <w:jc w:val="center"/>
              <w:rPr>
                <w:rFonts w:ascii="Times New Roman" w:hAnsi="Times New Roman"/>
              </w:rPr>
            </w:pPr>
            <w:r>
              <w:rPr>
                <w:color w:val="000000"/>
                <w:sz w:val="18"/>
              </w:rPr>
              <w:t>229</w:t>
            </w:r>
          </w:p>
        </w:tc>
        <w:tc>
          <w:tcPr>
            <w:tcW w:type="dxa" w:w="922"/>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vAlign w:val="center"/>
          </w:tcPr>
          <w:p w14:paraId="9B010000">
            <w:pPr>
              <w:pStyle w:val="Style_2"/>
              <w:spacing w:line="240" w:lineRule="auto"/>
              <w:ind/>
              <w:jc w:val="center"/>
              <w:rPr>
                <w:rFonts w:ascii="Times New Roman" w:hAnsi="Times New Roman"/>
              </w:rPr>
            </w:pPr>
            <w:r>
              <w:rPr>
                <w:color w:val="000000"/>
                <w:sz w:val="18"/>
              </w:rPr>
              <w:t>261</w:t>
            </w:r>
          </w:p>
        </w:tc>
        <w:tc>
          <w:tcPr>
            <w:tcW w:type="dxa" w:w="916"/>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vAlign w:val="center"/>
          </w:tcPr>
          <w:p w14:paraId="9C010000">
            <w:pPr>
              <w:pStyle w:val="Style_2"/>
              <w:spacing w:line="240" w:lineRule="auto"/>
              <w:ind/>
              <w:jc w:val="center"/>
              <w:rPr>
                <w:rFonts w:ascii="Times New Roman" w:hAnsi="Times New Roman"/>
              </w:rPr>
            </w:pPr>
            <w:r>
              <w:rPr>
                <w:color w:val="000000"/>
                <w:sz w:val="18"/>
              </w:rPr>
              <w:t>400</w:t>
            </w:r>
          </w:p>
        </w:tc>
        <w:tc>
          <w:tcPr>
            <w:tcW w:type="dxa" w:w="915"/>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vAlign w:val="center"/>
          </w:tcPr>
          <w:p w14:paraId="9D010000">
            <w:pPr>
              <w:pStyle w:val="Style_2"/>
              <w:spacing w:line="240" w:lineRule="auto"/>
              <w:ind/>
              <w:jc w:val="center"/>
              <w:rPr>
                <w:rFonts w:ascii="Times New Roman" w:hAnsi="Times New Roman"/>
              </w:rPr>
            </w:pPr>
            <w:r>
              <w:rPr>
                <w:color w:val="000000"/>
                <w:sz w:val="18"/>
              </w:rPr>
              <w:t>410</w:t>
            </w:r>
          </w:p>
        </w:tc>
        <w:tc>
          <w:tcPr>
            <w:tcW w:type="dxa" w:w="917"/>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vAlign w:val="center"/>
          </w:tcPr>
          <w:p w14:paraId="9E010000">
            <w:pPr>
              <w:pStyle w:val="Style_2"/>
              <w:spacing w:line="240" w:lineRule="auto"/>
              <w:ind/>
              <w:jc w:val="center"/>
              <w:rPr>
                <w:rFonts w:ascii="Times New Roman" w:hAnsi="Times New Roman"/>
              </w:rPr>
            </w:pPr>
            <w:r>
              <w:rPr>
                <w:color w:val="000000"/>
                <w:sz w:val="18"/>
              </w:rPr>
              <w:t>420</w:t>
            </w:r>
          </w:p>
        </w:tc>
        <w:tc>
          <w:tcPr>
            <w:tcW w:type="dxa" w:w="91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9F010000">
            <w:pPr>
              <w:pStyle w:val="Style_2"/>
              <w:spacing w:line="240" w:lineRule="auto"/>
              <w:ind/>
              <w:jc w:val="center"/>
              <w:rPr>
                <w:rFonts w:ascii="Times New Roman" w:hAnsi="Times New Roman"/>
              </w:rPr>
            </w:pPr>
            <w:r>
              <w:rPr>
                <w:color w:val="000000"/>
                <w:sz w:val="18"/>
              </w:rPr>
              <w:t>420</w:t>
            </w:r>
          </w:p>
        </w:tc>
      </w:tr>
      <w:tr>
        <w:tc>
          <w:tcPr>
            <w:tcW w:type="dxa" w:w="819"/>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vAlign w:val="center"/>
          </w:tcPr>
          <w:p w14:paraId="A0010000">
            <w:pPr>
              <w:pStyle w:val="Style_2"/>
              <w:spacing w:after="0" w:before="0" w:line="240" w:lineRule="auto"/>
              <w:ind/>
              <w:jc w:val="center"/>
              <w:rPr>
                <w:rFonts w:ascii="Times New Roman" w:hAnsi="Times New Roman"/>
              </w:rPr>
            </w:pPr>
            <w:r>
              <w:rPr>
                <w:sz w:val="18"/>
              </w:rPr>
              <w:t>5-9</w:t>
            </w:r>
          </w:p>
        </w:tc>
        <w:tc>
          <w:tcPr>
            <w:tcW w:type="dxa" w:w="3785"/>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A1010000">
            <w:pPr>
              <w:pStyle w:val="Style_2"/>
              <w:spacing w:after="0" w:before="0" w:line="240" w:lineRule="auto"/>
              <w:ind/>
              <w:jc w:val="left"/>
              <w:rPr>
                <w:rFonts w:ascii="Times New Roman" w:hAnsi="Times New Roman"/>
              </w:rPr>
            </w:pPr>
            <w:r>
              <w:rPr>
                <w:color w:val="000000"/>
                <w:sz w:val="18"/>
              </w:rPr>
              <w:t>РАЗДЕЛ (В) ДОБЫЧА ПОЛЕЗНЫХ ИСКОПАЕМЫХ</w:t>
            </w:r>
          </w:p>
        </w:tc>
        <w:tc>
          <w:tcPr>
            <w:tcW w:type="dxa" w:w="916"/>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vAlign w:val="center"/>
          </w:tcPr>
          <w:p w14:paraId="A2010000">
            <w:pPr>
              <w:pStyle w:val="Style_2"/>
              <w:spacing w:line="240" w:lineRule="auto"/>
              <w:ind/>
              <w:jc w:val="center"/>
              <w:rPr>
                <w:rFonts w:ascii="Times New Roman" w:hAnsi="Times New Roman"/>
              </w:rPr>
            </w:pPr>
            <w:r>
              <w:rPr>
                <w:color w:val="000000"/>
                <w:sz w:val="18"/>
              </w:rPr>
              <w:t>115</w:t>
            </w:r>
          </w:p>
        </w:tc>
        <w:tc>
          <w:tcPr>
            <w:tcW w:type="dxa" w:w="922"/>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vAlign w:val="center"/>
          </w:tcPr>
          <w:p w14:paraId="A3010000">
            <w:pPr>
              <w:pStyle w:val="Style_2"/>
              <w:spacing w:line="240" w:lineRule="auto"/>
              <w:ind/>
              <w:jc w:val="center"/>
              <w:rPr>
                <w:rFonts w:ascii="Times New Roman" w:hAnsi="Times New Roman"/>
              </w:rPr>
            </w:pPr>
            <w:r>
              <w:rPr>
                <w:color w:val="000000"/>
                <w:sz w:val="18"/>
              </w:rPr>
              <w:t>97</w:t>
            </w:r>
          </w:p>
        </w:tc>
        <w:tc>
          <w:tcPr>
            <w:tcW w:type="dxa" w:w="916"/>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vAlign w:val="center"/>
          </w:tcPr>
          <w:p w14:paraId="A4010000">
            <w:pPr>
              <w:pStyle w:val="Style_2"/>
              <w:spacing w:line="240" w:lineRule="auto"/>
              <w:ind/>
              <w:jc w:val="center"/>
              <w:rPr>
                <w:rFonts w:ascii="Times New Roman" w:hAnsi="Times New Roman"/>
              </w:rPr>
            </w:pPr>
            <w:r>
              <w:rPr>
                <w:color w:val="000000"/>
                <w:sz w:val="18"/>
              </w:rPr>
              <w:t>140</w:t>
            </w:r>
          </w:p>
        </w:tc>
        <w:tc>
          <w:tcPr>
            <w:tcW w:type="dxa" w:w="915"/>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vAlign w:val="center"/>
          </w:tcPr>
          <w:p w14:paraId="A5010000">
            <w:pPr>
              <w:pStyle w:val="Style_2"/>
              <w:spacing w:line="240" w:lineRule="auto"/>
              <w:ind/>
              <w:jc w:val="center"/>
              <w:rPr>
                <w:rFonts w:ascii="Times New Roman" w:hAnsi="Times New Roman"/>
              </w:rPr>
            </w:pPr>
            <w:r>
              <w:rPr>
                <w:color w:val="000000"/>
                <w:sz w:val="18"/>
              </w:rPr>
              <w:t>150</w:t>
            </w:r>
          </w:p>
        </w:tc>
        <w:tc>
          <w:tcPr>
            <w:tcW w:type="dxa" w:w="917"/>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vAlign w:val="center"/>
          </w:tcPr>
          <w:p w14:paraId="A6010000">
            <w:pPr>
              <w:pStyle w:val="Style_2"/>
              <w:spacing w:line="240" w:lineRule="auto"/>
              <w:ind/>
              <w:jc w:val="center"/>
              <w:rPr>
                <w:rFonts w:ascii="Times New Roman" w:hAnsi="Times New Roman"/>
              </w:rPr>
            </w:pPr>
            <w:r>
              <w:rPr>
                <w:color w:val="000000"/>
                <w:sz w:val="18"/>
              </w:rPr>
              <w:t>150</w:t>
            </w:r>
          </w:p>
        </w:tc>
        <w:tc>
          <w:tcPr>
            <w:tcW w:type="dxa" w:w="91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7010000">
            <w:pPr>
              <w:pStyle w:val="Style_2"/>
              <w:spacing w:line="240" w:lineRule="auto"/>
              <w:ind/>
              <w:jc w:val="center"/>
              <w:rPr>
                <w:rFonts w:ascii="Times New Roman" w:hAnsi="Times New Roman"/>
              </w:rPr>
            </w:pPr>
            <w:r>
              <w:rPr>
                <w:color w:val="000000"/>
                <w:sz w:val="18"/>
              </w:rPr>
              <w:t>150</w:t>
            </w:r>
          </w:p>
        </w:tc>
      </w:tr>
      <w:tr>
        <w:tc>
          <w:tcPr>
            <w:tcW w:type="dxa" w:w="819"/>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vAlign w:val="center"/>
          </w:tcPr>
          <w:p w14:paraId="A8010000">
            <w:pPr>
              <w:pStyle w:val="Style_2"/>
              <w:spacing w:after="0" w:before="0" w:line="240" w:lineRule="auto"/>
              <w:ind/>
              <w:jc w:val="center"/>
              <w:rPr>
                <w:rFonts w:ascii="Times New Roman" w:hAnsi="Times New Roman"/>
              </w:rPr>
            </w:pPr>
            <w:r>
              <w:rPr>
                <w:sz w:val="18"/>
              </w:rPr>
              <w:t>15</w:t>
            </w:r>
          </w:p>
        </w:tc>
        <w:tc>
          <w:tcPr>
            <w:tcW w:type="dxa" w:w="3785"/>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A9010000">
            <w:pPr>
              <w:pStyle w:val="Style_2"/>
              <w:spacing w:after="0" w:before="0" w:line="240" w:lineRule="auto"/>
              <w:ind/>
              <w:jc w:val="left"/>
              <w:rPr>
                <w:rFonts w:ascii="Times New Roman" w:hAnsi="Times New Roman"/>
              </w:rPr>
            </w:pPr>
            <w:r>
              <w:rPr>
                <w:color w:val="000000"/>
                <w:sz w:val="18"/>
              </w:rPr>
              <w:t>РАЗДЕЛ (С) ОБРАБАТЫВАЮЩИЕ ПРОИЗВОДСТВА</w:t>
            </w:r>
          </w:p>
        </w:tc>
        <w:tc>
          <w:tcPr>
            <w:tcW w:type="dxa" w:w="916"/>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vAlign w:val="center"/>
          </w:tcPr>
          <w:p w14:paraId="AA010000">
            <w:pPr>
              <w:pStyle w:val="Style_2"/>
              <w:spacing w:line="240" w:lineRule="auto"/>
              <w:ind/>
              <w:jc w:val="center"/>
              <w:rPr>
                <w:rFonts w:ascii="Times New Roman" w:hAnsi="Times New Roman"/>
              </w:rPr>
            </w:pPr>
            <w:r>
              <w:rPr>
                <w:color w:val="000000"/>
                <w:sz w:val="18"/>
              </w:rPr>
              <w:t>446</w:t>
            </w:r>
          </w:p>
        </w:tc>
        <w:tc>
          <w:tcPr>
            <w:tcW w:type="dxa" w:w="922"/>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vAlign w:val="center"/>
          </w:tcPr>
          <w:p w14:paraId="AB010000">
            <w:pPr>
              <w:pStyle w:val="Style_2"/>
              <w:spacing w:line="240" w:lineRule="auto"/>
              <w:ind/>
              <w:jc w:val="center"/>
              <w:rPr>
                <w:rFonts w:ascii="Times New Roman" w:hAnsi="Times New Roman"/>
              </w:rPr>
            </w:pPr>
            <w:r>
              <w:rPr>
                <w:color w:val="000000"/>
                <w:sz w:val="18"/>
              </w:rPr>
              <w:t>490</w:t>
            </w:r>
          </w:p>
        </w:tc>
        <w:tc>
          <w:tcPr>
            <w:tcW w:type="dxa" w:w="916"/>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vAlign w:val="center"/>
          </w:tcPr>
          <w:p w14:paraId="AC010000">
            <w:pPr>
              <w:pStyle w:val="Style_2"/>
              <w:spacing w:line="240" w:lineRule="auto"/>
              <w:ind/>
              <w:jc w:val="center"/>
              <w:rPr>
                <w:rFonts w:ascii="Times New Roman" w:hAnsi="Times New Roman"/>
              </w:rPr>
            </w:pPr>
            <w:r>
              <w:rPr>
                <w:color w:val="000000"/>
                <w:sz w:val="18"/>
              </w:rPr>
              <w:t>550</w:t>
            </w:r>
          </w:p>
        </w:tc>
        <w:tc>
          <w:tcPr>
            <w:tcW w:type="dxa" w:w="915"/>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vAlign w:val="center"/>
          </w:tcPr>
          <w:p w14:paraId="AD010000">
            <w:pPr>
              <w:pStyle w:val="Style_2"/>
              <w:spacing w:line="240" w:lineRule="auto"/>
              <w:ind/>
              <w:jc w:val="center"/>
              <w:rPr>
                <w:rFonts w:ascii="Times New Roman" w:hAnsi="Times New Roman"/>
              </w:rPr>
            </w:pPr>
            <w:r>
              <w:rPr>
                <w:color w:val="000000"/>
                <w:sz w:val="18"/>
              </w:rPr>
              <w:t>570</w:t>
            </w:r>
          </w:p>
        </w:tc>
        <w:tc>
          <w:tcPr>
            <w:tcW w:type="dxa" w:w="917"/>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vAlign w:val="center"/>
          </w:tcPr>
          <w:p w14:paraId="AE010000">
            <w:pPr>
              <w:pStyle w:val="Style_2"/>
              <w:spacing w:line="240" w:lineRule="auto"/>
              <w:ind/>
              <w:jc w:val="center"/>
              <w:rPr>
                <w:rFonts w:ascii="Times New Roman" w:hAnsi="Times New Roman"/>
              </w:rPr>
            </w:pPr>
            <w:r>
              <w:rPr>
                <w:color w:val="000000"/>
                <w:sz w:val="18"/>
              </w:rPr>
              <w:t>590</w:t>
            </w:r>
          </w:p>
        </w:tc>
        <w:tc>
          <w:tcPr>
            <w:tcW w:type="dxa" w:w="91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AF010000">
            <w:pPr>
              <w:pStyle w:val="Style_2"/>
              <w:spacing w:line="240" w:lineRule="auto"/>
              <w:ind/>
              <w:jc w:val="center"/>
              <w:rPr>
                <w:rFonts w:ascii="Times New Roman" w:hAnsi="Times New Roman"/>
              </w:rPr>
            </w:pPr>
            <w:r>
              <w:rPr>
                <w:color w:val="000000"/>
                <w:sz w:val="18"/>
              </w:rPr>
              <w:t>600</w:t>
            </w:r>
          </w:p>
        </w:tc>
      </w:tr>
      <w:tr>
        <w:tc>
          <w:tcPr>
            <w:tcW w:type="dxa" w:w="819"/>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vAlign w:val="center"/>
          </w:tcPr>
          <w:p w14:paraId="B0010000">
            <w:pPr>
              <w:pStyle w:val="Style_2"/>
              <w:spacing w:after="0" w:before="0" w:line="240" w:lineRule="auto"/>
              <w:ind/>
              <w:jc w:val="center"/>
              <w:rPr>
                <w:rFonts w:ascii="Times New Roman" w:hAnsi="Times New Roman"/>
              </w:rPr>
            </w:pPr>
            <w:r>
              <w:rPr>
                <w:sz w:val="18"/>
              </w:rPr>
              <w:t>35</w:t>
            </w:r>
          </w:p>
        </w:tc>
        <w:tc>
          <w:tcPr>
            <w:tcW w:type="dxa" w:w="3785"/>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B1010000">
            <w:pPr>
              <w:pStyle w:val="Style_2"/>
              <w:spacing w:after="0" w:before="0" w:line="240" w:lineRule="auto"/>
              <w:ind/>
              <w:jc w:val="left"/>
              <w:rPr>
                <w:rFonts w:ascii="Times New Roman" w:hAnsi="Times New Roman"/>
              </w:rPr>
            </w:pPr>
            <w:r>
              <w:rPr>
                <w:color w:val="000000"/>
                <w:sz w:val="18"/>
              </w:rPr>
              <w:t>РАЗДЕЛ (D) ОБЕСПЕЧЕНИЕ ЭЛЕКТРИЧЕСКОЙ ЭНЕРГИЕЙ, ГАЗОМ, И ПАРОМ; КОНДИЦИОНИРОВАНИЕ ВОЗДУХА</w:t>
            </w:r>
          </w:p>
        </w:tc>
        <w:tc>
          <w:tcPr>
            <w:tcW w:type="dxa" w:w="916"/>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vAlign w:val="center"/>
          </w:tcPr>
          <w:p w14:paraId="B2010000">
            <w:pPr>
              <w:pStyle w:val="Style_2"/>
              <w:spacing w:line="240" w:lineRule="auto"/>
              <w:ind/>
              <w:jc w:val="center"/>
              <w:rPr>
                <w:rFonts w:ascii="Times New Roman" w:hAnsi="Times New Roman"/>
              </w:rPr>
            </w:pPr>
            <w:r>
              <w:rPr>
                <w:color w:val="000000"/>
                <w:sz w:val="18"/>
              </w:rPr>
              <w:t>8</w:t>
            </w:r>
          </w:p>
        </w:tc>
        <w:tc>
          <w:tcPr>
            <w:tcW w:type="dxa" w:w="922"/>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vAlign w:val="center"/>
          </w:tcPr>
          <w:p w14:paraId="B3010000">
            <w:pPr>
              <w:pStyle w:val="Style_2"/>
              <w:spacing w:line="240" w:lineRule="auto"/>
              <w:ind/>
              <w:jc w:val="center"/>
              <w:rPr>
                <w:rFonts w:ascii="Times New Roman" w:hAnsi="Times New Roman"/>
              </w:rPr>
            </w:pPr>
            <w:r>
              <w:rPr>
                <w:color w:val="000000"/>
                <w:sz w:val="18"/>
              </w:rPr>
              <w:t>10</w:t>
            </w:r>
          </w:p>
        </w:tc>
        <w:tc>
          <w:tcPr>
            <w:tcW w:type="dxa" w:w="916"/>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vAlign w:val="center"/>
          </w:tcPr>
          <w:p w14:paraId="B4010000">
            <w:pPr>
              <w:pStyle w:val="Style_2"/>
              <w:spacing w:line="240" w:lineRule="auto"/>
              <w:ind/>
              <w:jc w:val="center"/>
              <w:rPr>
                <w:rFonts w:ascii="Times New Roman" w:hAnsi="Times New Roman"/>
              </w:rPr>
            </w:pPr>
            <w:r>
              <w:rPr>
                <w:color w:val="000000"/>
                <w:sz w:val="18"/>
              </w:rPr>
              <w:t>0</w:t>
            </w:r>
          </w:p>
        </w:tc>
        <w:tc>
          <w:tcPr>
            <w:tcW w:type="dxa" w:w="915"/>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vAlign w:val="center"/>
          </w:tcPr>
          <w:p w14:paraId="B5010000">
            <w:pPr>
              <w:pStyle w:val="Style_2"/>
              <w:spacing w:line="240" w:lineRule="auto"/>
              <w:ind/>
              <w:jc w:val="center"/>
              <w:rPr>
                <w:rFonts w:ascii="Times New Roman" w:hAnsi="Times New Roman"/>
              </w:rPr>
            </w:pPr>
            <w:r>
              <w:rPr>
                <w:color w:val="000000"/>
                <w:sz w:val="18"/>
              </w:rPr>
              <w:t>0</w:t>
            </w:r>
          </w:p>
        </w:tc>
        <w:tc>
          <w:tcPr>
            <w:tcW w:type="dxa" w:w="917"/>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vAlign w:val="center"/>
          </w:tcPr>
          <w:p w14:paraId="B6010000">
            <w:pPr>
              <w:pStyle w:val="Style_2"/>
              <w:spacing w:line="240" w:lineRule="auto"/>
              <w:ind/>
              <w:jc w:val="center"/>
              <w:rPr>
                <w:rFonts w:ascii="Times New Roman" w:hAnsi="Times New Roman"/>
              </w:rPr>
            </w:pPr>
            <w:r>
              <w:rPr>
                <w:color w:val="000000"/>
                <w:sz w:val="18"/>
              </w:rPr>
              <w:t>0</w:t>
            </w:r>
          </w:p>
        </w:tc>
        <w:tc>
          <w:tcPr>
            <w:tcW w:type="dxa" w:w="91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7010000">
            <w:pPr>
              <w:pStyle w:val="Style_2"/>
              <w:spacing w:line="240" w:lineRule="auto"/>
              <w:ind/>
              <w:jc w:val="center"/>
              <w:rPr>
                <w:rFonts w:ascii="Times New Roman" w:hAnsi="Times New Roman"/>
              </w:rPr>
            </w:pPr>
            <w:r>
              <w:rPr>
                <w:color w:val="000000"/>
                <w:sz w:val="18"/>
              </w:rPr>
              <w:t>10</w:t>
            </w:r>
          </w:p>
        </w:tc>
      </w:tr>
      <w:tr>
        <w:tc>
          <w:tcPr>
            <w:tcW w:type="dxa" w:w="819"/>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vAlign w:val="center"/>
          </w:tcPr>
          <w:p w14:paraId="B8010000">
            <w:pPr>
              <w:pStyle w:val="Style_2"/>
              <w:spacing w:after="0" w:before="0" w:line="240" w:lineRule="auto"/>
              <w:ind/>
              <w:jc w:val="center"/>
              <w:rPr>
                <w:rFonts w:ascii="Times New Roman" w:hAnsi="Times New Roman"/>
              </w:rPr>
            </w:pPr>
            <w:r>
              <w:rPr>
                <w:sz w:val="18"/>
              </w:rPr>
              <w:t>36-38</w:t>
            </w:r>
          </w:p>
        </w:tc>
        <w:tc>
          <w:tcPr>
            <w:tcW w:type="dxa" w:w="3785"/>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B9010000">
            <w:pPr>
              <w:pStyle w:val="Style_2"/>
              <w:spacing w:after="0" w:before="0" w:line="240" w:lineRule="auto"/>
              <w:ind/>
              <w:jc w:val="left"/>
              <w:rPr>
                <w:rFonts w:ascii="Times New Roman" w:hAnsi="Times New Roman"/>
              </w:rPr>
            </w:pPr>
            <w:r>
              <w:rPr>
                <w:color w:val="000000"/>
                <w:sz w:val="18"/>
              </w:rPr>
              <w:t>РАЗДЕЛ (Е) ВОДОСНАБЖЕНИЕ; ВОДООТВЕДЕНИЕ, ОРГАНИЗАЦИЯ СБОРА И УТИЛИЗАЦИИ ОТХОДОВ, ДЕЯТЕЛЬНОСТЬ ПО ЛИКВИДАЦИИ ЗАГРЯЗНЕНИЙ</w:t>
            </w:r>
          </w:p>
        </w:tc>
        <w:tc>
          <w:tcPr>
            <w:tcW w:type="dxa" w:w="916"/>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vAlign w:val="center"/>
          </w:tcPr>
          <w:p w14:paraId="BA010000">
            <w:pPr>
              <w:pStyle w:val="Style_2"/>
              <w:spacing w:line="240" w:lineRule="auto"/>
              <w:ind/>
              <w:jc w:val="center"/>
              <w:rPr>
                <w:rFonts w:ascii="Times New Roman" w:hAnsi="Times New Roman"/>
              </w:rPr>
            </w:pPr>
            <w:r>
              <w:rPr>
                <w:color w:val="000000"/>
                <w:sz w:val="18"/>
              </w:rPr>
              <w:t>87</w:t>
            </w:r>
          </w:p>
        </w:tc>
        <w:tc>
          <w:tcPr>
            <w:tcW w:type="dxa" w:w="922"/>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vAlign w:val="center"/>
          </w:tcPr>
          <w:p w14:paraId="BB010000">
            <w:pPr>
              <w:pStyle w:val="Style_2"/>
              <w:spacing w:line="240" w:lineRule="auto"/>
              <w:ind/>
              <w:jc w:val="center"/>
              <w:rPr>
                <w:rFonts w:ascii="Times New Roman" w:hAnsi="Times New Roman"/>
              </w:rPr>
            </w:pPr>
            <w:r>
              <w:rPr>
                <w:color w:val="000000"/>
                <w:sz w:val="18"/>
              </w:rPr>
              <w:t>94</w:t>
            </w:r>
          </w:p>
        </w:tc>
        <w:tc>
          <w:tcPr>
            <w:tcW w:type="dxa" w:w="916"/>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vAlign w:val="center"/>
          </w:tcPr>
          <w:p w14:paraId="BC010000">
            <w:pPr>
              <w:pStyle w:val="Style_2"/>
              <w:spacing w:line="240" w:lineRule="auto"/>
              <w:ind/>
              <w:jc w:val="center"/>
              <w:rPr>
                <w:rFonts w:ascii="Times New Roman" w:hAnsi="Times New Roman"/>
              </w:rPr>
            </w:pPr>
            <w:r>
              <w:rPr>
                <w:color w:val="000000"/>
                <w:sz w:val="18"/>
              </w:rPr>
              <w:t>100</w:t>
            </w:r>
          </w:p>
        </w:tc>
        <w:tc>
          <w:tcPr>
            <w:tcW w:type="dxa" w:w="915"/>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vAlign w:val="center"/>
          </w:tcPr>
          <w:p w14:paraId="BD010000">
            <w:pPr>
              <w:pStyle w:val="Style_2"/>
              <w:spacing w:line="240" w:lineRule="auto"/>
              <w:ind/>
              <w:jc w:val="center"/>
              <w:rPr>
                <w:rFonts w:ascii="Times New Roman" w:hAnsi="Times New Roman"/>
              </w:rPr>
            </w:pPr>
            <w:r>
              <w:rPr>
                <w:color w:val="000000"/>
                <w:sz w:val="18"/>
              </w:rPr>
              <w:t>100</w:t>
            </w:r>
          </w:p>
        </w:tc>
        <w:tc>
          <w:tcPr>
            <w:tcW w:type="dxa" w:w="917"/>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vAlign w:val="center"/>
          </w:tcPr>
          <w:p w14:paraId="BE010000">
            <w:pPr>
              <w:pStyle w:val="Style_2"/>
              <w:spacing w:line="240" w:lineRule="auto"/>
              <w:ind/>
              <w:jc w:val="center"/>
              <w:rPr>
                <w:rFonts w:ascii="Times New Roman" w:hAnsi="Times New Roman"/>
              </w:rPr>
            </w:pPr>
            <w:r>
              <w:rPr>
                <w:color w:val="000000"/>
                <w:sz w:val="18"/>
              </w:rPr>
              <w:t>110</w:t>
            </w:r>
          </w:p>
        </w:tc>
        <w:tc>
          <w:tcPr>
            <w:tcW w:type="dxa" w:w="91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BF010000">
            <w:pPr>
              <w:pStyle w:val="Style_2"/>
              <w:spacing w:line="240" w:lineRule="auto"/>
              <w:ind/>
              <w:jc w:val="center"/>
              <w:rPr>
                <w:rFonts w:ascii="Times New Roman" w:hAnsi="Times New Roman"/>
              </w:rPr>
            </w:pPr>
            <w:r>
              <w:rPr>
                <w:color w:val="000000"/>
                <w:sz w:val="18"/>
              </w:rPr>
              <w:t>110</w:t>
            </w:r>
          </w:p>
        </w:tc>
      </w:tr>
      <w:tr>
        <w:tc>
          <w:tcPr>
            <w:tcW w:type="dxa" w:w="819"/>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vAlign w:val="center"/>
          </w:tcPr>
          <w:p w14:paraId="C0010000">
            <w:pPr>
              <w:pStyle w:val="Style_2"/>
              <w:spacing w:after="0" w:before="0" w:line="240" w:lineRule="auto"/>
              <w:ind/>
              <w:jc w:val="center"/>
              <w:rPr>
                <w:rFonts w:ascii="Times New Roman" w:hAnsi="Times New Roman"/>
              </w:rPr>
            </w:pPr>
            <w:r>
              <w:rPr>
                <w:sz w:val="18"/>
              </w:rPr>
              <w:t>41-43</w:t>
            </w:r>
          </w:p>
        </w:tc>
        <w:tc>
          <w:tcPr>
            <w:tcW w:type="dxa" w:w="3785"/>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C1010000">
            <w:pPr>
              <w:pStyle w:val="Style_2"/>
              <w:spacing w:after="0" w:before="0" w:line="240" w:lineRule="auto"/>
              <w:ind/>
              <w:jc w:val="left"/>
              <w:rPr>
                <w:rFonts w:ascii="Times New Roman" w:hAnsi="Times New Roman"/>
              </w:rPr>
            </w:pPr>
            <w:r>
              <w:rPr>
                <w:color w:val="000000"/>
                <w:sz w:val="18"/>
              </w:rPr>
              <w:t>РАЗДЕЛ (F) СТРОИТЕЛЬСТВО</w:t>
            </w:r>
          </w:p>
        </w:tc>
        <w:tc>
          <w:tcPr>
            <w:tcW w:type="dxa" w:w="916"/>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vAlign w:val="center"/>
          </w:tcPr>
          <w:p w14:paraId="C2010000">
            <w:pPr>
              <w:pStyle w:val="Style_2"/>
              <w:spacing w:line="240" w:lineRule="auto"/>
              <w:ind/>
              <w:jc w:val="center"/>
              <w:rPr>
                <w:rFonts w:ascii="Times New Roman" w:hAnsi="Times New Roman"/>
              </w:rPr>
            </w:pPr>
            <w:r>
              <w:rPr>
                <w:color w:val="000000"/>
                <w:sz w:val="18"/>
              </w:rPr>
              <w:t>1350</w:t>
            </w:r>
          </w:p>
        </w:tc>
        <w:tc>
          <w:tcPr>
            <w:tcW w:type="dxa" w:w="922"/>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vAlign w:val="center"/>
          </w:tcPr>
          <w:p w14:paraId="C3010000">
            <w:pPr>
              <w:pStyle w:val="Style_2"/>
              <w:spacing w:line="240" w:lineRule="auto"/>
              <w:ind/>
              <w:jc w:val="center"/>
              <w:rPr>
                <w:rFonts w:ascii="Times New Roman" w:hAnsi="Times New Roman"/>
              </w:rPr>
            </w:pPr>
            <w:r>
              <w:rPr>
                <w:color w:val="000000"/>
                <w:sz w:val="18"/>
              </w:rPr>
              <w:t>1788</w:t>
            </w:r>
          </w:p>
        </w:tc>
        <w:tc>
          <w:tcPr>
            <w:tcW w:type="dxa" w:w="916"/>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vAlign w:val="center"/>
          </w:tcPr>
          <w:p w14:paraId="C4010000">
            <w:pPr>
              <w:pStyle w:val="Style_2"/>
              <w:spacing w:line="240" w:lineRule="auto"/>
              <w:ind/>
              <w:jc w:val="center"/>
              <w:rPr>
                <w:rFonts w:ascii="Times New Roman" w:hAnsi="Times New Roman"/>
              </w:rPr>
            </w:pPr>
            <w:r>
              <w:rPr>
                <w:color w:val="000000"/>
                <w:sz w:val="18"/>
              </w:rPr>
              <w:t>2500</w:t>
            </w:r>
          </w:p>
        </w:tc>
        <w:tc>
          <w:tcPr>
            <w:tcW w:type="dxa" w:w="915"/>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vAlign w:val="center"/>
          </w:tcPr>
          <w:p w14:paraId="C5010000">
            <w:pPr>
              <w:pStyle w:val="Style_2"/>
              <w:spacing w:line="240" w:lineRule="auto"/>
              <w:ind/>
              <w:jc w:val="center"/>
              <w:rPr>
                <w:rFonts w:ascii="Times New Roman" w:hAnsi="Times New Roman"/>
              </w:rPr>
            </w:pPr>
            <w:r>
              <w:rPr>
                <w:color w:val="000000"/>
                <w:sz w:val="18"/>
              </w:rPr>
              <w:t>3000</w:t>
            </w:r>
          </w:p>
        </w:tc>
        <w:tc>
          <w:tcPr>
            <w:tcW w:type="dxa" w:w="917"/>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vAlign w:val="center"/>
          </w:tcPr>
          <w:p w14:paraId="C6010000">
            <w:pPr>
              <w:pStyle w:val="Style_2"/>
              <w:spacing w:line="240" w:lineRule="auto"/>
              <w:ind/>
              <w:jc w:val="center"/>
              <w:rPr>
                <w:rFonts w:ascii="Times New Roman" w:hAnsi="Times New Roman"/>
              </w:rPr>
            </w:pPr>
            <w:r>
              <w:rPr>
                <w:color w:val="000000"/>
                <w:sz w:val="18"/>
              </w:rPr>
              <w:t>3000</w:t>
            </w:r>
          </w:p>
        </w:tc>
        <w:tc>
          <w:tcPr>
            <w:tcW w:type="dxa" w:w="91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7010000">
            <w:pPr>
              <w:pStyle w:val="Style_2"/>
              <w:spacing w:line="240" w:lineRule="auto"/>
              <w:ind/>
              <w:jc w:val="center"/>
              <w:rPr>
                <w:rFonts w:ascii="Times New Roman" w:hAnsi="Times New Roman"/>
              </w:rPr>
            </w:pPr>
            <w:r>
              <w:rPr>
                <w:color w:val="000000"/>
                <w:sz w:val="18"/>
              </w:rPr>
              <w:t>3000</w:t>
            </w:r>
          </w:p>
        </w:tc>
      </w:tr>
      <w:tr>
        <w:tc>
          <w:tcPr>
            <w:tcW w:type="dxa" w:w="819"/>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vAlign w:val="center"/>
          </w:tcPr>
          <w:p w14:paraId="C8010000">
            <w:pPr>
              <w:pStyle w:val="Style_2"/>
              <w:spacing w:after="0" w:before="0" w:line="240" w:lineRule="auto"/>
              <w:ind/>
              <w:jc w:val="center"/>
              <w:rPr>
                <w:rFonts w:ascii="Times New Roman" w:hAnsi="Times New Roman"/>
              </w:rPr>
            </w:pPr>
            <w:r>
              <w:rPr>
                <w:sz w:val="18"/>
              </w:rPr>
              <w:t>45-47</w:t>
            </w:r>
          </w:p>
        </w:tc>
        <w:tc>
          <w:tcPr>
            <w:tcW w:type="dxa" w:w="3785"/>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C9010000">
            <w:pPr>
              <w:pStyle w:val="Style_2"/>
              <w:spacing w:after="0" w:before="0" w:line="240" w:lineRule="auto"/>
              <w:ind/>
              <w:jc w:val="left"/>
              <w:rPr>
                <w:rFonts w:ascii="Times New Roman" w:hAnsi="Times New Roman"/>
              </w:rPr>
            </w:pPr>
            <w:r>
              <w:rPr>
                <w:color w:val="000000"/>
                <w:sz w:val="18"/>
              </w:rPr>
              <w:t>РАЗДЕЛ (G) ОПТОВАЯ И РОЗНИЧНАЯ ТОРГОВЛЯ; РЕМОНТ АВТОТРАНСПОРТНЫХ СРЕДСТВ И МОТОЦИКЛОВ</w:t>
            </w:r>
          </w:p>
        </w:tc>
        <w:tc>
          <w:tcPr>
            <w:tcW w:type="dxa" w:w="916"/>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vAlign w:val="center"/>
          </w:tcPr>
          <w:p w14:paraId="CA010000">
            <w:pPr>
              <w:pStyle w:val="Style_2"/>
              <w:spacing w:line="240" w:lineRule="auto"/>
              <w:ind/>
              <w:jc w:val="center"/>
              <w:rPr>
                <w:rFonts w:ascii="Times New Roman" w:hAnsi="Times New Roman"/>
              </w:rPr>
            </w:pPr>
            <w:r>
              <w:rPr>
                <w:color w:val="000000"/>
                <w:sz w:val="18"/>
              </w:rPr>
              <w:t>1358</w:t>
            </w:r>
          </w:p>
        </w:tc>
        <w:tc>
          <w:tcPr>
            <w:tcW w:type="dxa" w:w="922"/>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vAlign w:val="center"/>
          </w:tcPr>
          <w:p w14:paraId="CB010000">
            <w:pPr>
              <w:pStyle w:val="Style_2"/>
              <w:spacing w:line="240" w:lineRule="auto"/>
              <w:ind/>
              <w:jc w:val="center"/>
              <w:rPr>
                <w:rFonts w:ascii="Times New Roman" w:hAnsi="Times New Roman"/>
              </w:rPr>
            </w:pPr>
            <w:r>
              <w:rPr>
                <w:color w:val="000000"/>
                <w:sz w:val="18"/>
              </w:rPr>
              <w:t>1439</w:t>
            </w:r>
          </w:p>
        </w:tc>
        <w:tc>
          <w:tcPr>
            <w:tcW w:type="dxa" w:w="916"/>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vAlign w:val="center"/>
          </w:tcPr>
          <w:p w14:paraId="CC010000">
            <w:pPr>
              <w:pStyle w:val="Style_2"/>
              <w:spacing w:line="240" w:lineRule="auto"/>
              <w:ind/>
              <w:jc w:val="center"/>
              <w:rPr>
                <w:rFonts w:ascii="Times New Roman" w:hAnsi="Times New Roman"/>
              </w:rPr>
            </w:pPr>
            <w:r>
              <w:rPr>
                <w:color w:val="000000"/>
                <w:sz w:val="18"/>
              </w:rPr>
              <w:t>1550</w:t>
            </w:r>
          </w:p>
        </w:tc>
        <w:tc>
          <w:tcPr>
            <w:tcW w:type="dxa" w:w="915"/>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vAlign w:val="center"/>
          </w:tcPr>
          <w:p w14:paraId="CD010000">
            <w:pPr>
              <w:pStyle w:val="Style_2"/>
              <w:spacing w:line="240" w:lineRule="auto"/>
              <w:ind/>
              <w:jc w:val="center"/>
              <w:rPr>
                <w:rFonts w:ascii="Times New Roman" w:hAnsi="Times New Roman"/>
              </w:rPr>
            </w:pPr>
            <w:r>
              <w:rPr>
                <w:color w:val="000000"/>
                <w:sz w:val="18"/>
              </w:rPr>
              <w:t>1565</w:t>
            </w:r>
          </w:p>
        </w:tc>
        <w:tc>
          <w:tcPr>
            <w:tcW w:type="dxa" w:w="917"/>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vAlign w:val="center"/>
          </w:tcPr>
          <w:p w14:paraId="CE010000">
            <w:pPr>
              <w:pStyle w:val="Style_2"/>
              <w:spacing w:line="240" w:lineRule="auto"/>
              <w:ind/>
              <w:jc w:val="center"/>
              <w:rPr>
                <w:rFonts w:ascii="Times New Roman" w:hAnsi="Times New Roman"/>
              </w:rPr>
            </w:pPr>
            <w:r>
              <w:rPr>
                <w:color w:val="000000"/>
                <w:sz w:val="18"/>
              </w:rPr>
              <w:t>1570</w:t>
            </w:r>
          </w:p>
        </w:tc>
        <w:tc>
          <w:tcPr>
            <w:tcW w:type="dxa" w:w="91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CF010000">
            <w:pPr>
              <w:pStyle w:val="Style_2"/>
              <w:spacing w:line="240" w:lineRule="auto"/>
              <w:ind/>
              <w:jc w:val="center"/>
              <w:rPr>
                <w:rFonts w:ascii="Times New Roman" w:hAnsi="Times New Roman"/>
              </w:rPr>
            </w:pPr>
            <w:r>
              <w:rPr>
                <w:color w:val="000000"/>
                <w:sz w:val="18"/>
              </w:rPr>
              <w:t>1570</w:t>
            </w:r>
          </w:p>
        </w:tc>
      </w:tr>
      <w:tr>
        <w:tc>
          <w:tcPr>
            <w:tcW w:type="dxa" w:w="819"/>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vAlign w:val="center"/>
          </w:tcPr>
          <w:p w14:paraId="D0010000">
            <w:pPr>
              <w:pStyle w:val="Style_2"/>
              <w:spacing w:after="0" w:before="0" w:line="240" w:lineRule="auto"/>
              <w:ind/>
              <w:jc w:val="center"/>
              <w:rPr>
                <w:rFonts w:ascii="Times New Roman" w:hAnsi="Times New Roman"/>
              </w:rPr>
            </w:pPr>
            <w:r>
              <w:rPr>
                <w:sz w:val="18"/>
              </w:rPr>
              <w:t>49-53</w:t>
            </w:r>
          </w:p>
        </w:tc>
        <w:tc>
          <w:tcPr>
            <w:tcW w:type="dxa" w:w="3785"/>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D1010000">
            <w:pPr>
              <w:pStyle w:val="Style_2"/>
              <w:spacing w:after="0" w:before="0" w:line="240" w:lineRule="auto"/>
              <w:ind/>
              <w:jc w:val="left"/>
              <w:rPr>
                <w:rFonts w:ascii="Times New Roman" w:hAnsi="Times New Roman"/>
              </w:rPr>
            </w:pPr>
            <w:r>
              <w:rPr>
                <w:color w:val="000000"/>
                <w:sz w:val="18"/>
              </w:rPr>
              <w:t>РАЗДЕЛ (H) ТРАНСПОРТИРОВКА И ХРАНЕНИЕ</w:t>
            </w:r>
          </w:p>
        </w:tc>
        <w:tc>
          <w:tcPr>
            <w:tcW w:type="dxa" w:w="916"/>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vAlign w:val="center"/>
          </w:tcPr>
          <w:p w14:paraId="D2010000">
            <w:pPr>
              <w:pStyle w:val="Style_2"/>
              <w:spacing w:line="240" w:lineRule="auto"/>
              <w:ind/>
              <w:jc w:val="center"/>
              <w:rPr>
                <w:rFonts w:ascii="Times New Roman" w:hAnsi="Times New Roman"/>
              </w:rPr>
            </w:pPr>
            <w:r>
              <w:rPr>
                <w:color w:val="000000"/>
                <w:sz w:val="18"/>
              </w:rPr>
              <w:t>290</w:t>
            </w:r>
          </w:p>
        </w:tc>
        <w:tc>
          <w:tcPr>
            <w:tcW w:type="dxa" w:w="922"/>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vAlign w:val="center"/>
          </w:tcPr>
          <w:p w14:paraId="D3010000">
            <w:pPr>
              <w:pStyle w:val="Style_2"/>
              <w:spacing w:line="240" w:lineRule="auto"/>
              <w:ind/>
              <w:jc w:val="center"/>
              <w:rPr>
                <w:rFonts w:ascii="Times New Roman" w:hAnsi="Times New Roman"/>
              </w:rPr>
            </w:pPr>
            <w:r>
              <w:rPr>
                <w:color w:val="000000"/>
                <w:sz w:val="18"/>
              </w:rPr>
              <w:t>273</w:t>
            </w:r>
          </w:p>
        </w:tc>
        <w:tc>
          <w:tcPr>
            <w:tcW w:type="dxa" w:w="916"/>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vAlign w:val="center"/>
          </w:tcPr>
          <w:p w14:paraId="D4010000">
            <w:pPr>
              <w:pStyle w:val="Style_2"/>
              <w:spacing w:line="240" w:lineRule="auto"/>
              <w:ind/>
              <w:jc w:val="center"/>
              <w:rPr>
                <w:rFonts w:ascii="Times New Roman" w:hAnsi="Times New Roman"/>
              </w:rPr>
            </w:pPr>
            <w:r>
              <w:rPr>
                <w:color w:val="000000"/>
                <w:sz w:val="18"/>
              </w:rPr>
              <w:t>450</w:t>
            </w:r>
          </w:p>
        </w:tc>
        <w:tc>
          <w:tcPr>
            <w:tcW w:type="dxa" w:w="915"/>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vAlign w:val="center"/>
          </w:tcPr>
          <w:p w14:paraId="D5010000">
            <w:pPr>
              <w:pStyle w:val="Style_2"/>
              <w:spacing w:line="240" w:lineRule="auto"/>
              <w:ind/>
              <w:jc w:val="center"/>
              <w:rPr>
                <w:rFonts w:ascii="Times New Roman" w:hAnsi="Times New Roman"/>
              </w:rPr>
            </w:pPr>
            <w:r>
              <w:rPr>
                <w:color w:val="000000"/>
                <w:sz w:val="18"/>
              </w:rPr>
              <w:t>460</w:t>
            </w:r>
          </w:p>
        </w:tc>
        <w:tc>
          <w:tcPr>
            <w:tcW w:type="dxa" w:w="917"/>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vAlign w:val="center"/>
          </w:tcPr>
          <w:p w14:paraId="D6010000">
            <w:pPr>
              <w:pStyle w:val="Style_2"/>
              <w:spacing w:line="240" w:lineRule="auto"/>
              <w:ind/>
              <w:jc w:val="center"/>
              <w:rPr>
                <w:rFonts w:ascii="Times New Roman" w:hAnsi="Times New Roman"/>
              </w:rPr>
            </w:pPr>
            <w:r>
              <w:rPr>
                <w:color w:val="000000"/>
                <w:sz w:val="18"/>
              </w:rPr>
              <w:t>460</w:t>
            </w:r>
          </w:p>
        </w:tc>
        <w:tc>
          <w:tcPr>
            <w:tcW w:type="dxa" w:w="91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7010000">
            <w:pPr>
              <w:pStyle w:val="Style_2"/>
              <w:spacing w:line="240" w:lineRule="auto"/>
              <w:ind/>
              <w:jc w:val="center"/>
              <w:rPr>
                <w:rFonts w:ascii="Times New Roman" w:hAnsi="Times New Roman"/>
              </w:rPr>
            </w:pPr>
            <w:r>
              <w:rPr>
                <w:color w:val="000000"/>
                <w:sz w:val="18"/>
              </w:rPr>
              <w:t>460</w:t>
            </w:r>
          </w:p>
        </w:tc>
      </w:tr>
      <w:tr>
        <w:tc>
          <w:tcPr>
            <w:tcW w:type="dxa" w:w="819"/>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vAlign w:val="center"/>
          </w:tcPr>
          <w:p w14:paraId="D8010000">
            <w:pPr>
              <w:pStyle w:val="Style_2"/>
              <w:spacing w:after="0" w:before="0" w:line="240" w:lineRule="auto"/>
              <w:ind/>
              <w:jc w:val="center"/>
              <w:rPr>
                <w:rFonts w:ascii="Times New Roman" w:hAnsi="Times New Roman"/>
              </w:rPr>
            </w:pPr>
            <w:r>
              <w:rPr>
                <w:sz w:val="18"/>
              </w:rPr>
              <w:t>55-56</w:t>
            </w:r>
          </w:p>
        </w:tc>
        <w:tc>
          <w:tcPr>
            <w:tcW w:type="dxa" w:w="3785"/>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D9010000">
            <w:pPr>
              <w:pStyle w:val="Style_2"/>
              <w:spacing w:after="0" w:before="0" w:line="240" w:lineRule="auto"/>
              <w:ind/>
              <w:jc w:val="left"/>
              <w:rPr>
                <w:rFonts w:ascii="Times New Roman" w:hAnsi="Times New Roman"/>
              </w:rPr>
            </w:pPr>
            <w:r>
              <w:rPr>
                <w:color w:val="000000"/>
                <w:sz w:val="18"/>
              </w:rPr>
              <w:t>РАЗДЕЛ (I) ДЕЯТЕЛЬНОСТЬ ГОСТИНИЦ И ПРЕДПРИЯТИЙ ОБЩЕСТВЕННОГО ПИТАНИЯ</w:t>
            </w:r>
          </w:p>
        </w:tc>
        <w:tc>
          <w:tcPr>
            <w:tcW w:type="dxa" w:w="916"/>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vAlign w:val="center"/>
          </w:tcPr>
          <w:p w14:paraId="DA010000">
            <w:pPr>
              <w:pStyle w:val="Style_2"/>
              <w:spacing w:line="240" w:lineRule="auto"/>
              <w:ind/>
              <w:jc w:val="center"/>
              <w:rPr>
                <w:rFonts w:ascii="Times New Roman" w:hAnsi="Times New Roman"/>
              </w:rPr>
            </w:pPr>
            <w:r>
              <w:rPr>
                <w:color w:val="000000"/>
                <w:sz w:val="18"/>
              </w:rPr>
              <w:t>587</w:t>
            </w:r>
          </w:p>
        </w:tc>
        <w:tc>
          <w:tcPr>
            <w:tcW w:type="dxa" w:w="922"/>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vAlign w:val="center"/>
          </w:tcPr>
          <w:p w14:paraId="DB010000">
            <w:pPr>
              <w:pStyle w:val="Style_2"/>
              <w:spacing w:line="240" w:lineRule="auto"/>
              <w:ind/>
              <w:jc w:val="center"/>
              <w:rPr>
                <w:rFonts w:ascii="Times New Roman" w:hAnsi="Times New Roman"/>
              </w:rPr>
            </w:pPr>
            <w:r>
              <w:rPr>
                <w:color w:val="000000"/>
                <w:sz w:val="18"/>
              </w:rPr>
              <w:t>835</w:t>
            </w:r>
          </w:p>
        </w:tc>
        <w:tc>
          <w:tcPr>
            <w:tcW w:type="dxa" w:w="916"/>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vAlign w:val="center"/>
          </w:tcPr>
          <w:p w14:paraId="DC010000">
            <w:pPr>
              <w:pStyle w:val="Style_2"/>
              <w:spacing w:line="240" w:lineRule="auto"/>
              <w:ind/>
              <w:jc w:val="center"/>
              <w:rPr>
                <w:rFonts w:ascii="Times New Roman" w:hAnsi="Times New Roman"/>
              </w:rPr>
            </w:pPr>
            <w:r>
              <w:rPr>
                <w:color w:val="000000"/>
                <w:sz w:val="18"/>
              </w:rPr>
              <w:t>900</w:t>
            </w:r>
          </w:p>
        </w:tc>
        <w:tc>
          <w:tcPr>
            <w:tcW w:type="dxa" w:w="915"/>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vAlign w:val="center"/>
          </w:tcPr>
          <w:p w14:paraId="DD010000">
            <w:pPr>
              <w:pStyle w:val="Style_2"/>
              <w:spacing w:line="240" w:lineRule="auto"/>
              <w:ind/>
              <w:jc w:val="center"/>
              <w:rPr>
                <w:rFonts w:ascii="Times New Roman" w:hAnsi="Times New Roman"/>
              </w:rPr>
            </w:pPr>
            <w:r>
              <w:rPr>
                <w:color w:val="000000"/>
                <w:sz w:val="18"/>
              </w:rPr>
              <w:t>900</w:t>
            </w:r>
          </w:p>
        </w:tc>
        <w:tc>
          <w:tcPr>
            <w:tcW w:type="dxa" w:w="917"/>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vAlign w:val="center"/>
          </w:tcPr>
          <w:p w14:paraId="DE010000">
            <w:pPr>
              <w:pStyle w:val="Style_2"/>
              <w:spacing w:line="240" w:lineRule="auto"/>
              <w:ind/>
              <w:jc w:val="center"/>
              <w:rPr>
                <w:rFonts w:ascii="Times New Roman" w:hAnsi="Times New Roman"/>
              </w:rPr>
            </w:pPr>
            <w:r>
              <w:rPr>
                <w:color w:val="000000"/>
                <w:sz w:val="18"/>
              </w:rPr>
              <w:t>900</w:t>
            </w:r>
          </w:p>
        </w:tc>
        <w:tc>
          <w:tcPr>
            <w:tcW w:type="dxa" w:w="91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DF010000">
            <w:pPr>
              <w:pStyle w:val="Style_2"/>
              <w:spacing w:line="240" w:lineRule="auto"/>
              <w:ind/>
              <w:jc w:val="center"/>
              <w:rPr>
                <w:rFonts w:ascii="Times New Roman" w:hAnsi="Times New Roman"/>
              </w:rPr>
            </w:pPr>
            <w:r>
              <w:rPr>
                <w:color w:val="000000"/>
                <w:sz w:val="18"/>
              </w:rPr>
              <w:t>900</w:t>
            </w:r>
          </w:p>
        </w:tc>
      </w:tr>
      <w:tr>
        <w:tc>
          <w:tcPr>
            <w:tcW w:type="dxa" w:w="819"/>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vAlign w:val="center"/>
          </w:tcPr>
          <w:p w14:paraId="E0010000">
            <w:pPr>
              <w:pStyle w:val="Style_2"/>
              <w:spacing w:after="0" w:before="0" w:line="240" w:lineRule="auto"/>
              <w:ind/>
              <w:jc w:val="center"/>
              <w:rPr>
                <w:rFonts w:ascii="Times New Roman" w:hAnsi="Times New Roman"/>
              </w:rPr>
            </w:pPr>
            <w:r>
              <w:rPr>
                <w:sz w:val="18"/>
              </w:rPr>
              <w:t>58-63</w:t>
            </w:r>
          </w:p>
        </w:tc>
        <w:tc>
          <w:tcPr>
            <w:tcW w:type="dxa" w:w="3785"/>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E1010000">
            <w:pPr>
              <w:pStyle w:val="Style_2"/>
              <w:spacing w:after="0" w:before="0" w:line="240" w:lineRule="auto"/>
              <w:ind/>
              <w:jc w:val="left"/>
              <w:rPr>
                <w:rFonts w:ascii="Times New Roman" w:hAnsi="Times New Roman"/>
              </w:rPr>
            </w:pPr>
            <w:r>
              <w:rPr>
                <w:color w:val="000000"/>
                <w:sz w:val="18"/>
              </w:rPr>
              <w:t>ДЕЯТЕЛЬНОСТЬ В ОБЛАСТИ ИНФОРМАЦИИ И СВЯЗИ</w:t>
            </w:r>
          </w:p>
        </w:tc>
        <w:tc>
          <w:tcPr>
            <w:tcW w:type="dxa" w:w="916"/>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vAlign w:val="center"/>
          </w:tcPr>
          <w:p w14:paraId="E2010000">
            <w:pPr>
              <w:pStyle w:val="Style_2"/>
              <w:spacing w:line="240" w:lineRule="auto"/>
              <w:ind/>
              <w:jc w:val="center"/>
              <w:rPr>
                <w:rFonts w:ascii="Times New Roman" w:hAnsi="Times New Roman"/>
              </w:rPr>
            </w:pPr>
            <w:r>
              <w:rPr>
                <w:color w:val="000000"/>
                <w:sz w:val="18"/>
              </w:rPr>
              <w:t>16</w:t>
            </w:r>
          </w:p>
        </w:tc>
        <w:tc>
          <w:tcPr>
            <w:tcW w:type="dxa" w:w="922"/>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vAlign w:val="center"/>
          </w:tcPr>
          <w:p w14:paraId="E3010000">
            <w:pPr>
              <w:pStyle w:val="Style_2"/>
              <w:spacing w:line="240" w:lineRule="auto"/>
              <w:ind/>
              <w:jc w:val="center"/>
              <w:rPr>
                <w:rFonts w:ascii="Times New Roman" w:hAnsi="Times New Roman"/>
              </w:rPr>
            </w:pPr>
            <w:r>
              <w:rPr>
                <w:color w:val="000000"/>
                <w:sz w:val="18"/>
              </w:rPr>
              <w:t>11</w:t>
            </w:r>
          </w:p>
        </w:tc>
        <w:tc>
          <w:tcPr>
            <w:tcW w:type="dxa" w:w="916"/>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vAlign w:val="center"/>
          </w:tcPr>
          <w:p w14:paraId="E4010000">
            <w:pPr>
              <w:pStyle w:val="Style_2"/>
              <w:spacing w:line="240" w:lineRule="auto"/>
              <w:ind/>
              <w:jc w:val="center"/>
              <w:rPr>
                <w:rFonts w:ascii="Times New Roman" w:hAnsi="Times New Roman"/>
              </w:rPr>
            </w:pPr>
            <w:r>
              <w:rPr>
                <w:color w:val="000000"/>
                <w:sz w:val="18"/>
              </w:rPr>
              <w:t>16</w:t>
            </w:r>
          </w:p>
        </w:tc>
        <w:tc>
          <w:tcPr>
            <w:tcW w:type="dxa" w:w="915"/>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vAlign w:val="center"/>
          </w:tcPr>
          <w:p w14:paraId="E5010000">
            <w:pPr>
              <w:pStyle w:val="Style_2"/>
              <w:spacing w:line="240" w:lineRule="auto"/>
              <w:ind/>
              <w:jc w:val="center"/>
              <w:rPr>
                <w:rFonts w:ascii="Times New Roman" w:hAnsi="Times New Roman"/>
              </w:rPr>
            </w:pPr>
            <w:r>
              <w:rPr>
                <w:color w:val="000000"/>
                <w:sz w:val="18"/>
              </w:rPr>
              <w:t>16</w:t>
            </w:r>
          </w:p>
        </w:tc>
        <w:tc>
          <w:tcPr>
            <w:tcW w:type="dxa" w:w="917"/>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vAlign w:val="center"/>
          </w:tcPr>
          <w:p w14:paraId="E6010000">
            <w:pPr>
              <w:pStyle w:val="Style_2"/>
              <w:spacing w:line="240" w:lineRule="auto"/>
              <w:ind/>
              <w:jc w:val="center"/>
              <w:rPr>
                <w:rFonts w:ascii="Times New Roman" w:hAnsi="Times New Roman"/>
              </w:rPr>
            </w:pPr>
            <w:r>
              <w:rPr>
                <w:color w:val="000000"/>
                <w:sz w:val="18"/>
              </w:rPr>
              <w:t>16</w:t>
            </w:r>
          </w:p>
        </w:tc>
        <w:tc>
          <w:tcPr>
            <w:tcW w:type="dxa" w:w="91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7010000">
            <w:pPr>
              <w:pStyle w:val="Style_2"/>
              <w:spacing w:line="240" w:lineRule="auto"/>
              <w:ind/>
              <w:jc w:val="center"/>
              <w:rPr>
                <w:rFonts w:ascii="Times New Roman" w:hAnsi="Times New Roman"/>
              </w:rPr>
            </w:pPr>
            <w:r>
              <w:rPr>
                <w:color w:val="000000"/>
                <w:sz w:val="18"/>
              </w:rPr>
              <w:t>16</w:t>
            </w:r>
          </w:p>
        </w:tc>
      </w:tr>
      <w:tr>
        <w:tc>
          <w:tcPr>
            <w:tcW w:type="dxa" w:w="819"/>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vAlign w:val="center"/>
          </w:tcPr>
          <w:p w14:paraId="E8010000">
            <w:pPr>
              <w:pStyle w:val="Style_2"/>
              <w:spacing w:after="0" w:before="0" w:line="240" w:lineRule="auto"/>
              <w:ind/>
              <w:jc w:val="center"/>
              <w:rPr>
                <w:rFonts w:ascii="Times New Roman" w:hAnsi="Times New Roman"/>
              </w:rPr>
            </w:pPr>
            <w:r>
              <w:rPr>
                <w:sz w:val="18"/>
              </w:rPr>
              <w:t>64-66</w:t>
            </w:r>
          </w:p>
        </w:tc>
        <w:tc>
          <w:tcPr>
            <w:tcW w:type="dxa" w:w="3785"/>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E9010000">
            <w:pPr>
              <w:pStyle w:val="Style_2"/>
              <w:spacing w:after="0" w:before="0" w:line="240" w:lineRule="auto"/>
              <w:ind/>
              <w:jc w:val="left"/>
              <w:rPr>
                <w:rFonts w:ascii="Times New Roman" w:hAnsi="Times New Roman"/>
              </w:rPr>
            </w:pPr>
            <w:r>
              <w:rPr>
                <w:color w:val="000000"/>
                <w:sz w:val="18"/>
              </w:rPr>
              <w:t>РАЗДЕЛ (К) ДЕЯТЕЛЬНОСТЬ ФИНАНСОВАЯ И СТРАХОВАЯ</w:t>
            </w:r>
          </w:p>
        </w:tc>
        <w:tc>
          <w:tcPr>
            <w:tcW w:type="dxa" w:w="916"/>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vAlign w:val="center"/>
          </w:tcPr>
          <w:p w14:paraId="EA010000">
            <w:pPr>
              <w:pStyle w:val="Style_2"/>
              <w:spacing w:line="240" w:lineRule="auto"/>
              <w:ind/>
              <w:jc w:val="center"/>
              <w:rPr>
                <w:rFonts w:ascii="Times New Roman" w:hAnsi="Times New Roman"/>
              </w:rPr>
            </w:pPr>
            <w:r>
              <w:rPr>
                <w:color w:val="000000"/>
                <w:sz w:val="18"/>
              </w:rPr>
              <w:t>1</w:t>
            </w:r>
          </w:p>
        </w:tc>
        <w:tc>
          <w:tcPr>
            <w:tcW w:type="dxa" w:w="922"/>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vAlign w:val="center"/>
          </w:tcPr>
          <w:p w14:paraId="EB010000">
            <w:pPr>
              <w:pStyle w:val="Style_2"/>
              <w:spacing w:line="240" w:lineRule="auto"/>
              <w:ind/>
              <w:jc w:val="center"/>
              <w:rPr>
                <w:rFonts w:ascii="Times New Roman" w:hAnsi="Times New Roman"/>
              </w:rPr>
            </w:pPr>
            <w:r>
              <w:rPr>
                <w:color w:val="000000"/>
                <w:sz w:val="18"/>
              </w:rPr>
              <w:t>1</w:t>
            </w:r>
          </w:p>
        </w:tc>
        <w:tc>
          <w:tcPr>
            <w:tcW w:type="dxa" w:w="916"/>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vAlign w:val="center"/>
          </w:tcPr>
          <w:p w14:paraId="EC010000">
            <w:pPr>
              <w:pStyle w:val="Style_2"/>
              <w:spacing w:line="240" w:lineRule="auto"/>
              <w:ind/>
              <w:jc w:val="center"/>
              <w:rPr>
                <w:rFonts w:ascii="Times New Roman" w:hAnsi="Times New Roman"/>
              </w:rPr>
            </w:pPr>
            <w:r>
              <w:rPr>
                <w:color w:val="000000"/>
                <w:sz w:val="18"/>
              </w:rPr>
              <w:t>10</w:t>
            </w:r>
          </w:p>
        </w:tc>
        <w:tc>
          <w:tcPr>
            <w:tcW w:type="dxa" w:w="915"/>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vAlign w:val="center"/>
          </w:tcPr>
          <w:p w14:paraId="ED010000">
            <w:pPr>
              <w:pStyle w:val="Style_2"/>
              <w:spacing w:line="240" w:lineRule="auto"/>
              <w:ind/>
              <w:jc w:val="center"/>
              <w:rPr>
                <w:rFonts w:ascii="Times New Roman" w:hAnsi="Times New Roman"/>
              </w:rPr>
            </w:pPr>
            <w:r>
              <w:rPr>
                <w:color w:val="000000"/>
                <w:sz w:val="18"/>
              </w:rPr>
              <w:t>10</w:t>
            </w:r>
          </w:p>
        </w:tc>
        <w:tc>
          <w:tcPr>
            <w:tcW w:type="dxa" w:w="917"/>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vAlign w:val="center"/>
          </w:tcPr>
          <w:p w14:paraId="EE010000">
            <w:pPr>
              <w:pStyle w:val="Style_2"/>
              <w:spacing w:line="240" w:lineRule="auto"/>
              <w:ind/>
              <w:jc w:val="center"/>
              <w:rPr>
                <w:rFonts w:ascii="Times New Roman" w:hAnsi="Times New Roman"/>
              </w:rPr>
            </w:pPr>
            <w:r>
              <w:rPr>
                <w:color w:val="000000"/>
                <w:sz w:val="18"/>
              </w:rPr>
              <w:t>10</w:t>
            </w:r>
          </w:p>
        </w:tc>
        <w:tc>
          <w:tcPr>
            <w:tcW w:type="dxa" w:w="91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F010000">
            <w:pPr>
              <w:pStyle w:val="Style_2"/>
              <w:spacing w:line="240" w:lineRule="auto"/>
              <w:ind/>
              <w:jc w:val="center"/>
              <w:rPr>
                <w:rFonts w:ascii="Times New Roman" w:hAnsi="Times New Roman"/>
              </w:rPr>
            </w:pPr>
            <w:r>
              <w:rPr>
                <w:color w:val="000000"/>
                <w:sz w:val="18"/>
              </w:rPr>
              <w:t>10</w:t>
            </w:r>
          </w:p>
        </w:tc>
      </w:tr>
      <w:tr>
        <w:tc>
          <w:tcPr>
            <w:tcW w:type="dxa" w:w="819"/>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vAlign w:val="center"/>
          </w:tcPr>
          <w:p w14:paraId="F0010000">
            <w:pPr>
              <w:pStyle w:val="Style_2"/>
              <w:spacing w:after="0" w:before="0" w:line="240" w:lineRule="auto"/>
              <w:ind/>
              <w:jc w:val="center"/>
              <w:rPr>
                <w:rFonts w:ascii="Times New Roman" w:hAnsi="Times New Roman"/>
              </w:rPr>
            </w:pPr>
            <w:r>
              <w:rPr>
                <w:sz w:val="18"/>
              </w:rPr>
              <w:t>68</w:t>
            </w:r>
          </w:p>
        </w:tc>
        <w:tc>
          <w:tcPr>
            <w:tcW w:type="dxa" w:w="3785"/>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F1010000">
            <w:pPr>
              <w:pStyle w:val="Style_2"/>
              <w:spacing w:after="0" w:before="0" w:line="240" w:lineRule="auto"/>
              <w:ind/>
              <w:jc w:val="left"/>
              <w:rPr>
                <w:rFonts w:ascii="Times New Roman" w:hAnsi="Times New Roman"/>
              </w:rPr>
            </w:pPr>
            <w:r>
              <w:rPr>
                <w:color w:val="000000"/>
                <w:sz w:val="18"/>
              </w:rPr>
              <w:t>РАЗДЕЛ (L) ДЕЯТЕЛЬНОСТЬ ПО ОПЕРАЦИЯМ С НЕДВИЖИМЫМ ИМУЩЕСТВОМ</w:t>
            </w:r>
          </w:p>
        </w:tc>
        <w:tc>
          <w:tcPr>
            <w:tcW w:type="dxa" w:w="916"/>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vAlign w:val="center"/>
          </w:tcPr>
          <w:p w14:paraId="F2010000">
            <w:pPr>
              <w:pStyle w:val="Style_2"/>
              <w:spacing w:line="240" w:lineRule="auto"/>
              <w:ind/>
              <w:jc w:val="center"/>
              <w:rPr>
                <w:rFonts w:ascii="Times New Roman" w:hAnsi="Times New Roman"/>
              </w:rPr>
            </w:pPr>
            <w:r>
              <w:rPr>
                <w:color w:val="000000"/>
                <w:sz w:val="18"/>
              </w:rPr>
              <w:t>71</w:t>
            </w:r>
          </w:p>
        </w:tc>
        <w:tc>
          <w:tcPr>
            <w:tcW w:type="dxa" w:w="922"/>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vAlign w:val="center"/>
          </w:tcPr>
          <w:p w14:paraId="F3010000">
            <w:pPr>
              <w:pStyle w:val="Style_2"/>
              <w:spacing w:line="240" w:lineRule="auto"/>
              <w:ind/>
              <w:jc w:val="center"/>
              <w:rPr>
                <w:rFonts w:ascii="Times New Roman" w:hAnsi="Times New Roman"/>
              </w:rPr>
            </w:pPr>
            <w:r>
              <w:rPr>
                <w:color w:val="000000"/>
                <w:sz w:val="18"/>
              </w:rPr>
              <w:t>156</w:t>
            </w:r>
          </w:p>
        </w:tc>
        <w:tc>
          <w:tcPr>
            <w:tcW w:type="dxa" w:w="916"/>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vAlign w:val="center"/>
          </w:tcPr>
          <w:p w14:paraId="F4010000">
            <w:pPr>
              <w:pStyle w:val="Style_2"/>
              <w:spacing w:line="240" w:lineRule="auto"/>
              <w:ind/>
              <w:jc w:val="center"/>
              <w:rPr>
                <w:rFonts w:ascii="Times New Roman" w:hAnsi="Times New Roman"/>
              </w:rPr>
            </w:pPr>
            <w:r>
              <w:rPr>
                <w:color w:val="000000"/>
                <w:sz w:val="18"/>
              </w:rPr>
              <w:t>150</w:t>
            </w:r>
          </w:p>
        </w:tc>
        <w:tc>
          <w:tcPr>
            <w:tcW w:type="dxa" w:w="915"/>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vAlign w:val="center"/>
          </w:tcPr>
          <w:p w14:paraId="F5010000">
            <w:pPr>
              <w:pStyle w:val="Style_2"/>
              <w:spacing w:line="240" w:lineRule="auto"/>
              <w:ind/>
              <w:jc w:val="center"/>
              <w:rPr>
                <w:rFonts w:ascii="Times New Roman" w:hAnsi="Times New Roman"/>
              </w:rPr>
            </w:pPr>
            <w:r>
              <w:rPr>
                <w:color w:val="000000"/>
                <w:sz w:val="18"/>
              </w:rPr>
              <w:t>150</w:t>
            </w:r>
          </w:p>
        </w:tc>
        <w:tc>
          <w:tcPr>
            <w:tcW w:type="dxa" w:w="917"/>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vAlign w:val="center"/>
          </w:tcPr>
          <w:p w14:paraId="F6010000">
            <w:pPr>
              <w:pStyle w:val="Style_2"/>
              <w:spacing w:line="240" w:lineRule="auto"/>
              <w:ind/>
              <w:jc w:val="center"/>
              <w:rPr>
                <w:rFonts w:ascii="Times New Roman" w:hAnsi="Times New Roman"/>
              </w:rPr>
            </w:pPr>
            <w:r>
              <w:rPr>
                <w:color w:val="000000"/>
                <w:sz w:val="18"/>
              </w:rPr>
              <w:t>150</w:t>
            </w:r>
          </w:p>
        </w:tc>
        <w:tc>
          <w:tcPr>
            <w:tcW w:type="dxa" w:w="91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7010000">
            <w:pPr>
              <w:pStyle w:val="Style_2"/>
              <w:spacing w:line="240" w:lineRule="auto"/>
              <w:ind/>
              <w:jc w:val="center"/>
              <w:rPr>
                <w:rFonts w:ascii="Times New Roman" w:hAnsi="Times New Roman"/>
              </w:rPr>
            </w:pPr>
            <w:r>
              <w:rPr>
                <w:color w:val="000000"/>
                <w:sz w:val="18"/>
              </w:rPr>
              <w:t>150</w:t>
            </w:r>
          </w:p>
        </w:tc>
      </w:tr>
      <w:tr>
        <w:tc>
          <w:tcPr>
            <w:tcW w:type="dxa" w:w="819"/>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vAlign w:val="center"/>
          </w:tcPr>
          <w:p w14:paraId="F8010000">
            <w:pPr>
              <w:pStyle w:val="Style_2"/>
              <w:spacing w:after="0" w:before="0" w:line="240" w:lineRule="auto"/>
              <w:ind/>
              <w:jc w:val="center"/>
              <w:rPr>
                <w:rFonts w:ascii="Times New Roman" w:hAnsi="Times New Roman"/>
              </w:rPr>
            </w:pPr>
            <w:r>
              <w:rPr>
                <w:sz w:val="18"/>
              </w:rPr>
              <w:t>69-75</w:t>
            </w:r>
          </w:p>
        </w:tc>
        <w:tc>
          <w:tcPr>
            <w:tcW w:type="dxa" w:w="3785"/>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F9010000">
            <w:pPr>
              <w:pStyle w:val="Style_2"/>
              <w:spacing w:after="0" w:before="0" w:line="240" w:lineRule="auto"/>
              <w:ind/>
              <w:jc w:val="left"/>
              <w:rPr>
                <w:rFonts w:ascii="Times New Roman" w:hAnsi="Times New Roman"/>
              </w:rPr>
            </w:pPr>
            <w:r>
              <w:rPr>
                <w:color w:val="000000"/>
                <w:sz w:val="18"/>
              </w:rPr>
              <w:t>ДЕЯТЕЛЬНОСТЬ ПРОФЕССИОНАЛЬНАЯ, НАУЧНАЯ И ТЕХНИЧЕСКАЯ</w:t>
            </w:r>
          </w:p>
        </w:tc>
        <w:tc>
          <w:tcPr>
            <w:tcW w:type="dxa" w:w="916"/>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vAlign w:val="center"/>
          </w:tcPr>
          <w:p w14:paraId="FA010000">
            <w:pPr>
              <w:pStyle w:val="Style_2"/>
              <w:spacing w:line="240" w:lineRule="auto"/>
              <w:ind/>
              <w:jc w:val="center"/>
              <w:rPr>
                <w:rFonts w:ascii="Times New Roman" w:hAnsi="Times New Roman"/>
              </w:rPr>
            </w:pPr>
            <w:r>
              <w:rPr>
                <w:color w:val="000000"/>
                <w:sz w:val="18"/>
              </w:rPr>
              <w:t>17</w:t>
            </w:r>
          </w:p>
        </w:tc>
        <w:tc>
          <w:tcPr>
            <w:tcW w:type="dxa" w:w="922"/>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vAlign w:val="center"/>
          </w:tcPr>
          <w:p w14:paraId="FB010000">
            <w:pPr>
              <w:pStyle w:val="Style_2"/>
              <w:spacing w:line="240" w:lineRule="auto"/>
              <w:ind/>
              <w:jc w:val="center"/>
              <w:rPr>
                <w:rFonts w:ascii="Times New Roman" w:hAnsi="Times New Roman"/>
              </w:rPr>
            </w:pPr>
            <w:r>
              <w:rPr>
                <w:color w:val="000000"/>
                <w:sz w:val="18"/>
              </w:rPr>
              <w:t>98</w:t>
            </w:r>
          </w:p>
        </w:tc>
        <w:tc>
          <w:tcPr>
            <w:tcW w:type="dxa" w:w="916"/>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vAlign w:val="center"/>
          </w:tcPr>
          <w:p w14:paraId="FC010000">
            <w:pPr>
              <w:pStyle w:val="Style_2"/>
              <w:spacing w:line="240" w:lineRule="auto"/>
              <w:ind/>
              <w:jc w:val="center"/>
              <w:rPr>
                <w:rFonts w:ascii="Times New Roman" w:hAnsi="Times New Roman"/>
              </w:rPr>
            </w:pPr>
            <w:r>
              <w:rPr>
                <w:color w:val="000000"/>
                <w:sz w:val="18"/>
              </w:rPr>
              <w:t>200</w:t>
            </w:r>
          </w:p>
        </w:tc>
        <w:tc>
          <w:tcPr>
            <w:tcW w:type="dxa" w:w="915"/>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vAlign w:val="center"/>
          </w:tcPr>
          <w:p w14:paraId="FD010000">
            <w:pPr>
              <w:pStyle w:val="Style_2"/>
              <w:spacing w:line="240" w:lineRule="auto"/>
              <w:ind/>
              <w:jc w:val="center"/>
              <w:rPr>
                <w:rFonts w:ascii="Times New Roman" w:hAnsi="Times New Roman"/>
              </w:rPr>
            </w:pPr>
            <w:r>
              <w:rPr>
                <w:color w:val="000000"/>
                <w:sz w:val="18"/>
              </w:rPr>
              <w:t>200</w:t>
            </w:r>
          </w:p>
        </w:tc>
        <w:tc>
          <w:tcPr>
            <w:tcW w:type="dxa" w:w="917"/>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vAlign w:val="center"/>
          </w:tcPr>
          <w:p w14:paraId="FE010000">
            <w:pPr>
              <w:pStyle w:val="Style_2"/>
              <w:spacing w:line="240" w:lineRule="auto"/>
              <w:ind/>
              <w:jc w:val="center"/>
              <w:rPr>
                <w:rFonts w:ascii="Times New Roman" w:hAnsi="Times New Roman"/>
              </w:rPr>
            </w:pPr>
            <w:r>
              <w:rPr>
                <w:color w:val="000000"/>
                <w:sz w:val="18"/>
              </w:rPr>
              <w:t>200</w:t>
            </w:r>
          </w:p>
        </w:tc>
        <w:tc>
          <w:tcPr>
            <w:tcW w:type="dxa" w:w="91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F010000">
            <w:pPr>
              <w:pStyle w:val="Style_2"/>
              <w:spacing w:line="240" w:lineRule="auto"/>
              <w:ind/>
              <w:jc w:val="center"/>
              <w:rPr>
                <w:rFonts w:ascii="Times New Roman" w:hAnsi="Times New Roman"/>
              </w:rPr>
            </w:pPr>
            <w:r>
              <w:rPr>
                <w:color w:val="000000"/>
                <w:sz w:val="18"/>
              </w:rPr>
              <w:t>200</w:t>
            </w:r>
          </w:p>
        </w:tc>
      </w:tr>
      <w:tr>
        <w:tc>
          <w:tcPr>
            <w:tcW w:type="dxa" w:w="819"/>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vAlign w:val="center"/>
          </w:tcPr>
          <w:p w14:paraId="00020000">
            <w:pPr>
              <w:pStyle w:val="Style_2"/>
              <w:spacing w:after="0" w:before="0" w:line="240" w:lineRule="auto"/>
              <w:ind/>
              <w:jc w:val="center"/>
              <w:rPr>
                <w:rFonts w:ascii="Times New Roman" w:hAnsi="Times New Roman"/>
              </w:rPr>
            </w:pPr>
            <w:r>
              <w:rPr>
                <w:sz w:val="18"/>
              </w:rPr>
              <w:t>77-82</w:t>
            </w:r>
          </w:p>
        </w:tc>
        <w:tc>
          <w:tcPr>
            <w:tcW w:type="dxa" w:w="3785"/>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01020000">
            <w:pPr>
              <w:pStyle w:val="Style_2"/>
              <w:spacing w:after="0" w:before="0" w:line="240" w:lineRule="auto"/>
              <w:ind/>
              <w:jc w:val="left"/>
              <w:rPr>
                <w:rFonts w:ascii="Times New Roman" w:hAnsi="Times New Roman"/>
              </w:rPr>
            </w:pPr>
            <w:r>
              <w:rPr>
                <w:color w:val="000000"/>
                <w:sz w:val="18"/>
              </w:rPr>
              <w:t>ДЕЯТЕЛЬНОСТЬ АДМИНИСТРАТИВНАЯ И СОПУТСТВУЮЩИЕ ДОПОЛНИТЕЛЬНЫЕ УСЛУГИ</w:t>
            </w:r>
          </w:p>
        </w:tc>
        <w:tc>
          <w:tcPr>
            <w:tcW w:type="dxa" w:w="916"/>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vAlign w:val="center"/>
          </w:tcPr>
          <w:p w14:paraId="02020000">
            <w:pPr>
              <w:pStyle w:val="Style_2"/>
              <w:spacing w:line="240" w:lineRule="auto"/>
              <w:ind/>
              <w:jc w:val="center"/>
              <w:rPr>
                <w:rFonts w:ascii="Times New Roman" w:hAnsi="Times New Roman"/>
              </w:rPr>
            </w:pPr>
            <w:r>
              <w:rPr>
                <w:color w:val="000000"/>
                <w:sz w:val="18"/>
              </w:rPr>
              <w:t>85</w:t>
            </w:r>
          </w:p>
        </w:tc>
        <w:tc>
          <w:tcPr>
            <w:tcW w:type="dxa" w:w="922"/>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vAlign w:val="center"/>
          </w:tcPr>
          <w:p w14:paraId="03020000">
            <w:pPr>
              <w:pStyle w:val="Style_2"/>
              <w:spacing w:line="240" w:lineRule="auto"/>
              <w:ind/>
              <w:jc w:val="center"/>
              <w:rPr>
                <w:rFonts w:ascii="Times New Roman" w:hAnsi="Times New Roman"/>
              </w:rPr>
            </w:pPr>
            <w:r>
              <w:rPr>
                <w:color w:val="000000"/>
                <w:sz w:val="18"/>
              </w:rPr>
              <w:t>119</w:t>
            </w:r>
          </w:p>
        </w:tc>
        <w:tc>
          <w:tcPr>
            <w:tcW w:type="dxa" w:w="916"/>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vAlign w:val="center"/>
          </w:tcPr>
          <w:p w14:paraId="04020000">
            <w:pPr>
              <w:pStyle w:val="Style_2"/>
              <w:spacing w:line="240" w:lineRule="auto"/>
              <w:ind/>
              <w:jc w:val="center"/>
              <w:rPr>
                <w:rFonts w:ascii="Times New Roman" w:hAnsi="Times New Roman"/>
              </w:rPr>
            </w:pPr>
            <w:r>
              <w:rPr>
                <w:color w:val="000000"/>
                <w:sz w:val="18"/>
              </w:rPr>
              <w:t>90</w:t>
            </w:r>
          </w:p>
        </w:tc>
        <w:tc>
          <w:tcPr>
            <w:tcW w:type="dxa" w:w="915"/>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vAlign w:val="center"/>
          </w:tcPr>
          <w:p w14:paraId="05020000">
            <w:pPr>
              <w:pStyle w:val="Style_2"/>
              <w:spacing w:line="240" w:lineRule="auto"/>
              <w:ind/>
              <w:jc w:val="center"/>
              <w:rPr>
                <w:rFonts w:ascii="Times New Roman" w:hAnsi="Times New Roman"/>
              </w:rPr>
            </w:pPr>
            <w:r>
              <w:rPr>
                <w:color w:val="000000"/>
                <w:sz w:val="18"/>
              </w:rPr>
              <w:t>100</w:t>
            </w:r>
          </w:p>
        </w:tc>
        <w:tc>
          <w:tcPr>
            <w:tcW w:type="dxa" w:w="917"/>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vAlign w:val="center"/>
          </w:tcPr>
          <w:p w14:paraId="06020000">
            <w:pPr>
              <w:pStyle w:val="Style_2"/>
              <w:spacing w:line="240" w:lineRule="auto"/>
              <w:ind/>
              <w:jc w:val="center"/>
              <w:rPr>
                <w:rFonts w:ascii="Times New Roman" w:hAnsi="Times New Roman"/>
              </w:rPr>
            </w:pPr>
            <w:r>
              <w:rPr>
                <w:color w:val="000000"/>
                <w:sz w:val="18"/>
              </w:rPr>
              <w:t>100</w:t>
            </w:r>
          </w:p>
        </w:tc>
        <w:tc>
          <w:tcPr>
            <w:tcW w:type="dxa" w:w="91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7020000">
            <w:pPr>
              <w:pStyle w:val="Style_2"/>
              <w:spacing w:line="240" w:lineRule="auto"/>
              <w:ind/>
              <w:jc w:val="center"/>
              <w:rPr>
                <w:rFonts w:ascii="Times New Roman" w:hAnsi="Times New Roman"/>
              </w:rPr>
            </w:pPr>
            <w:r>
              <w:rPr>
                <w:color w:val="000000"/>
                <w:sz w:val="18"/>
              </w:rPr>
              <w:t>130</w:t>
            </w:r>
          </w:p>
        </w:tc>
      </w:tr>
      <w:tr>
        <w:tc>
          <w:tcPr>
            <w:tcW w:type="dxa" w:w="819"/>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vAlign w:val="center"/>
          </w:tcPr>
          <w:p w14:paraId="08020000">
            <w:pPr>
              <w:pStyle w:val="Style_2"/>
              <w:spacing w:after="0" w:before="0" w:line="240" w:lineRule="auto"/>
              <w:ind/>
              <w:jc w:val="center"/>
              <w:rPr>
                <w:rFonts w:ascii="Times New Roman" w:hAnsi="Times New Roman"/>
              </w:rPr>
            </w:pPr>
            <w:r>
              <w:rPr>
                <w:sz w:val="18"/>
              </w:rPr>
              <w:t>84</w:t>
            </w:r>
          </w:p>
        </w:tc>
        <w:tc>
          <w:tcPr>
            <w:tcW w:type="dxa" w:w="3785"/>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09020000">
            <w:pPr>
              <w:pStyle w:val="Style_2"/>
              <w:spacing w:after="0" w:before="0" w:line="240" w:lineRule="auto"/>
              <w:ind/>
              <w:jc w:val="left"/>
              <w:rPr>
                <w:rFonts w:ascii="Times New Roman" w:hAnsi="Times New Roman"/>
              </w:rPr>
            </w:pPr>
            <w:r>
              <w:rPr>
                <w:color w:val="000000"/>
                <w:sz w:val="18"/>
              </w:rPr>
              <w:t>ГОСУДАРСТВЕННОЕ УПРАВЛЕНИЕ И ОБЕСПЕЧЕНИЕ ВОЕННОЙ БЕЗОПАСНОСТИ; СОЦИАЛЬНОЕ ОБЕСПЕЧЕНИЕ</w:t>
            </w:r>
          </w:p>
        </w:tc>
        <w:tc>
          <w:tcPr>
            <w:tcW w:type="dxa" w:w="916"/>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vAlign w:val="center"/>
          </w:tcPr>
          <w:p w14:paraId="0A020000">
            <w:pPr>
              <w:pStyle w:val="Style_2"/>
              <w:spacing w:line="240" w:lineRule="auto"/>
              <w:ind/>
              <w:jc w:val="center"/>
              <w:rPr>
                <w:rFonts w:ascii="Times New Roman" w:hAnsi="Times New Roman"/>
              </w:rPr>
            </w:pPr>
            <w:r>
              <w:rPr>
                <w:color w:val="000000"/>
                <w:sz w:val="18"/>
              </w:rPr>
              <w:t>2</w:t>
            </w:r>
          </w:p>
        </w:tc>
        <w:tc>
          <w:tcPr>
            <w:tcW w:type="dxa" w:w="922"/>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vAlign w:val="center"/>
          </w:tcPr>
          <w:p w14:paraId="0B020000">
            <w:pPr>
              <w:pStyle w:val="Style_2"/>
              <w:spacing w:line="240" w:lineRule="auto"/>
              <w:ind/>
              <w:jc w:val="center"/>
              <w:rPr>
                <w:rFonts w:ascii="Times New Roman" w:hAnsi="Times New Roman"/>
              </w:rPr>
            </w:pPr>
            <w:r>
              <w:rPr>
                <w:color w:val="000000"/>
                <w:sz w:val="18"/>
              </w:rPr>
              <w:t>2</w:t>
            </w:r>
          </w:p>
        </w:tc>
        <w:tc>
          <w:tcPr>
            <w:tcW w:type="dxa" w:w="916"/>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vAlign w:val="center"/>
          </w:tcPr>
          <w:p w14:paraId="0C020000">
            <w:pPr>
              <w:pStyle w:val="Style_2"/>
              <w:spacing w:line="240" w:lineRule="auto"/>
              <w:ind/>
              <w:jc w:val="center"/>
              <w:rPr>
                <w:rFonts w:ascii="Times New Roman" w:hAnsi="Times New Roman"/>
              </w:rPr>
            </w:pPr>
            <w:r>
              <w:rPr>
                <w:color w:val="000000"/>
                <w:sz w:val="18"/>
              </w:rPr>
              <w:t>2</w:t>
            </w:r>
          </w:p>
        </w:tc>
        <w:tc>
          <w:tcPr>
            <w:tcW w:type="dxa" w:w="915"/>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vAlign w:val="center"/>
          </w:tcPr>
          <w:p w14:paraId="0D020000">
            <w:pPr>
              <w:pStyle w:val="Style_2"/>
              <w:spacing w:line="240" w:lineRule="auto"/>
              <w:ind/>
              <w:jc w:val="center"/>
              <w:rPr>
                <w:rFonts w:ascii="Times New Roman" w:hAnsi="Times New Roman"/>
              </w:rPr>
            </w:pPr>
            <w:r>
              <w:rPr>
                <w:color w:val="000000"/>
                <w:sz w:val="18"/>
              </w:rPr>
              <w:t>2</w:t>
            </w:r>
          </w:p>
        </w:tc>
        <w:tc>
          <w:tcPr>
            <w:tcW w:type="dxa" w:w="917"/>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vAlign w:val="center"/>
          </w:tcPr>
          <w:p w14:paraId="0E020000">
            <w:pPr>
              <w:pStyle w:val="Style_2"/>
              <w:spacing w:line="240" w:lineRule="auto"/>
              <w:ind/>
              <w:jc w:val="center"/>
              <w:rPr>
                <w:rFonts w:ascii="Times New Roman" w:hAnsi="Times New Roman"/>
              </w:rPr>
            </w:pPr>
            <w:r>
              <w:rPr>
                <w:color w:val="000000"/>
                <w:sz w:val="18"/>
              </w:rPr>
              <w:t>2</w:t>
            </w:r>
          </w:p>
        </w:tc>
        <w:tc>
          <w:tcPr>
            <w:tcW w:type="dxa" w:w="91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F020000">
            <w:pPr>
              <w:pStyle w:val="Style_2"/>
              <w:spacing w:line="240" w:lineRule="auto"/>
              <w:ind/>
              <w:jc w:val="center"/>
              <w:rPr>
                <w:rFonts w:ascii="Times New Roman" w:hAnsi="Times New Roman"/>
              </w:rPr>
            </w:pPr>
            <w:r>
              <w:rPr>
                <w:color w:val="000000"/>
                <w:sz w:val="18"/>
              </w:rPr>
              <w:t>2</w:t>
            </w:r>
          </w:p>
        </w:tc>
      </w:tr>
      <w:tr>
        <w:tc>
          <w:tcPr>
            <w:tcW w:type="dxa" w:w="819"/>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vAlign w:val="center"/>
          </w:tcPr>
          <w:p w14:paraId="10020000">
            <w:pPr>
              <w:pStyle w:val="Style_2"/>
              <w:spacing w:after="0" w:before="0" w:line="240" w:lineRule="auto"/>
              <w:ind/>
              <w:jc w:val="center"/>
              <w:rPr>
                <w:rFonts w:ascii="Times New Roman" w:hAnsi="Times New Roman"/>
              </w:rPr>
            </w:pPr>
            <w:r>
              <w:rPr>
                <w:sz w:val="18"/>
              </w:rPr>
              <w:t>85</w:t>
            </w:r>
          </w:p>
        </w:tc>
        <w:tc>
          <w:tcPr>
            <w:tcW w:type="dxa" w:w="3785"/>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11020000">
            <w:pPr>
              <w:pStyle w:val="Style_2"/>
              <w:spacing w:after="0" w:before="0" w:line="240" w:lineRule="auto"/>
              <w:ind/>
              <w:jc w:val="left"/>
              <w:rPr>
                <w:rFonts w:ascii="Times New Roman" w:hAnsi="Times New Roman"/>
              </w:rPr>
            </w:pPr>
            <w:r>
              <w:rPr>
                <w:color w:val="000000"/>
                <w:sz w:val="18"/>
              </w:rPr>
              <w:t>РАЗДЕЛ (Р) ОБРАЗОВАНИЕ</w:t>
            </w:r>
          </w:p>
        </w:tc>
        <w:tc>
          <w:tcPr>
            <w:tcW w:type="dxa" w:w="916"/>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vAlign w:val="center"/>
          </w:tcPr>
          <w:p w14:paraId="12020000">
            <w:pPr>
              <w:pStyle w:val="Style_2"/>
              <w:spacing w:line="240" w:lineRule="auto"/>
              <w:ind/>
              <w:jc w:val="center"/>
              <w:rPr>
                <w:rFonts w:ascii="Times New Roman" w:hAnsi="Times New Roman"/>
              </w:rPr>
            </w:pPr>
            <w:r>
              <w:rPr>
                <w:color w:val="000000"/>
                <w:sz w:val="18"/>
              </w:rPr>
              <w:t>38</w:t>
            </w:r>
          </w:p>
        </w:tc>
        <w:tc>
          <w:tcPr>
            <w:tcW w:type="dxa" w:w="922"/>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vAlign w:val="center"/>
          </w:tcPr>
          <w:p w14:paraId="13020000">
            <w:pPr>
              <w:pStyle w:val="Style_2"/>
              <w:spacing w:line="240" w:lineRule="auto"/>
              <w:ind/>
              <w:jc w:val="center"/>
              <w:rPr>
                <w:rFonts w:ascii="Times New Roman" w:hAnsi="Times New Roman"/>
              </w:rPr>
            </w:pPr>
            <w:r>
              <w:rPr>
                <w:color w:val="000000"/>
                <w:sz w:val="18"/>
              </w:rPr>
              <w:t>37</w:t>
            </w:r>
          </w:p>
        </w:tc>
        <w:tc>
          <w:tcPr>
            <w:tcW w:type="dxa" w:w="916"/>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vAlign w:val="center"/>
          </w:tcPr>
          <w:p w14:paraId="14020000">
            <w:pPr>
              <w:pStyle w:val="Style_2"/>
              <w:spacing w:line="240" w:lineRule="auto"/>
              <w:ind/>
              <w:jc w:val="center"/>
              <w:rPr>
                <w:rFonts w:ascii="Times New Roman" w:hAnsi="Times New Roman"/>
              </w:rPr>
            </w:pPr>
            <w:r>
              <w:rPr>
                <w:color w:val="000000"/>
                <w:sz w:val="18"/>
              </w:rPr>
              <w:t>45</w:t>
            </w:r>
          </w:p>
        </w:tc>
        <w:tc>
          <w:tcPr>
            <w:tcW w:type="dxa" w:w="915"/>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vAlign w:val="center"/>
          </w:tcPr>
          <w:p w14:paraId="15020000">
            <w:pPr>
              <w:pStyle w:val="Style_2"/>
              <w:spacing w:line="240" w:lineRule="auto"/>
              <w:ind/>
              <w:jc w:val="center"/>
              <w:rPr>
                <w:rFonts w:ascii="Times New Roman" w:hAnsi="Times New Roman"/>
              </w:rPr>
            </w:pPr>
            <w:r>
              <w:rPr>
                <w:color w:val="000000"/>
                <w:sz w:val="18"/>
              </w:rPr>
              <w:t>45</w:t>
            </w:r>
          </w:p>
        </w:tc>
        <w:tc>
          <w:tcPr>
            <w:tcW w:type="dxa" w:w="917"/>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vAlign w:val="center"/>
          </w:tcPr>
          <w:p w14:paraId="16020000">
            <w:pPr>
              <w:pStyle w:val="Style_2"/>
              <w:spacing w:line="240" w:lineRule="auto"/>
              <w:ind/>
              <w:jc w:val="center"/>
              <w:rPr>
                <w:rFonts w:ascii="Times New Roman" w:hAnsi="Times New Roman"/>
              </w:rPr>
            </w:pPr>
            <w:r>
              <w:rPr>
                <w:color w:val="000000"/>
                <w:sz w:val="18"/>
              </w:rPr>
              <w:t>45</w:t>
            </w:r>
          </w:p>
        </w:tc>
        <w:tc>
          <w:tcPr>
            <w:tcW w:type="dxa" w:w="91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7020000">
            <w:pPr>
              <w:pStyle w:val="Style_2"/>
              <w:spacing w:line="240" w:lineRule="auto"/>
              <w:ind/>
              <w:jc w:val="center"/>
              <w:rPr>
                <w:rFonts w:ascii="Times New Roman" w:hAnsi="Times New Roman"/>
              </w:rPr>
            </w:pPr>
            <w:r>
              <w:rPr>
                <w:color w:val="000000"/>
                <w:sz w:val="18"/>
              </w:rPr>
              <w:t>45</w:t>
            </w:r>
          </w:p>
        </w:tc>
      </w:tr>
      <w:tr>
        <w:tc>
          <w:tcPr>
            <w:tcW w:type="dxa" w:w="819"/>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vAlign w:val="center"/>
          </w:tcPr>
          <w:p w14:paraId="18020000">
            <w:pPr>
              <w:pStyle w:val="Style_2"/>
              <w:spacing w:after="0" w:before="0" w:line="240" w:lineRule="auto"/>
              <w:ind/>
              <w:jc w:val="center"/>
              <w:rPr>
                <w:rFonts w:ascii="Times New Roman" w:hAnsi="Times New Roman"/>
              </w:rPr>
            </w:pPr>
            <w:r>
              <w:rPr>
                <w:sz w:val="18"/>
              </w:rPr>
              <w:t>86-88</w:t>
            </w:r>
          </w:p>
        </w:tc>
        <w:tc>
          <w:tcPr>
            <w:tcW w:type="dxa" w:w="3785"/>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19020000">
            <w:pPr>
              <w:pStyle w:val="Style_2"/>
              <w:spacing w:after="0" w:before="0" w:line="240" w:lineRule="auto"/>
              <w:ind/>
              <w:jc w:val="left"/>
              <w:rPr>
                <w:rFonts w:ascii="Times New Roman" w:hAnsi="Times New Roman"/>
              </w:rPr>
            </w:pPr>
            <w:r>
              <w:rPr>
                <w:color w:val="000000"/>
                <w:sz w:val="18"/>
              </w:rPr>
              <w:t>РАЗДЕЛ (Q) ДЕЯТЕЛЬНОСТЬ В ОБЛАСТИ ЗДРАВООХРАНЕНИЯ И СОЦИАЛЬНЫХ УСЛУГ</w:t>
            </w:r>
          </w:p>
        </w:tc>
        <w:tc>
          <w:tcPr>
            <w:tcW w:type="dxa" w:w="916"/>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vAlign w:val="center"/>
          </w:tcPr>
          <w:p w14:paraId="1A020000">
            <w:pPr>
              <w:pStyle w:val="Style_2"/>
              <w:spacing w:line="240" w:lineRule="auto"/>
              <w:ind/>
              <w:jc w:val="center"/>
              <w:rPr>
                <w:rFonts w:ascii="Times New Roman" w:hAnsi="Times New Roman"/>
              </w:rPr>
            </w:pPr>
            <w:r>
              <w:rPr>
                <w:color w:val="000000"/>
                <w:sz w:val="18"/>
              </w:rPr>
              <w:t>69</w:t>
            </w:r>
          </w:p>
        </w:tc>
        <w:tc>
          <w:tcPr>
            <w:tcW w:type="dxa" w:w="922"/>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vAlign w:val="center"/>
          </w:tcPr>
          <w:p w14:paraId="1B020000">
            <w:pPr>
              <w:pStyle w:val="Style_2"/>
              <w:spacing w:line="240" w:lineRule="auto"/>
              <w:ind/>
              <w:jc w:val="center"/>
              <w:rPr>
                <w:rFonts w:ascii="Times New Roman" w:hAnsi="Times New Roman"/>
              </w:rPr>
            </w:pPr>
            <w:r>
              <w:rPr>
                <w:color w:val="000000"/>
                <w:sz w:val="18"/>
              </w:rPr>
              <w:t>83</w:t>
            </w:r>
          </w:p>
        </w:tc>
        <w:tc>
          <w:tcPr>
            <w:tcW w:type="dxa" w:w="916"/>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vAlign w:val="center"/>
          </w:tcPr>
          <w:p w14:paraId="1C020000">
            <w:pPr>
              <w:pStyle w:val="Style_2"/>
              <w:spacing w:line="240" w:lineRule="auto"/>
              <w:ind/>
              <w:jc w:val="center"/>
              <w:rPr>
                <w:rFonts w:ascii="Times New Roman" w:hAnsi="Times New Roman"/>
              </w:rPr>
            </w:pPr>
            <w:r>
              <w:rPr>
                <w:color w:val="000000"/>
                <w:sz w:val="18"/>
              </w:rPr>
              <w:t>95</w:t>
            </w:r>
          </w:p>
        </w:tc>
        <w:tc>
          <w:tcPr>
            <w:tcW w:type="dxa" w:w="915"/>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vAlign w:val="center"/>
          </w:tcPr>
          <w:p w14:paraId="1D020000">
            <w:pPr>
              <w:pStyle w:val="Style_2"/>
              <w:spacing w:line="240" w:lineRule="auto"/>
              <w:ind/>
              <w:jc w:val="center"/>
              <w:rPr>
                <w:rFonts w:ascii="Times New Roman" w:hAnsi="Times New Roman"/>
              </w:rPr>
            </w:pPr>
            <w:r>
              <w:rPr>
                <w:color w:val="000000"/>
                <w:sz w:val="18"/>
              </w:rPr>
              <w:t>100</w:t>
            </w:r>
          </w:p>
        </w:tc>
        <w:tc>
          <w:tcPr>
            <w:tcW w:type="dxa" w:w="917"/>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vAlign w:val="center"/>
          </w:tcPr>
          <w:p w14:paraId="1E020000">
            <w:pPr>
              <w:pStyle w:val="Style_2"/>
              <w:spacing w:line="240" w:lineRule="auto"/>
              <w:ind/>
              <w:jc w:val="center"/>
              <w:rPr>
                <w:rFonts w:ascii="Times New Roman" w:hAnsi="Times New Roman"/>
              </w:rPr>
            </w:pPr>
            <w:r>
              <w:rPr>
                <w:color w:val="000000"/>
                <w:sz w:val="18"/>
              </w:rPr>
              <w:t>100</w:t>
            </w:r>
          </w:p>
        </w:tc>
        <w:tc>
          <w:tcPr>
            <w:tcW w:type="dxa" w:w="91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1F020000">
            <w:pPr>
              <w:pStyle w:val="Style_2"/>
              <w:spacing w:line="240" w:lineRule="auto"/>
              <w:ind/>
              <w:jc w:val="center"/>
              <w:rPr>
                <w:rFonts w:ascii="Times New Roman" w:hAnsi="Times New Roman"/>
              </w:rPr>
            </w:pPr>
            <w:r>
              <w:rPr>
                <w:color w:val="000000"/>
                <w:sz w:val="18"/>
              </w:rPr>
              <w:t>100</w:t>
            </w:r>
          </w:p>
        </w:tc>
      </w:tr>
      <w:tr>
        <w:tc>
          <w:tcPr>
            <w:tcW w:type="dxa" w:w="819"/>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vAlign w:val="center"/>
          </w:tcPr>
          <w:p w14:paraId="20020000">
            <w:pPr>
              <w:pStyle w:val="Style_2"/>
              <w:spacing w:after="0" w:before="0" w:line="240" w:lineRule="auto"/>
              <w:ind/>
              <w:jc w:val="center"/>
              <w:rPr>
                <w:rFonts w:ascii="Times New Roman" w:hAnsi="Times New Roman"/>
              </w:rPr>
            </w:pPr>
            <w:r>
              <w:rPr>
                <w:sz w:val="18"/>
              </w:rPr>
              <w:t>90-93</w:t>
            </w:r>
          </w:p>
        </w:tc>
        <w:tc>
          <w:tcPr>
            <w:tcW w:type="dxa" w:w="3785"/>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21020000">
            <w:pPr>
              <w:pStyle w:val="Style_2"/>
              <w:spacing w:after="0" w:before="0" w:line="240" w:lineRule="auto"/>
              <w:ind/>
              <w:jc w:val="left"/>
              <w:rPr>
                <w:rFonts w:ascii="Times New Roman" w:hAnsi="Times New Roman"/>
              </w:rPr>
            </w:pPr>
            <w:r>
              <w:rPr>
                <w:color w:val="000000"/>
                <w:sz w:val="18"/>
              </w:rPr>
              <w:t>РАЗДЕЛ (R) ДЕЯТЕЛЬНОСТЬ В ОБЛАСТИ КУЛЬТУРЫ, СПОРТА, ОРГАНИЗАЦИИ ДОСУГА И РАЗВЛЕЧЕНИЙ</w:t>
            </w:r>
          </w:p>
        </w:tc>
        <w:tc>
          <w:tcPr>
            <w:tcW w:type="dxa" w:w="916"/>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vAlign w:val="center"/>
          </w:tcPr>
          <w:p w14:paraId="22020000">
            <w:pPr>
              <w:pStyle w:val="Style_2"/>
              <w:spacing w:line="240" w:lineRule="auto"/>
              <w:ind/>
              <w:jc w:val="center"/>
              <w:rPr>
                <w:rFonts w:ascii="Times New Roman" w:hAnsi="Times New Roman"/>
              </w:rPr>
            </w:pPr>
            <w:r>
              <w:rPr>
                <w:color w:val="000000"/>
                <w:sz w:val="18"/>
              </w:rPr>
              <w:t>19</w:t>
            </w:r>
          </w:p>
        </w:tc>
        <w:tc>
          <w:tcPr>
            <w:tcW w:type="dxa" w:w="922"/>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vAlign w:val="center"/>
          </w:tcPr>
          <w:p w14:paraId="23020000">
            <w:pPr>
              <w:pStyle w:val="Style_2"/>
              <w:spacing w:line="240" w:lineRule="auto"/>
              <w:ind/>
              <w:jc w:val="center"/>
              <w:rPr>
                <w:rFonts w:ascii="Times New Roman" w:hAnsi="Times New Roman"/>
              </w:rPr>
            </w:pPr>
            <w:r>
              <w:rPr>
                <w:color w:val="000000"/>
                <w:sz w:val="18"/>
              </w:rPr>
              <w:t>19</w:t>
            </w:r>
          </w:p>
        </w:tc>
        <w:tc>
          <w:tcPr>
            <w:tcW w:type="dxa" w:w="916"/>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vAlign w:val="center"/>
          </w:tcPr>
          <w:p w14:paraId="24020000">
            <w:pPr>
              <w:pStyle w:val="Style_2"/>
              <w:spacing w:line="240" w:lineRule="auto"/>
              <w:ind/>
              <w:jc w:val="center"/>
              <w:rPr>
                <w:rFonts w:ascii="Times New Roman" w:hAnsi="Times New Roman"/>
              </w:rPr>
            </w:pPr>
            <w:r>
              <w:rPr>
                <w:color w:val="000000"/>
                <w:sz w:val="18"/>
              </w:rPr>
              <w:t>40</w:t>
            </w:r>
          </w:p>
        </w:tc>
        <w:tc>
          <w:tcPr>
            <w:tcW w:type="dxa" w:w="915"/>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vAlign w:val="center"/>
          </w:tcPr>
          <w:p w14:paraId="25020000">
            <w:pPr>
              <w:pStyle w:val="Style_2"/>
              <w:spacing w:line="240" w:lineRule="auto"/>
              <w:ind/>
              <w:jc w:val="center"/>
              <w:rPr>
                <w:rFonts w:ascii="Times New Roman" w:hAnsi="Times New Roman"/>
              </w:rPr>
            </w:pPr>
            <w:r>
              <w:rPr>
                <w:color w:val="000000"/>
                <w:sz w:val="18"/>
              </w:rPr>
              <w:t>45</w:t>
            </w:r>
          </w:p>
        </w:tc>
        <w:tc>
          <w:tcPr>
            <w:tcW w:type="dxa" w:w="917"/>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vAlign w:val="center"/>
          </w:tcPr>
          <w:p w14:paraId="26020000">
            <w:pPr>
              <w:pStyle w:val="Style_2"/>
              <w:spacing w:line="240" w:lineRule="auto"/>
              <w:ind/>
              <w:jc w:val="center"/>
              <w:rPr>
                <w:rFonts w:ascii="Times New Roman" w:hAnsi="Times New Roman"/>
              </w:rPr>
            </w:pPr>
            <w:r>
              <w:rPr>
                <w:color w:val="000000"/>
                <w:sz w:val="18"/>
              </w:rPr>
              <w:t>45</w:t>
            </w:r>
          </w:p>
        </w:tc>
        <w:tc>
          <w:tcPr>
            <w:tcW w:type="dxa" w:w="91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7020000">
            <w:pPr>
              <w:pStyle w:val="Style_2"/>
              <w:spacing w:line="240" w:lineRule="auto"/>
              <w:ind/>
              <w:jc w:val="center"/>
              <w:rPr>
                <w:rFonts w:ascii="Times New Roman" w:hAnsi="Times New Roman"/>
              </w:rPr>
            </w:pPr>
            <w:r>
              <w:rPr>
                <w:color w:val="000000"/>
                <w:sz w:val="18"/>
              </w:rPr>
              <w:t>45</w:t>
            </w:r>
          </w:p>
        </w:tc>
      </w:tr>
      <w:tr>
        <w:tc>
          <w:tcPr>
            <w:tcW w:type="dxa" w:w="819"/>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vAlign w:val="center"/>
          </w:tcPr>
          <w:p w14:paraId="28020000">
            <w:pPr>
              <w:pStyle w:val="Style_2"/>
              <w:spacing w:after="0" w:before="0" w:line="240" w:lineRule="auto"/>
              <w:ind/>
              <w:jc w:val="center"/>
              <w:rPr>
                <w:rFonts w:ascii="Times New Roman" w:hAnsi="Times New Roman"/>
              </w:rPr>
            </w:pPr>
            <w:r>
              <w:rPr>
                <w:sz w:val="18"/>
              </w:rPr>
              <w:t>94-96</w:t>
            </w:r>
          </w:p>
        </w:tc>
        <w:tc>
          <w:tcPr>
            <w:tcW w:type="dxa" w:w="3785"/>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29020000">
            <w:pPr>
              <w:pStyle w:val="Style_2"/>
              <w:spacing w:after="0" w:before="0" w:line="240" w:lineRule="auto"/>
              <w:ind/>
              <w:jc w:val="left"/>
              <w:rPr>
                <w:rFonts w:ascii="Times New Roman" w:hAnsi="Times New Roman"/>
              </w:rPr>
            </w:pPr>
            <w:r>
              <w:rPr>
                <w:color w:val="000000"/>
                <w:sz w:val="18"/>
              </w:rPr>
              <w:t>РАЗДЕЛ (S) ПРЕДОСТАВЛЕНИЕ ПРОЧИХ ВИДОВ УСЛУГ</w:t>
            </w:r>
          </w:p>
        </w:tc>
        <w:tc>
          <w:tcPr>
            <w:tcW w:type="dxa" w:w="916"/>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vAlign w:val="center"/>
          </w:tcPr>
          <w:p w14:paraId="2A020000">
            <w:pPr>
              <w:pStyle w:val="Style_2"/>
              <w:spacing w:line="240" w:lineRule="auto"/>
              <w:ind/>
              <w:jc w:val="center"/>
              <w:rPr>
                <w:rFonts w:ascii="Times New Roman" w:hAnsi="Times New Roman"/>
              </w:rPr>
            </w:pPr>
            <w:r>
              <w:rPr>
                <w:color w:val="000000"/>
                <w:sz w:val="18"/>
              </w:rPr>
              <w:t>118</w:t>
            </w:r>
          </w:p>
        </w:tc>
        <w:tc>
          <w:tcPr>
            <w:tcW w:type="dxa" w:w="922"/>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vAlign w:val="center"/>
          </w:tcPr>
          <w:p w14:paraId="2B020000">
            <w:pPr>
              <w:pStyle w:val="Style_2"/>
              <w:spacing w:line="240" w:lineRule="auto"/>
              <w:ind/>
              <w:jc w:val="center"/>
              <w:rPr>
                <w:rFonts w:ascii="Times New Roman" w:hAnsi="Times New Roman"/>
              </w:rPr>
            </w:pPr>
            <w:r>
              <w:rPr>
                <w:color w:val="000000"/>
                <w:sz w:val="18"/>
              </w:rPr>
              <w:t>94</w:t>
            </w:r>
          </w:p>
        </w:tc>
        <w:tc>
          <w:tcPr>
            <w:tcW w:type="dxa" w:w="916"/>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vAlign w:val="center"/>
          </w:tcPr>
          <w:p w14:paraId="2C020000">
            <w:pPr>
              <w:pStyle w:val="Style_2"/>
              <w:spacing w:line="240" w:lineRule="auto"/>
              <w:ind/>
              <w:jc w:val="center"/>
              <w:rPr>
                <w:rFonts w:ascii="Times New Roman" w:hAnsi="Times New Roman"/>
              </w:rPr>
            </w:pPr>
            <w:r>
              <w:rPr>
                <w:color w:val="000000"/>
                <w:sz w:val="18"/>
              </w:rPr>
              <w:t>120</w:t>
            </w:r>
          </w:p>
        </w:tc>
        <w:tc>
          <w:tcPr>
            <w:tcW w:type="dxa" w:w="915"/>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vAlign w:val="center"/>
          </w:tcPr>
          <w:p w14:paraId="2D020000">
            <w:pPr>
              <w:pStyle w:val="Style_2"/>
              <w:spacing w:line="240" w:lineRule="auto"/>
              <w:ind/>
              <w:jc w:val="center"/>
              <w:rPr>
                <w:rFonts w:ascii="Times New Roman" w:hAnsi="Times New Roman"/>
              </w:rPr>
            </w:pPr>
            <w:r>
              <w:rPr>
                <w:color w:val="000000"/>
                <w:sz w:val="18"/>
              </w:rPr>
              <w:t>125</w:t>
            </w:r>
          </w:p>
        </w:tc>
        <w:tc>
          <w:tcPr>
            <w:tcW w:type="dxa" w:w="917"/>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vAlign w:val="center"/>
          </w:tcPr>
          <w:p w14:paraId="2E020000">
            <w:pPr>
              <w:pStyle w:val="Style_2"/>
              <w:spacing w:line="240" w:lineRule="auto"/>
              <w:ind/>
              <w:jc w:val="center"/>
              <w:rPr>
                <w:rFonts w:ascii="Times New Roman" w:hAnsi="Times New Roman"/>
              </w:rPr>
            </w:pPr>
            <w:r>
              <w:rPr>
                <w:color w:val="000000"/>
                <w:sz w:val="18"/>
              </w:rPr>
              <w:t>140</w:t>
            </w:r>
          </w:p>
        </w:tc>
        <w:tc>
          <w:tcPr>
            <w:tcW w:type="dxa" w:w="91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2F020000">
            <w:pPr>
              <w:pStyle w:val="Style_2"/>
              <w:spacing w:line="240" w:lineRule="auto"/>
              <w:ind/>
              <w:jc w:val="center"/>
              <w:rPr>
                <w:rFonts w:ascii="Times New Roman" w:hAnsi="Times New Roman"/>
              </w:rPr>
            </w:pPr>
            <w:r>
              <w:rPr>
                <w:color w:val="000000"/>
                <w:sz w:val="18"/>
              </w:rPr>
              <w:t>140</w:t>
            </w:r>
          </w:p>
        </w:tc>
      </w:tr>
      <w:tr>
        <w:tc>
          <w:tcPr>
            <w:tcW w:type="dxa" w:w="819"/>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vAlign w:val="center"/>
          </w:tcPr>
          <w:p w14:paraId="30020000">
            <w:pPr>
              <w:pStyle w:val="Style_2"/>
              <w:spacing w:after="0" w:before="0" w:line="240" w:lineRule="auto"/>
              <w:ind/>
              <w:jc w:val="center"/>
              <w:rPr>
                <w:rFonts w:ascii="Times New Roman" w:hAnsi="Times New Roman"/>
              </w:rPr>
            </w:pPr>
            <w:r>
              <w:rPr>
                <w:sz w:val="18"/>
              </w:rPr>
              <w:t>97-98</w:t>
            </w:r>
          </w:p>
        </w:tc>
        <w:tc>
          <w:tcPr>
            <w:tcW w:type="dxa" w:w="3785"/>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31020000">
            <w:pPr>
              <w:pStyle w:val="Style_2"/>
              <w:spacing w:after="0" w:before="0" w:line="240" w:lineRule="auto"/>
              <w:ind/>
              <w:jc w:val="left"/>
              <w:rPr>
                <w:rFonts w:ascii="Times New Roman" w:hAnsi="Times New Roman"/>
              </w:rPr>
            </w:pPr>
            <w:r>
              <w:rPr>
                <w:color w:val="000000"/>
                <w:sz w:val="18"/>
              </w:rPr>
              <w:t>РАЗДЕЛ (T) ДЕЯТЕЛЬНОСТЬ ДОМАШНИХ ХОЗЯЙСТВ КАК РАБОТОДАТЕЛЕЙ; НЕДИФФЕРЕНЦИРОВАННАЯ ДЕЯТЕЛЬНОСТЬ ЧАСТНЫХ ДОМАШНИХ ХОЗЯЙСТВ ПО ПРОИЗВОДСТВУ ТОВАРОВ И ОКАЗАНИЮ УСЛУГ ДЛЯ СОБСТВЕННОГО ПОТРЕБЛЕНИЯ</w:t>
            </w:r>
          </w:p>
        </w:tc>
        <w:tc>
          <w:tcPr>
            <w:tcW w:type="dxa" w:w="916"/>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vAlign w:val="center"/>
          </w:tcPr>
          <w:p w14:paraId="32020000">
            <w:pPr>
              <w:pStyle w:val="Style_2"/>
              <w:spacing w:line="240" w:lineRule="auto"/>
              <w:ind/>
              <w:jc w:val="center"/>
              <w:rPr>
                <w:rFonts w:ascii="Times New Roman" w:hAnsi="Times New Roman"/>
              </w:rPr>
            </w:pPr>
            <w:r>
              <w:rPr>
                <w:color w:val="000000"/>
                <w:sz w:val="18"/>
              </w:rPr>
              <w:t>2204</w:t>
            </w:r>
          </w:p>
        </w:tc>
        <w:tc>
          <w:tcPr>
            <w:tcW w:type="dxa" w:w="922"/>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vAlign w:val="center"/>
          </w:tcPr>
          <w:p w14:paraId="33020000">
            <w:pPr>
              <w:pStyle w:val="Style_2"/>
              <w:spacing w:line="240" w:lineRule="auto"/>
              <w:ind/>
              <w:jc w:val="center"/>
              <w:rPr>
                <w:rFonts w:ascii="Times New Roman" w:hAnsi="Times New Roman"/>
              </w:rPr>
            </w:pPr>
            <w:r>
              <w:rPr>
                <w:color w:val="000000"/>
                <w:sz w:val="18"/>
              </w:rPr>
              <w:t>2529</w:t>
            </w:r>
          </w:p>
        </w:tc>
        <w:tc>
          <w:tcPr>
            <w:tcW w:type="dxa" w:w="916"/>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vAlign w:val="center"/>
          </w:tcPr>
          <w:p w14:paraId="34020000">
            <w:pPr>
              <w:pStyle w:val="Style_2"/>
              <w:spacing w:line="240" w:lineRule="auto"/>
              <w:ind/>
              <w:jc w:val="center"/>
              <w:rPr>
                <w:rFonts w:ascii="Times New Roman" w:hAnsi="Times New Roman"/>
              </w:rPr>
            </w:pPr>
            <w:r>
              <w:rPr>
                <w:color w:val="000000"/>
                <w:sz w:val="18"/>
              </w:rPr>
              <w:t>2400</w:t>
            </w:r>
          </w:p>
        </w:tc>
        <w:tc>
          <w:tcPr>
            <w:tcW w:type="dxa" w:w="915"/>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vAlign w:val="center"/>
          </w:tcPr>
          <w:p w14:paraId="35020000">
            <w:pPr>
              <w:pStyle w:val="Style_2"/>
              <w:spacing w:line="240" w:lineRule="auto"/>
              <w:ind/>
              <w:jc w:val="center"/>
              <w:rPr>
                <w:rFonts w:ascii="Times New Roman" w:hAnsi="Times New Roman"/>
              </w:rPr>
            </w:pPr>
            <w:r>
              <w:rPr>
                <w:color w:val="000000"/>
                <w:sz w:val="18"/>
              </w:rPr>
              <w:t>2600</w:t>
            </w:r>
          </w:p>
        </w:tc>
        <w:tc>
          <w:tcPr>
            <w:tcW w:type="dxa" w:w="917"/>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vAlign w:val="center"/>
          </w:tcPr>
          <w:p w14:paraId="36020000">
            <w:pPr>
              <w:pStyle w:val="Style_2"/>
              <w:spacing w:line="240" w:lineRule="auto"/>
              <w:ind/>
              <w:jc w:val="center"/>
              <w:rPr>
                <w:rFonts w:ascii="Times New Roman" w:hAnsi="Times New Roman"/>
              </w:rPr>
            </w:pPr>
            <w:r>
              <w:rPr>
                <w:color w:val="000000"/>
                <w:sz w:val="18"/>
              </w:rPr>
              <w:t>2800</w:t>
            </w:r>
          </w:p>
        </w:tc>
        <w:tc>
          <w:tcPr>
            <w:tcW w:type="dxa" w:w="91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7020000">
            <w:pPr>
              <w:pStyle w:val="Style_2"/>
              <w:spacing w:line="240" w:lineRule="auto"/>
              <w:ind/>
              <w:jc w:val="center"/>
              <w:rPr>
                <w:rFonts w:ascii="Times New Roman" w:hAnsi="Times New Roman"/>
              </w:rPr>
            </w:pPr>
            <w:r>
              <w:rPr>
                <w:color w:val="000000"/>
                <w:sz w:val="18"/>
              </w:rPr>
              <w:t>2800</w:t>
            </w:r>
          </w:p>
        </w:tc>
      </w:tr>
      <w:tr>
        <w:tc>
          <w:tcPr>
            <w:tcW w:type="dxa" w:w="4604"/>
            <w:gridSpan w:val="2"/>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vAlign w:val="center"/>
          </w:tcPr>
          <w:p w14:paraId="38020000">
            <w:pPr>
              <w:pStyle w:val="Style_2"/>
              <w:spacing w:after="0" w:before="0" w:line="240" w:lineRule="auto"/>
              <w:ind/>
              <w:jc w:val="center"/>
              <w:rPr>
                <w:rFonts w:ascii="Times New Roman" w:hAnsi="Times New Roman"/>
              </w:rPr>
            </w:pPr>
            <w:r>
              <w:rPr>
                <w:b w:val="1"/>
                <w:sz w:val="18"/>
              </w:rPr>
              <w:t>ВСЕГО</w:t>
            </w:r>
          </w:p>
        </w:tc>
        <w:tc>
          <w:tcPr>
            <w:tcW w:type="dxa" w:w="916"/>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vAlign w:val="center"/>
          </w:tcPr>
          <w:p w14:paraId="39020000">
            <w:pPr>
              <w:pStyle w:val="Style_2"/>
              <w:spacing w:line="240" w:lineRule="auto"/>
              <w:ind/>
              <w:jc w:val="center"/>
              <w:rPr>
                <w:rFonts w:ascii="Times New Roman" w:hAnsi="Times New Roman"/>
              </w:rPr>
            </w:pPr>
            <w:r>
              <w:rPr>
                <w:b w:val="1"/>
                <w:color w:val="000000"/>
                <w:sz w:val="18"/>
              </w:rPr>
              <w:t>7110</w:t>
            </w:r>
          </w:p>
        </w:tc>
        <w:tc>
          <w:tcPr>
            <w:tcW w:type="dxa" w:w="922"/>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vAlign w:val="center"/>
          </w:tcPr>
          <w:p w14:paraId="3A020000">
            <w:pPr>
              <w:pStyle w:val="Style_2"/>
              <w:spacing w:line="240" w:lineRule="auto"/>
              <w:ind/>
              <w:jc w:val="center"/>
              <w:rPr>
                <w:rFonts w:ascii="Times New Roman" w:hAnsi="Times New Roman"/>
              </w:rPr>
            </w:pPr>
            <w:r>
              <w:rPr>
                <w:b w:val="1"/>
                <w:color w:val="000000"/>
                <w:sz w:val="18"/>
              </w:rPr>
              <w:t>9 528</w:t>
            </w:r>
          </w:p>
        </w:tc>
        <w:tc>
          <w:tcPr>
            <w:tcW w:type="dxa" w:w="916"/>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vAlign w:val="center"/>
          </w:tcPr>
          <w:p w14:paraId="3B020000">
            <w:pPr>
              <w:pStyle w:val="Style_2"/>
              <w:spacing w:line="240" w:lineRule="auto"/>
              <w:ind/>
              <w:jc w:val="center"/>
              <w:rPr>
                <w:rFonts w:ascii="Times New Roman" w:hAnsi="Times New Roman"/>
              </w:rPr>
            </w:pPr>
            <w:r>
              <w:rPr>
                <w:b w:val="1"/>
                <w:color w:val="000000"/>
                <w:sz w:val="18"/>
              </w:rPr>
              <w:t>8 436</w:t>
            </w:r>
          </w:p>
        </w:tc>
        <w:tc>
          <w:tcPr>
            <w:tcW w:type="dxa" w:w="915"/>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vAlign w:val="center"/>
          </w:tcPr>
          <w:p w14:paraId="3C020000">
            <w:pPr>
              <w:pStyle w:val="Style_2"/>
              <w:spacing w:line="240" w:lineRule="auto"/>
              <w:ind/>
              <w:jc w:val="center"/>
              <w:rPr>
                <w:rFonts w:ascii="Times New Roman" w:hAnsi="Times New Roman"/>
              </w:rPr>
            </w:pPr>
            <w:r>
              <w:rPr>
                <w:b w:val="1"/>
                <w:color w:val="000000"/>
                <w:sz w:val="18"/>
              </w:rPr>
              <w:t>9 758</w:t>
            </w:r>
          </w:p>
        </w:tc>
        <w:tc>
          <w:tcPr>
            <w:tcW w:type="dxa" w:w="917"/>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vAlign w:val="center"/>
          </w:tcPr>
          <w:p w14:paraId="3D020000">
            <w:pPr>
              <w:pStyle w:val="Style_2"/>
              <w:spacing w:line="240" w:lineRule="auto"/>
              <w:ind/>
              <w:jc w:val="center"/>
              <w:rPr>
                <w:rFonts w:ascii="Times New Roman" w:hAnsi="Times New Roman"/>
              </w:rPr>
            </w:pPr>
            <w:r>
              <w:rPr>
                <w:b w:val="1"/>
                <w:color w:val="000000"/>
                <w:sz w:val="18"/>
              </w:rPr>
              <w:t>10 548</w:t>
            </w:r>
          </w:p>
        </w:tc>
        <w:tc>
          <w:tcPr>
            <w:tcW w:type="dxa" w:w="91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3E020000">
            <w:pPr>
              <w:pStyle w:val="Style_2"/>
              <w:spacing w:line="240" w:lineRule="auto"/>
              <w:ind/>
              <w:jc w:val="center"/>
              <w:rPr>
                <w:rFonts w:ascii="Times New Roman" w:hAnsi="Times New Roman"/>
              </w:rPr>
            </w:pPr>
            <w:r>
              <w:rPr>
                <w:b w:val="1"/>
                <w:color w:val="000000"/>
                <w:sz w:val="18"/>
              </w:rPr>
              <w:t>10 808</w:t>
            </w:r>
          </w:p>
        </w:tc>
      </w:tr>
    </w:tbl>
    <w:p w14:paraId="3F020000">
      <w:pPr>
        <w:pStyle w:val="Style_2"/>
        <w:spacing w:line="240" w:lineRule="auto"/>
        <w:ind w:firstLine="851" w:left="0" w:right="0"/>
        <w:jc w:val="both"/>
        <w:rPr>
          <w:rFonts w:ascii="Times New Roman" w:hAnsi="Times New Roman"/>
          <w:sz w:val="22"/>
        </w:rPr>
      </w:pPr>
    </w:p>
    <w:p w14:paraId="40020000">
      <w:pPr>
        <w:pStyle w:val="Style_2"/>
        <w:spacing w:line="240" w:lineRule="auto"/>
        <w:ind w:firstLine="709" w:left="0" w:right="0"/>
        <w:jc w:val="both"/>
        <w:rPr>
          <w:rFonts w:ascii="Times New Roman" w:hAnsi="Times New Roman"/>
        </w:rPr>
      </w:pPr>
      <w:r>
        <w:t>Прогноз потребности в привлечении иностранных работников в Камчатский край по отдельным видам экономической деятельности (далее – прогноз потребности в привлечении иностранных работников) на среднесрочный период рассчитан не только с учетом привлечения иностранных граждан, осуществляющих трудовую деятельность на основании патентов, разрешений на работу, видов на жительство, но и с учетом граждан государств, входящих в Евразийский экономический союз. Основная часть иностранных граждан, прибывающих в регион для осуществления трудовой деятельности, это граждане стран ближнего зарубежья с безвизовым режимом въезда: из Республики Узбекистан, Киргизской Республики, Республики Таджикистан, Азербайджанской Республики.</w:t>
      </w:r>
    </w:p>
    <w:p w14:paraId="41020000">
      <w:pPr>
        <w:pStyle w:val="Style_2"/>
        <w:spacing w:line="240" w:lineRule="auto"/>
        <w:ind w:firstLine="709" w:left="0" w:right="0"/>
        <w:jc w:val="both"/>
        <w:rPr>
          <w:rFonts w:ascii="Times New Roman" w:hAnsi="Times New Roman"/>
        </w:rPr>
      </w:pPr>
      <w:r>
        <w:t>В связи с дефицитом местных рабочих кадров работодатели Камчатского края вынуждены привлекать (трудоустраивать) на вакантные рабочие места граждан из других субъектов Российской Федерации, в том числе и иностранных граждан.</w:t>
      </w:r>
    </w:p>
    <w:p w14:paraId="42020000">
      <w:pPr>
        <w:pStyle w:val="Style_2"/>
        <w:spacing w:line="240" w:lineRule="auto"/>
        <w:ind w:firstLine="709" w:left="0" w:right="0"/>
        <w:jc w:val="both"/>
        <w:rPr>
          <w:rFonts w:ascii="Times New Roman" w:hAnsi="Times New Roman"/>
        </w:rPr>
      </w:pPr>
      <w:r>
        <w:t>Прогноз потребности в привлечении иностранных работников сформирован в соответствии с потребностью рынка труда Камчатского края в специалистах различных направлений для отраслей экономики и социальной сферы, в том числе для планируемых и реализуемых инвестиционных проектов в регионе. Уменьшение количества иностранных работников в 2022 г. связано с действием ограничительных мер по недопущению распространения коронавирусной инфекции, а также с планомерным замещением иностранной рабочей силы региональными трудовыми ресурсами. В связи с отменой ограничительных мер (внесение изменений в распоряжение Правительства Российской Федерации от 16.03.2020 № 635-Р «О временном ограничении въезда в Российскую Федерацию иностранных граждан и лиц без гражданства») был расширен перечень государств, граждане которых могут въезжать из этих государств через воздушные пункты пропуска в Российской Федерации. В данный перечень вошли государства, которые являются основными источниками трудовых мигрантов на территорию Камчатского края. Это способствовало стабилизации рынка труда иностранных граждан в Камчатском крае и его возвращение к допандемийным показателям. Потребность иностранных работников в сфере строительства связана с реализацией инвестиционных проектов (строительство «Камчатской краевой больницы», нового аэровокзального комплекса «Международный аэропорт Петропавловский-Камчатский (Елизово)», парка «Три Вулкана» и др.).</w:t>
      </w:r>
    </w:p>
    <w:p w14:paraId="43020000">
      <w:pPr>
        <w:pStyle w:val="Style_2"/>
        <w:spacing w:line="240" w:lineRule="auto"/>
        <w:ind w:firstLine="709" w:left="0" w:right="0"/>
        <w:jc w:val="both"/>
        <w:rPr>
          <w:rFonts w:ascii="Times New Roman" w:hAnsi="Times New Roman"/>
          <w:color w:val="FF0000"/>
        </w:rPr>
      </w:pPr>
    </w:p>
    <w:p w14:paraId="44020000">
      <w:pPr>
        <w:pStyle w:val="Style_2"/>
        <w:widowControl w:val="0"/>
        <w:spacing w:line="240" w:lineRule="auto"/>
        <w:ind/>
        <w:rPr>
          <w:rFonts w:ascii="Times New Roman" w:hAnsi="Times New Roman"/>
        </w:rPr>
      </w:pPr>
      <w:r>
        <w:rPr>
          <w:b w:val="1"/>
        </w:rPr>
        <w:t>9. Демография</w:t>
      </w:r>
    </w:p>
    <w:p w14:paraId="45020000">
      <w:pPr>
        <w:pStyle w:val="Style_2"/>
        <w:widowControl w:val="0"/>
        <w:spacing w:line="240" w:lineRule="auto"/>
        <w:ind w:firstLine="709" w:left="0" w:right="0"/>
        <w:jc w:val="both"/>
        <w:rPr>
          <w:rFonts w:ascii="Times New Roman" w:hAnsi="Times New Roman"/>
        </w:rPr>
      </w:pPr>
      <w:r>
        <w:t>По состоянию на 01.01.2024 численность населения составила 288,9 тыс. человек. За год численность населения увеличилась на 217 человек за счет миграционного прироста (687 человек). Естественная убыль составила 470 человек.</w:t>
      </w:r>
    </w:p>
    <w:p w14:paraId="46020000">
      <w:pPr>
        <w:pStyle w:val="Style_2"/>
        <w:widowControl w:val="0"/>
        <w:spacing w:line="240" w:lineRule="auto"/>
        <w:ind w:firstLine="709" w:left="0" w:right="0"/>
        <w:jc w:val="both"/>
        <w:rPr>
          <w:rFonts w:ascii="Times New Roman" w:hAnsi="Times New Roman"/>
        </w:rPr>
      </w:pPr>
      <w:r>
        <w:t xml:space="preserve">В 2023 году родилось 2 945 малышей, это на 21 ребенка меньше, чем в 2022 году. Снижение рождаемости в Камчатском крае наблюдается шестой год подряд. На каждую 1000 населения приходилось 10,2 рождений (2022 год –10,2). </w:t>
      </w:r>
    </w:p>
    <w:p w14:paraId="47020000">
      <w:pPr>
        <w:pStyle w:val="Style_2"/>
        <w:widowControl w:val="0"/>
        <w:spacing w:line="240" w:lineRule="auto"/>
        <w:ind w:firstLine="709" w:left="0" w:right="0"/>
        <w:jc w:val="both"/>
        <w:rPr>
          <w:rFonts w:ascii="Times New Roman" w:hAnsi="Times New Roman"/>
        </w:rPr>
      </w:pPr>
      <w:r>
        <w:t xml:space="preserve">В 2023 году в регионе умерло 3 415 человек, что на 396 человек ниже показателя 2022 года. Общий коэффициент смертности составил 11,8 промилле на 1000 человек населения (2022 год – 13,2). </w:t>
      </w:r>
    </w:p>
    <w:p w14:paraId="48020000">
      <w:pPr>
        <w:pStyle w:val="Style_2"/>
        <w:widowControl w:val="0"/>
        <w:spacing w:line="240" w:lineRule="auto"/>
        <w:ind w:firstLine="709" w:left="0" w:right="0"/>
        <w:jc w:val="both"/>
        <w:rPr>
          <w:rFonts w:ascii="Times New Roman" w:hAnsi="Times New Roman"/>
        </w:rPr>
      </w:pPr>
      <w:r>
        <w:t>Среди основных причин смерти лидером традиционно является смерть от болезней системы кровообращения (1847 случаев), на втором месте – смертность от новообразований (481 случай), на третьем месте – смертность от внешних причин (397 человек), на четвертом месте – смертность от болезней органов дыхания (84 человека). В целом эти четыре основных класса причин смерти обуславливают 86,4% смертей в крае. Снижение показателя отмечается от короновирусной инфекции, вызванной COVID-19 (29,1 случаев на 100 тыс. населения).</w:t>
      </w:r>
    </w:p>
    <w:p w14:paraId="49020000">
      <w:pPr>
        <w:pStyle w:val="Style_2"/>
        <w:widowControl w:val="0"/>
        <w:spacing w:line="240" w:lineRule="auto"/>
        <w:ind w:firstLine="709" w:left="0" w:right="0"/>
        <w:jc w:val="both"/>
        <w:rPr>
          <w:rFonts w:ascii="Times New Roman" w:hAnsi="Times New Roman"/>
        </w:rPr>
      </w:pPr>
      <w:r>
        <w:t xml:space="preserve">В 2023 году умерло 15 малышей первого года жизни, что на 4 младенца меньше, чем в 2022 году. Коэффициент младенческой смертности составил 5,1 промилле на 1000 родившихся (в 2022 году – 6,4 промилле). При анализе причин младенческой смертности ведущее место занимают отдельные состояния, возникающие в перинатальном периоде, внешние причины смертности, врожденные аномалии развития. </w:t>
      </w:r>
    </w:p>
    <w:p w14:paraId="4A020000">
      <w:pPr>
        <w:pStyle w:val="Style_2"/>
        <w:widowControl w:val="0"/>
        <w:spacing w:line="240" w:lineRule="auto"/>
        <w:ind w:firstLine="709" w:left="0" w:right="0"/>
        <w:jc w:val="both"/>
        <w:rPr>
          <w:rFonts w:ascii="Times New Roman" w:hAnsi="Times New Roman"/>
        </w:rPr>
      </w:pPr>
      <w:r>
        <w:t>Общий миграционный оборот в 2023 году составил 25 803 человека, что на 10,6% ниже показателя 2022 года. Число прибывших составило 13 245 человек, выбывших – 12 558 человек. Миграционный прирост составил 687 человек (в 2022 году миграционная убыль составила 2 963 человека).</w:t>
      </w:r>
    </w:p>
    <w:p w14:paraId="4B020000">
      <w:pPr>
        <w:pStyle w:val="Style_2"/>
        <w:widowControl w:val="0"/>
        <w:spacing w:line="240" w:lineRule="auto"/>
        <w:ind w:firstLine="709" w:left="0" w:right="0"/>
        <w:jc w:val="both"/>
        <w:rPr>
          <w:rFonts w:ascii="Times New Roman" w:hAnsi="Times New Roman"/>
        </w:rPr>
      </w:pPr>
      <w:r>
        <w:t xml:space="preserve">Миграция Камчатского края в период с 1991 по 2022 год характеризуется продолжающимся оттоком населения, исключение составили только 2017, 2021 и 2023 годы, когда сальдо изменилось на положительное. На протяжении последних лет Камчатский край восполняет миграционные потери за счет эмигрантов из стран СНГ и других зарубежных стран. </w:t>
      </w:r>
    </w:p>
    <w:p w14:paraId="4C020000">
      <w:pPr>
        <w:pStyle w:val="Style_2"/>
        <w:widowControl w:val="0"/>
        <w:spacing w:line="240" w:lineRule="auto"/>
        <w:ind w:firstLine="709" w:left="0" w:right="0"/>
        <w:jc w:val="both"/>
        <w:rPr>
          <w:rFonts w:ascii="Times New Roman" w:hAnsi="Times New Roman"/>
        </w:rPr>
      </w:pPr>
      <w:r>
        <w:t>Миграция оказывает большое влияние и на половозрастную структуру населения края. Наиболее высокой подвижностью обладает население в трудоспособном возрасте. Миграция трудоспособного населения непосредственно влияет на рынок рабочей силы, сокращая (при отъезде) или увеличивая (в случае приезда) его предложение, обостряя конкуренцию на рынке труда.</w:t>
      </w:r>
    </w:p>
    <w:p w14:paraId="4D020000">
      <w:pPr>
        <w:pStyle w:val="Style_2"/>
        <w:widowControl w:val="0"/>
        <w:spacing w:line="240" w:lineRule="auto"/>
        <w:ind w:firstLine="709" w:left="0" w:right="0"/>
        <w:jc w:val="both"/>
        <w:rPr>
          <w:rFonts w:ascii="Times New Roman" w:hAnsi="Times New Roman"/>
        </w:rPr>
      </w:pPr>
      <w:r>
        <w:t xml:space="preserve">В 2023 году доля трудоспособного населения в составе прибывшего и выбывшего населения составила 74,3% и 72,2% соответственно. Наибольшая доля миграционных перемещений обусловлена трудовой миграцией (40,3%), причинами личного и семейного характера (24,4%), возвращением после временного отсутствия (23,7%). В связи с учебой мигрируют 1,5 % мигрантов старше 14 лет. </w:t>
      </w:r>
    </w:p>
    <w:p w14:paraId="4E020000">
      <w:pPr>
        <w:pStyle w:val="Style_2"/>
        <w:widowControl w:val="0"/>
        <w:spacing w:line="240" w:lineRule="auto"/>
        <w:ind w:firstLine="709" w:left="0" w:right="0"/>
        <w:jc w:val="both"/>
        <w:rPr>
          <w:rFonts w:ascii="Times New Roman" w:hAnsi="Times New Roman"/>
        </w:rPr>
      </w:pPr>
      <w:r>
        <w:t>В поисках работы уехали 843 человека (7,9% от общего числа выбывших мигрантов в возрасте 14 лет и старше), что на 6,5% меньше, чем в 2022 году. В связи с учебой в 2023 году Камчатский край покинуло 492 человека, это ниже уровня 2022 года на 1,0%. В структуре мигрантов в возрасте 14 лет и старше по основным обстоятельствам выбытия являются: возвращение после временного отсутствия (44,0%), причины личного характера (28,1%), в связи с работой (7,9%), в связи с учебой (4,6%).</w:t>
      </w:r>
    </w:p>
    <w:p w14:paraId="4F020000">
      <w:pPr>
        <w:pStyle w:val="Style_2"/>
        <w:widowControl w:val="0"/>
        <w:spacing w:line="240" w:lineRule="auto"/>
        <w:ind w:firstLine="709" w:left="0" w:right="0"/>
        <w:jc w:val="both"/>
        <w:rPr>
          <w:rFonts w:ascii="Times New Roman" w:hAnsi="Times New Roman"/>
        </w:rPr>
      </w:pPr>
      <w:r>
        <w:t>На протяжении нескольких лет в Камчатском крае доля прибывших мигрантов в трудоспособном возрасте сокращается, а доля выбывших увеличивается. Рост числа выезжающих пожилых людей является следствием стремления этой категории мигрантов ограничить время своего проживания на Севере по возможности периодом работы. В 2023 году доля населения старше трудоспособного возраста в составе выбывших с территории составила 11,6% и превысила долю прибывших на 2,8%.</w:t>
      </w:r>
    </w:p>
    <w:p w14:paraId="50020000">
      <w:pPr>
        <w:pStyle w:val="Style_2"/>
        <w:widowControl w:val="0"/>
        <w:spacing w:line="240" w:lineRule="auto"/>
        <w:ind w:firstLine="709" w:left="0" w:right="0"/>
        <w:jc w:val="both"/>
        <w:rPr>
          <w:rFonts w:ascii="Times New Roman" w:hAnsi="Times New Roman"/>
        </w:rPr>
      </w:pPr>
      <w:r>
        <w:t>В большинстве районов полуострова зафиксировано отрицательное сальдо миграции, положительная динамика сложилась в Петропавловск-Камчатском городском округе (+265), в Вилючинском городском округе (+492), в Елизовском (+431), Соболевском (+10), Карагинском (+68) муниципальных районах и Тигильском (+9) муниципальном округе.</w:t>
      </w:r>
    </w:p>
    <w:p w14:paraId="51020000">
      <w:pPr>
        <w:pStyle w:val="Style_2"/>
        <w:widowControl w:val="0"/>
        <w:spacing w:line="240" w:lineRule="auto"/>
        <w:ind w:firstLine="709" w:left="0" w:right="0"/>
        <w:jc w:val="both"/>
        <w:rPr>
          <w:rFonts w:ascii="Times New Roman" w:hAnsi="Times New Roman"/>
        </w:rPr>
      </w:pPr>
      <w:r>
        <w:t xml:space="preserve">Наиболее острыми проблемами демографической ситуации остаются: значительный миграционный отток населения (за исключением 2017, 2021 и 2023 годов), высокая смертность мужчин трудоспособного возраста, увеличение доли лиц старше трудоспособного возраста. </w:t>
      </w:r>
    </w:p>
    <w:p w14:paraId="52020000">
      <w:pPr>
        <w:pStyle w:val="Style_2"/>
        <w:widowControl w:val="0"/>
        <w:spacing w:line="240" w:lineRule="auto"/>
        <w:ind w:firstLine="709" w:left="0" w:right="0"/>
        <w:jc w:val="both"/>
        <w:rPr>
          <w:rFonts w:ascii="Times New Roman" w:hAnsi="Times New Roman"/>
        </w:rPr>
      </w:pPr>
      <w:r>
        <w:t>Современная демографическая ситуация характеризуется не только снижением количества молодых женщин, на долю которых приходится основное число рождений, но и откладыванием рождений на более поздние годы и смещением структуры населения в сторону старших возрастных категорий («эхо» демографической ямы 1990-х).</w:t>
      </w:r>
    </w:p>
    <w:p w14:paraId="53020000">
      <w:pPr>
        <w:pStyle w:val="Style_2"/>
        <w:widowControl w:val="0"/>
        <w:spacing w:line="240" w:lineRule="auto"/>
        <w:ind w:firstLine="709" w:left="0" w:right="0"/>
        <w:jc w:val="both"/>
        <w:rPr>
          <w:rFonts w:ascii="Times New Roman" w:hAnsi="Times New Roman"/>
        </w:rPr>
      </w:pPr>
      <w:r>
        <w:t>Одним из инструментов привлечения в край необходимых специалистов является программа по оказанию содействия добровольному переселению в Камчатский край соотечественников, проживающих за рубежом, которая реализуется в регионе с 2009 года. В 2023 году в Камчатский край переселилось 287 соотечественников (90 участников программы и 197 членов их семей).</w:t>
      </w:r>
    </w:p>
    <w:p w14:paraId="54020000">
      <w:pPr>
        <w:pStyle w:val="Style_2"/>
        <w:widowControl w:val="0"/>
        <w:spacing w:line="240" w:lineRule="auto"/>
        <w:ind w:firstLine="709" w:left="0" w:right="0"/>
        <w:jc w:val="both"/>
        <w:rPr>
          <w:rFonts w:ascii="Times New Roman" w:hAnsi="Times New Roman"/>
        </w:rPr>
      </w:pPr>
      <w:r>
        <w:t xml:space="preserve">Наиболее важными задачами народосбережения являются обеспечение устойчивого естественного роста численности населения (повышение рождаемости, сокращение смертности) и повышение ожидаемой продолжительности жизни. </w:t>
      </w:r>
    </w:p>
    <w:p w14:paraId="55020000">
      <w:pPr>
        <w:pStyle w:val="Style_2"/>
        <w:widowControl w:val="0"/>
        <w:spacing w:line="240" w:lineRule="auto"/>
        <w:ind w:firstLine="709" w:left="0" w:right="0"/>
        <w:jc w:val="both"/>
        <w:rPr>
          <w:rFonts w:ascii="Times New Roman" w:hAnsi="Times New Roman"/>
        </w:rPr>
      </w:pPr>
      <w:r>
        <w:t xml:space="preserve">По оценке, среднегодовая численность постоянного населения Камчатского края в 2024 году составит 289,5 тыс. человек (100,2% от уровня 2023 года). Численность населения трудоспособного возраста составит 175,9 тыс. человек или 60,8% от общей численности населения. </w:t>
      </w:r>
    </w:p>
    <w:p w14:paraId="56020000">
      <w:pPr>
        <w:pStyle w:val="Style_2"/>
        <w:widowControl w:val="0"/>
        <w:spacing w:line="240" w:lineRule="auto"/>
        <w:ind w:firstLine="709" w:left="0" w:right="0"/>
        <w:jc w:val="both"/>
        <w:rPr>
          <w:rFonts w:ascii="Times New Roman" w:hAnsi="Times New Roman"/>
        </w:rPr>
      </w:pPr>
      <w:r>
        <w:t>Коэффициент рождаемости по итогам года оценивается в 10,2 промилле, коэффициент смертности – в 11,8 промилле. В совокупности, естественная убыль составит 1,6 промилле.</w:t>
      </w:r>
    </w:p>
    <w:p w14:paraId="57020000">
      <w:pPr>
        <w:pStyle w:val="Style_2"/>
        <w:widowControl w:val="0"/>
        <w:spacing w:line="240" w:lineRule="auto"/>
        <w:ind w:firstLine="709" w:left="0" w:right="0"/>
        <w:jc w:val="both"/>
        <w:rPr>
          <w:rFonts w:ascii="Times New Roman" w:hAnsi="Times New Roman"/>
        </w:rPr>
      </w:pPr>
      <w:r>
        <w:t>Общий коэффициент смертности сократится с 11,8 промилле в 2024 году до 11,1 промилле – в 2027 году. В 2027 году миграционный прирост составит 1,4 тыс. человек. В результате исполнения сценарных условий базового варианта прогноза среднегодовая численность населения Камчатского края в 2025 году составит 291,0 тыс. человек и к 2027 году увеличится до 294,0 тыс. человек. Ожидаемая продолжительность жизни увеличится до 74,6 лет в 2027 году.</w:t>
      </w:r>
    </w:p>
    <w:p w14:paraId="58020000">
      <w:pPr>
        <w:pStyle w:val="Style_2"/>
        <w:widowControl w:val="0"/>
        <w:spacing w:line="240" w:lineRule="auto"/>
        <w:ind w:firstLine="709" w:left="0" w:right="0"/>
        <w:jc w:val="both"/>
        <w:rPr>
          <w:rFonts w:ascii="Times New Roman" w:hAnsi="Times New Roman"/>
        </w:rPr>
      </w:pPr>
      <w:r>
        <w:rPr>
          <w:b w:val="0"/>
          <w:color w:val="000000"/>
        </w:rPr>
        <w:t xml:space="preserve">В результате исполнения сценарных условий консервативного варианта прогноза среднегодовая численность населения Камчатского края в 2027 году составит 289,5 тыс. человек. Общий коэффициент смертности составит 11,6 промилле в 2027 году. В 2027 году будет наблюдаться миграционный прирост в размере 0,7 тыс. человек. </w:t>
      </w:r>
    </w:p>
    <w:p w14:paraId="59020000">
      <w:pPr>
        <w:pStyle w:val="Style_2"/>
        <w:spacing w:line="240" w:lineRule="auto"/>
        <w:ind/>
        <w:jc w:val="both"/>
        <w:rPr>
          <w:rFonts w:ascii="Times New Roman" w:hAnsi="Times New Roman"/>
          <w:color w:val="632523"/>
        </w:rPr>
      </w:pPr>
    </w:p>
    <w:p w14:paraId="5A020000">
      <w:pPr>
        <w:pStyle w:val="Style_2"/>
        <w:spacing w:line="240" w:lineRule="auto"/>
        <w:ind/>
        <w:jc w:val="both"/>
        <w:rPr>
          <w:rFonts w:ascii="Times New Roman" w:hAnsi="Times New Roman"/>
        </w:rPr>
      </w:pPr>
      <w:r>
        <w:rPr>
          <w:b w:val="1"/>
          <w:color w:val="000000"/>
          <w:sz w:val="24"/>
        </w:rPr>
        <w:t>10. Бюджет Камчатского края</w:t>
      </w:r>
    </w:p>
    <w:p w14:paraId="5B020000">
      <w:pPr>
        <w:pStyle w:val="Style_2"/>
        <w:spacing w:line="240" w:lineRule="auto"/>
        <w:ind w:firstLine="709" w:left="0" w:right="0"/>
        <w:jc w:val="both"/>
        <w:rPr>
          <w:rFonts w:ascii="Times New Roman" w:hAnsi="Times New Roman"/>
        </w:rPr>
      </w:pPr>
      <w:r>
        <w:rPr>
          <w:color w:val="000000"/>
          <w:sz w:val="24"/>
        </w:rPr>
        <w:t>В 2023 году основные параметры консолидированного бюджета составили: по доходам – 130 852,9 млн рублей, по расходам – 134 738,9 млн рублей. Объем доходов бюджетов всех уровней региональной бюджетной системы возрос на 8,4%, налоговых и неналоговых доходов – на 20,6%. Устойчиво высокая зависимость от федерального бюджета обуславливает структурное постоянство источников доходов регионального бюджета. Несмотря на некоторые изменения весовых соотношений по группам и видам доходов, доминирует удельный вес совокупного федерального трансферта – 56,6% общей суммы доходов.</w:t>
      </w:r>
    </w:p>
    <w:p w14:paraId="5C020000">
      <w:pPr>
        <w:pStyle w:val="Style_2"/>
        <w:spacing w:line="240" w:lineRule="auto"/>
        <w:ind w:firstLine="708" w:left="0" w:right="0"/>
        <w:jc w:val="both"/>
        <w:rPr>
          <w:rFonts w:ascii="Times New Roman" w:hAnsi="Times New Roman"/>
        </w:rPr>
      </w:pPr>
      <w:r>
        <w:rPr>
          <w:color w:val="000000"/>
          <w:sz w:val="24"/>
        </w:rPr>
        <w:t>Безвозмездные поступления в консолидированный бюджет региона  составили 74 191,6 млн рублей, что больше аналогичного периода прошлого года на 417 млн рублей или на 0,6%, в том числе безвозмездные поступления от других бюджетов бюджетной системы Российской Федерации сложились в объеме 62 588,8 млн рублей, уменьшились по сравнению с предыдущим годом на 2,6%. В структуре федеральных средств доля выделенных Камчатскому краю дотаций – 61,8%; субсидий – 14,3%; субвенций – 1,3%, иных межбюджетных трансфертов — 7,0%.</w:t>
      </w:r>
    </w:p>
    <w:p w14:paraId="5D020000">
      <w:pPr>
        <w:pStyle w:val="Style_2"/>
        <w:spacing w:line="240" w:lineRule="auto"/>
        <w:ind w:firstLine="708" w:left="0" w:right="0"/>
        <w:jc w:val="both"/>
        <w:rPr>
          <w:rFonts w:ascii="Times New Roman" w:hAnsi="Times New Roman"/>
        </w:rPr>
      </w:pPr>
      <w:r>
        <w:rPr>
          <w:color w:val="000000"/>
          <w:sz w:val="24"/>
        </w:rPr>
        <w:t xml:space="preserve">Учитывая, что Камчатский край является одним из высокодотационных субъектов Российской Федерации в условиях действия специальной военной операции, санкционного давления недружественных стран, оказывающего влияние на экономику региона и страны в целом, темп роста поступлений из федерального бюджета превысил тем роста налоговых и неналоговых доходов. </w:t>
      </w:r>
    </w:p>
    <w:p w14:paraId="5E020000">
      <w:pPr>
        <w:pStyle w:val="Style_2"/>
        <w:spacing w:line="240" w:lineRule="auto"/>
        <w:ind w:firstLine="708" w:left="0" w:right="0"/>
        <w:jc w:val="both"/>
        <w:rPr>
          <w:rFonts w:ascii="Times New Roman" w:hAnsi="Times New Roman"/>
        </w:rPr>
      </w:pPr>
      <w:r>
        <w:rPr>
          <w:color w:val="000000"/>
          <w:sz w:val="24"/>
        </w:rPr>
        <w:t xml:space="preserve">2023 год характеризуется весьма высокими темпами роста показателей в доходной части, что свидетельствует о своевременном и рациональном принятии  мер поддержки экономикообразующих отраслей региона, субъектов малого и среднего предпринимательства и жителей края. </w:t>
      </w:r>
    </w:p>
    <w:p w14:paraId="5F020000">
      <w:pPr>
        <w:pStyle w:val="Style_2"/>
        <w:spacing w:line="240" w:lineRule="auto"/>
        <w:ind w:firstLine="709" w:left="0" w:right="0"/>
        <w:jc w:val="both"/>
        <w:rPr>
          <w:rFonts w:ascii="Times New Roman" w:hAnsi="Times New Roman"/>
        </w:rPr>
      </w:pPr>
      <w:r>
        <w:rPr>
          <w:color w:val="000000"/>
          <w:sz w:val="24"/>
        </w:rPr>
        <w:t xml:space="preserve">Налоговые доходы в сумме 53 645,8 млн рублей сформировали 41,0% всех бюджетных поступлений. Темп роста составил 121,5%, сумма прироста – 9 485,6 тыс. рублей. Рост показателя характеризует стабильность экономики региона в кризисной ситуации. Меры поддержки, в том числе обширный объем налоговых льгот, позволили снизить риск банкротства и закрытия предприятий региона. </w:t>
      </w:r>
    </w:p>
    <w:p w14:paraId="60020000">
      <w:pPr>
        <w:pStyle w:val="Style_2"/>
        <w:spacing w:line="240" w:lineRule="auto"/>
        <w:ind w:firstLine="709" w:left="0" w:right="0"/>
        <w:jc w:val="both"/>
        <w:rPr>
          <w:rFonts w:ascii="Times New Roman" w:hAnsi="Times New Roman"/>
        </w:rPr>
      </w:pPr>
      <w:r>
        <w:rPr>
          <w:color w:val="000000"/>
          <w:sz w:val="24"/>
        </w:rPr>
        <w:t xml:space="preserve">Основным источником доходов консолидированного бюджета является группа налогов на прибыль и доходы </w:t>
      </w:r>
      <w:r>
        <w:rPr>
          <w:color w:val="000000"/>
          <w:sz w:val="24"/>
        </w:rPr>
        <w:t>–</w:t>
      </w:r>
      <w:r>
        <w:rPr>
          <w:color w:val="000000"/>
          <w:sz w:val="24"/>
        </w:rPr>
        <w:t xml:space="preserve"> 34 454,7 млн рублей или 64,2% от общего размера налоговых поступлений, из них налог на прибыль </w:t>
      </w:r>
      <w:r>
        <w:rPr>
          <w:color w:val="000000"/>
          <w:sz w:val="24"/>
        </w:rPr>
        <w:t xml:space="preserve">– </w:t>
      </w:r>
      <w:r>
        <w:rPr>
          <w:color w:val="000000"/>
          <w:sz w:val="24"/>
        </w:rPr>
        <w:t xml:space="preserve">4 923,9 млн рублей (9,2% от общего размера налоговых доходов), налог на доходы физических лиц </w:t>
      </w:r>
      <w:r>
        <w:rPr>
          <w:color w:val="000000"/>
          <w:sz w:val="24"/>
        </w:rPr>
        <w:t xml:space="preserve">– </w:t>
      </w:r>
      <w:r>
        <w:rPr>
          <w:color w:val="000000"/>
          <w:sz w:val="24"/>
        </w:rPr>
        <w:t>29 530,8 млн рублей (55,1% от общего размера налоговых доходов).</w:t>
      </w:r>
    </w:p>
    <w:p w14:paraId="61020000">
      <w:pPr>
        <w:pStyle w:val="Style_2"/>
        <w:spacing w:line="240" w:lineRule="auto"/>
        <w:ind w:firstLine="709" w:left="0" w:right="0"/>
        <w:jc w:val="both"/>
        <w:rPr>
          <w:rFonts w:ascii="Times New Roman" w:hAnsi="Times New Roman"/>
        </w:rPr>
      </w:pPr>
      <w:r>
        <w:rPr>
          <w:color w:val="000000"/>
          <w:sz w:val="24"/>
        </w:rPr>
        <w:t xml:space="preserve">Основная доля поступлений по НДФЛ приходится на </w:t>
      </w:r>
      <w:r>
        <w:rPr>
          <w:color w:val="000000"/>
          <w:sz w:val="24"/>
          <w:highlight w:val="white"/>
        </w:rPr>
        <w:t>базовые отрасли в экономике региона</w:t>
      </w:r>
      <w:r>
        <w:rPr>
          <w:color w:val="000000"/>
          <w:sz w:val="24"/>
        </w:rPr>
        <w:t>:</w:t>
      </w:r>
    </w:p>
    <w:p w14:paraId="62020000">
      <w:pPr>
        <w:pStyle w:val="Style_2"/>
        <w:spacing w:line="240" w:lineRule="auto"/>
        <w:ind w:firstLine="709" w:left="0" w:right="0"/>
        <w:jc w:val="both"/>
        <w:rPr>
          <w:rFonts w:ascii="Times New Roman" w:hAnsi="Times New Roman"/>
        </w:rPr>
      </w:pPr>
      <w:r>
        <w:rPr>
          <w:color w:val="000000"/>
          <w:sz w:val="24"/>
        </w:rPr>
        <w:t xml:space="preserve">– </w:t>
      </w:r>
      <w:r>
        <w:rPr>
          <w:color w:val="000000"/>
          <w:sz w:val="24"/>
        </w:rPr>
        <w:t>рыболовство, рыбоводство; переработки и консервирование рыбы — 27,5% от общей суммы поступлений по НДФЛ.  Рост поступлений НДФЛ в 2023 году обеспечили следующие налогоплательщики: ОАО «Феникс», АО «Энергия», ООО «Рыбоперерабатывающий завод «Максимовский», ООО «Заря», ООО «Тымлатский рыбокомбинат»;</w:t>
      </w:r>
    </w:p>
    <w:p w14:paraId="63020000">
      <w:pPr>
        <w:pStyle w:val="Style_2"/>
        <w:spacing w:line="240" w:lineRule="auto"/>
        <w:ind w:firstLine="709" w:left="0" w:right="0"/>
        <w:jc w:val="both"/>
        <w:rPr>
          <w:rFonts w:ascii="Times New Roman" w:hAnsi="Times New Roman"/>
        </w:rPr>
      </w:pPr>
      <w:r>
        <w:rPr>
          <w:color w:val="000000"/>
          <w:sz w:val="24"/>
        </w:rPr>
        <w:t xml:space="preserve">– </w:t>
      </w:r>
      <w:r>
        <w:rPr>
          <w:color w:val="000000"/>
          <w:sz w:val="24"/>
        </w:rPr>
        <w:t>государственное управление и обеспечение военной безопасности, социальное обеспечение — 27,5% от общей суммы поступлений по НДФЛ. Рост поступлений обеспечили следующие налогоплательщики: Федеральное Казенное учреждение «Единый Расчетный центр Министерства Обороны Российской Федерации», Федеральное Казенное учреждение «Управление финансового обеспечения Министерства Обороны Российской Федерации по Камчатскому краю и Чукотскому Автономному округу», Пограничное Управление Федеральной службы безопасности Российской Федерации по Восточному арктическому району.</w:t>
      </w:r>
    </w:p>
    <w:p w14:paraId="64020000">
      <w:pPr>
        <w:pStyle w:val="Style_2"/>
        <w:spacing w:line="240" w:lineRule="auto"/>
        <w:ind w:firstLine="709" w:left="0" w:right="0"/>
        <w:jc w:val="both"/>
        <w:rPr>
          <w:rFonts w:ascii="Times New Roman" w:hAnsi="Times New Roman"/>
        </w:rPr>
      </w:pPr>
      <w:r>
        <w:rPr>
          <w:color w:val="000000"/>
          <w:sz w:val="24"/>
        </w:rPr>
        <w:t>Удельный вес других значимых бюджетообразующих групп налогов – на имущество сложился значением 8,7 %, на совокупный доход сложился значением 7,7%, доход от поступления налогов, сборов и регулярных платежей за пользование природными ресурсами составил 13,5% от общей суммы налоговых доходов.</w:t>
      </w:r>
    </w:p>
    <w:p w14:paraId="65020000">
      <w:pPr>
        <w:pStyle w:val="Style_2"/>
        <w:spacing w:line="240" w:lineRule="auto"/>
        <w:ind w:firstLine="709" w:left="0" w:right="0"/>
        <w:jc w:val="both"/>
        <w:rPr>
          <w:rFonts w:ascii="Times New Roman" w:hAnsi="Times New Roman"/>
        </w:rPr>
      </w:pPr>
      <w:r>
        <w:rPr>
          <w:color w:val="000000"/>
          <w:sz w:val="24"/>
        </w:rPr>
        <w:t xml:space="preserve">Повышенные темпы роста к предыдущему году сложились по группам налогов: </w:t>
      </w:r>
    </w:p>
    <w:p w14:paraId="66020000">
      <w:pPr>
        <w:pStyle w:val="Style_2"/>
        <w:spacing w:line="240" w:lineRule="auto"/>
        <w:ind w:firstLine="709" w:left="0" w:right="0"/>
        <w:jc w:val="both"/>
        <w:rPr>
          <w:rFonts w:ascii="Times New Roman" w:hAnsi="Times New Roman"/>
        </w:rPr>
      </w:pPr>
      <w:r>
        <w:rPr>
          <w:color w:val="000000"/>
          <w:sz w:val="24"/>
        </w:rPr>
        <w:t xml:space="preserve">– </w:t>
      </w:r>
      <w:r>
        <w:rPr>
          <w:color w:val="000000"/>
          <w:sz w:val="24"/>
        </w:rPr>
        <w:t>прибыль и доход –</w:t>
      </w:r>
      <w:r>
        <w:rPr>
          <w:color w:val="000000"/>
          <w:sz w:val="24"/>
        </w:rPr>
        <w:t xml:space="preserve"> 111,2%; </w:t>
      </w:r>
    </w:p>
    <w:p w14:paraId="67020000">
      <w:pPr>
        <w:pStyle w:val="Style_2"/>
        <w:spacing w:line="240" w:lineRule="auto"/>
        <w:ind w:firstLine="709" w:left="0" w:right="0"/>
        <w:jc w:val="both"/>
        <w:rPr>
          <w:rFonts w:ascii="Times New Roman" w:hAnsi="Times New Roman"/>
        </w:rPr>
      </w:pPr>
      <w:r>
        <w:rPr>
          <w:color w:val="000000"/>
          <w:sz w:val="24"/>
        </w:rPr>
        <w:t xml:space="preserve">– </w:t>
      </w:r>
      <w:r>
        <w:rPr>
          <w:color w:val="000000"/>
          <w:sz w:val="24"/>
        </w:rPr>
        <w:t xml:space="preserve">налоги на товары (работы, услуги), реализуемые на территории Российской Федерации – </w:t>
      </w:r>
      <w:r>
        <w:rPr>
          <w:color w:val="000000"/>
          <w:sz w:val="24"/>
        </w:rPr>
        <w:t>109,4</w:t>
      </w:r>
      <w:r>
        <w:rPr>
          <w:color w:val="000000"/>
          <w:sz w:val="24"/>
        </w:rPr>
        <w:t xml:space="preserve">%; </w:t>
      </w:r>
    </w:p>
    <w:p w14:paraId="68020000">
      <w:pPr>
        <w:pStyle w:val="Style_2"/>
        <w:spacing w:line="240" w:lineRule="auto"/>
        <w:ind w:firstLine="709" w:left="0" w:right="0"/>
        <w:jc w:val="both"/>
        <w:rPr>
          <w:rFonts w:ascii="Times New Roman" w:hAnsi="Times New Roman"/>
        </w:rPr>
      </w:pPr>
      <w:r>
        <w:rPr>
          <w:color w:val="000000"/>
          <w:sz w:val="24"/>
        </w:rPr>
        <w:t xml:space="preserve">– </w:t>
      </w:r>
      <w:r>
        <w:rPr>
          <w:color w:val="000000"/>
          <w:sz w:val="24"/>
        </w:rPr>
        <w:t xml:space="preserve">налоги на имущество – 104,7%; </w:t>
      </w:r>
    </w:p>
    <w:p w14:paraId="69020000">
      <w:pPr>
        <w:pStyle w:val="Style_2"/>
        <w:spacing w:line="240" w:lineRule="auto"/>
        <w:ind w:firstLine="709" w:left="0" w:right="0"/>
        <w:jc w:val="both"/>
        <w:rPr>
          <w:rFonts w:ascii="Times New Roman" w:hAnsi="Times New Roman"/>
        </w:rPr>
      </w:pPr>
      <w:r>
        <w:rPr>
          <w:color w:val="000000"/>
          <w:sz w:val="24"/>
        </w:rPr>
        <w:t xml:space="preserve">– </w:t>
      </w:r>
      <w:r>
        <w:rPr>
          <w:color w:val="000000"/>
          <w:sz w:val="24"/>
        </w:rPr>
        <w:t>налоги, сборы и регулярные платежи за пользование природными ресурсами – 800,0% (столь значительный рост обусловлен внесением изменением в статью 333.3 НК РФ в отношении увеличения размера ставок сбора за пользование объектами водных биологических ресурсов);</w:t>
      </w:r>
    </w:p>
    <w:p w14:paraId="6A020000">
      <w:pPr>
        <w:pStyle w:val="Style_2"/>
        <w:spacing w:line="240" w:lineRule="auto"/>
        <w:ind w:firstLine="709" w:left="0" w:right="0"/>
        <w:jc w:val="both"/>
        <w:rPr>
          <w:rFonts w:ascii="Times New Roman" w:hAnsi="Times New Roman"/>
        </w:rPr>
      </w:pPr>
      <w:r>
        <w:rPr>
          <w:color w:val="000000"/>
          <w:sz w:val="24"/>
        </w:rPr>
        <w:t xml:space="preserve">– </w:t>
      </w:r>
      <w:r>
        <w:rPr>
          <w:color w:val="000000"/>
          <w:sz w:val="24"/>
        </w:rPr>
        <w:t xml:space="preserve">госпошлина – 109,5 %. </w:t>
      </w:r>
    </w:p>
    <w:p w14:paraId="6B020000">
      <w:pPr>
        <w:pStyle w:val="Style_2"/>
        <w:spacing w:line="240" w:lineRule="auto"/>
        <w:ind w:firstLine="709" w:left="0" w:right="0"/>
        <w:jc w:val="both"/>
        <w:rPr>
          <w:rFonts w:ascii="Times New Roman" w:hAnsi="Times New Roman"/>
        </w:rPr>
      </w:pPr>
      <w:r>
        <w:rPr>
          <w:color w:val="000000"/>
          <w:sz w:val="24"/>
        </w:rPr>
        <w:t xml:space="preserve">Снижение темпов роста сложилось по налогам на совокупный доход – 83,8%, за счет снижения поступлений в консолидированный бюджет Камчатского края. </w:t>
      </w:r>
      <w:r>
        <w:rPr>
          <w:color w:val="000000"/>
          <w:sz w:val="24"/>
        </w:rPr>
        <w:t>На снижение поступлений повлияли следующие обстоятельства:</w:t>
      </w:r>
    </w:p>
    <w:p w14:paraId="6C020000">
      <w:pPr>
        <w:pStyle w:val="Style_2"/>
        <w:spacing w:line="240" w:lineRule="auto"/>
        <w:ind w:firstLine="709" w:left="0" w:right="0"/>
        <w:jc w:val="both"/>
        <w:rPr>
          <w:rFonts w:ascii="Times New Roman" w:hAnsi="Times New Roman"/>
        </w:rPr>
      </w:pPr>
      <w:r>
        <w:rPr>
          <w:color w:val="000000"/>
          <w:sz w:val="24"/>
        </w:rPr>
        <w:t>1) по единому налогу, взимаемому в связи с применением упрощенной системы налогообложения:</w:t>
      </w:r>
    </w:p>
    <w:p w14:paraId="6D020000">
      <w:pPr>
        <w:pStyle w:val="Style_2"/>
        <w:spacing w:line="240" w:lineRule="auto"/>
        <w:ind w:firstLine="709" w:left="0" w:right="0"/>
        <w:jc w:val="both"/>
        <w:rPr>
          <w:rFonts w:ascii="Times New Roman" w:hAnsi="Times New Roman"/>
        </w:rPr>
      </w:pPr>
      <w:r>
        <w:rPr>
          <w:color w:val="000000"/>
          <w:sz w:val="24"/>
        </w:rPr>
        <w:t xml:space="preserve">— </w:t>
      </w:r>
      <w:r>
        <w:rPr>
          <w:color w:val="000000"/>
          <w:sz w:val="24"/>
        </w:rPr>
        <w:t>уплата рядом налогоплательщиков исчисленного налога в 2023 году не в полном объеме, что привело к росту задолженности по состоянию на 01.01.2024;</w:t>
      </w:r>
    </w:p>
    <w:p w14:paraId="6E020000">
      <w:pPr>
        <w:pStyle w:val="Style_2"/>
        <w:spacing w:line="240" w:lineRule="auto"/>
        <w:ind w:firstLine="709" w:left="0" w:right="0"/>
        <w:jc w:val="both"/>
        <w:rPr>
          <w:rFonts w:ascii="Times New Roman" w:hAnsi="Times New Roman"/>
        </w:rPr>
      </w:pPr>
      <w:r>
        <w:rPr>
          <w:color w:val="000000"/>
          <w:sz w:val="24"/>
        </w:rPr>
        <w:t xml:space="preserve">— </w:t>
      </w:r>
      <w:r>
        <w:rPr>
          <w:color w:val="000000"/>
          <w:sz w:val="24"/>
        </w:rPr>
        <w:t>подъем переплаты на ЕНС 28.11.2023 в рамках исполнения поручения ФНС России (письмо от 09.11.2023 № КЧ-4-8/14174</w:t>
      </w:r>
      <w:r>
        <w:rPr>
          <w:color w:val="000000"/>
          <w:sz w:val="24"/>
        </w:rPr>
        <w:t xml:space="preserve">@ </w:t>
      </w:r>
      <w:r>
        <w:rPr>
          <w:color w:val="000000"/>
          <w:sz w:val="24"/>
        </w:rPr>
        <w:t>«Об определении принадлежности денежных средств, перечисленных и (или) признаваемых в качестве единого налогового платежа»);</w:t>
      </w:r>
    </w:p>
    <w:p w14:paraId="6F020000">
      <w:pPr>
        <w:pStyle w:val="Style_2"/>
        <w:spacing w:line="240" w:lineRule="auto"/>
        <w:ind w:firstLine="709" w:left="0" w:right="0"/>
        <w:jc w:val="both"/>
        <w:rPr>
          <w:rFonts w:ascii="Times New Roman" w:hAnsi="Times New Roman"/>
        </w:rPr>
      </w:pPr>
      <w:r>
        <w:rPr>
          <w:color w:val="000000"/>
          <w:sz w:val="24"/>
        </w:rPr>
        <w:t>2) по единому сельскохозяйственному налогу снижение обусловлено уменьшением налоговой базы по предприятиям рыбохозяйственного комплекса за счет снижения суммы доходов и увеличения расходов по итогам путины 2022 года, а также снижения объемов авансовых платежей за 1 полугодие 2023 года;</w:t>
      </w:r>
    </w:p>
    <w:p w14:paraId="70020000">
      <w:pPr>
        <w:pStyle w:val="Style_2"/>
        <w:spacing w:line="240" w:lineRule="auto"/>
        <w:ind w:firstLine="709" w:left="0" w:right="0"/>
        <w:jc w:val="both"/>
        <w:rPr>
          <w:rFonts w:ascii="Times New Roman" w:hAnsi="Times New Roman"/>
        </w:rPr>
      </w:pPr>
      <w:r>
        <w:rPr>
          <w:color w:val="000000"/>
          <w:sz w:val="24"/>
        </w:rPr>
        <w:t>3) по налогу, взимаемому в связи с применением патентной системы налогообложения на снижение поступлений оказало влияние утрата права на применение патентной системы налогообложения и уменьшение суммы патента на сумму уплаченных страховых взносов по отдельным налогоплательщикам, поднятие ЕНС образовавшейся переплаты, а также перенос срока уплаты патента на 09.01.2024.</w:t>
      </w:r>
    </w:p>
    <w:p w14:paraId="71020000">
      <w:pPr>
        <w:pStyle w:val="Style_2"/>
        <w:spacing w:line="240" w:lineRule="auto"/>
        <w:ind w:firstLine="709" w:left="0" w:right="0"/>
        <w:jc w:val="both"/>
        <w:rPr>
          <w:rFonts w:ascii="Times New Roman" w:hAnsi="Times New Roman"/>
        </w:rPr>
      </w:pPr>
      <w:r>
        <w:rPr>
          <w:color w:val="000000"/>
          <w:sz w:val="24"/>
        </w:rPr>
        <w:t>Рост поступлений по налогу на профессиональный доход обусловлен увеличением количественного состава налогоплательщиков, применяющих данный режим налогообложения в 1,5 раза.</w:t>
      </w:r>
    </w:p>
    <w:p w14:paraId="72020000">
      <w:pPr>
        <w:pStyle w:val="Style_2"/>
        <w:spacing w:line="240" w:lineRule="auto"/>
        <w:ind w:firstLine="709" w:left="0" w:right="0"/>
        <w:jc w:val="both"/>
        <w:rPr>
          <w:rFonts w:ascii="Times New Roman" w:hAnsi="Times New Roman"/>
        </w:rPr>
      </w:pPr>
      <w:r>
        <w:rPr>
          <w:color w:val="000000"/>
          <w:sz w:val="24"/>
        </w:rPr>
        <w:t>Динамика изменения объема неналоговых доходов составила 107,1% к значению предыдущего года, их экономический вес в структуре доходов – 2,3% .</w:t>
      </w:r>
    </w:p>
    <w:p w14:paraId="73020000">
      <w:pPr>
        <w:pStyle w:val="Style_2"/>
        <w:spacing w:line="240" w:lineRule="auto"/>
        <w:ind w:firstLine="709" w:left="0" w:right="0"/>
        <w:jc w:val="both"/>
        <w:rPr>
          <w:rFonts w:ascii="Times New Roman" w:hAnsi="Times New Roman"/>
        </w:rPr>
      </w:pPr>
      <w:r>
        <w:rPr>
          <w:color w:val="000000"/>
          <w:sz w:val="24"/>
        </w:rPr>
        <w:t xml:space="preserve">Рост доходного потенциала обусловлен влиянием комплекса факторов, среди которых главными являются общая экономическая конъюнктура и специфические особенности развития региона. В их число входят также результаты реализации политики расширения деятельности ТОР «Камчатка» и территории СПВ в Камчатском крае, туристического кластера.  </w:t>
      </w:r>
    </w:p>
    <w:p w14:paraId="74020000">
      <w:pPr>
        <w:pStyle w:val="Style_2"/>
        <w:spacing w:line="240" w:lineRule="auto"/>
        <w:ind w:firstLine="709" w:left="0" w:right="0"/>
        <w:jc w:val="both"/>
        <w:rPr>
          <w:rFonts w:ascii="Times New Roman" w:hAnsi="Times New Roman"/>
        </w:rPr>
      </w:pPr>
      <w:r>
        <w:rPr>
          <w:color w:val="000000"/>
          <w:sz w:val="24"/>
        </w:rPr>
        <w:t>На сохранение сбалансированности региональных финансов направлены меры, реализуемые в рамках плана действий по оптимизации бюджетных расходов, в том числе на содержание органов власти и государственных учреждений, концентрация средств на ключевых направлениях, актуализация инвестиционной программы, стимулирование предпринимательской активности налоговыми методами, всемерное содействие развитию территории опережающего социально-экономического развития «Камчатка», территорий СПВ в Камчатском крае. В то же время не снижен объем социальной поддержки населения.</w:t>
      </w:r>
    </w:p>
    <w:p w14:paraId="75020000">
      <w:pPr>
        <w:pStyle w:val="Style_2"/>
        <w:spacing w:line="240" w:lineRule="auto"/>
        <w:ind w:firstLine="709" w:left="0" w:right="0"/>
        <w:jc w:val="both"/>
        <w:rPr>
          <w:rFonts w:ascii="Times New Roman" w:hAnsi="Times New Roman"/>
        </w:rPr>
      </w:pPr>
      <w:r>
        <w:rPr>
          <w:color w:val="000000"/>
          <w:sz w:val="24"/>
        </w:rPr>
        <w:t>Симметрично росту собственных доходов и безвозмездных поступлений из федерального бюджета в 2023 году увеличилась расходная часть бюджета Камчатского края, возросло финансовое обеспечение решения вопросов, отнесенных к полномочиям субъектов Российской Федерации, выросла финансовая помощь местным бюджетам. В крае обеспечивается индексация оплаты труда работников учреждений бюджетной сферы регионального и муниципального уровней; удается сохранять действующие меры социальной поддержки населения, обеспечивать их ежегодную индексацию; несмотря на передачу решения отдельных вопросов с местного на региональный уровень, значительно увеличены объемы финансовой помощи муниципалитетам.</w:t>
      </w:r>
    </w:p>
    <w:p w14:paraId="76020000">
      <w:pPr>
        <w:pStyle w:val="Style_2"/>
        <w:spacing w:line="240" w:lineRule="auto"/>
        <w:ind w:firstLine="851" w:left="0" w:right="0"/>
        <w:jc w:val="both"/>
        <w:rPr>
          <w:rFonts w:ascii="Times New Roman" w:hAnsi="Times New Roman"/>
        </w:rPr>
      </w:pPr>
      <w:r>
        <w:rPr>
          <w:color w:val="000000"/>
          <w:sz w:val="24"/>
        </w:rPr>
        <w:t>В целом, бюджет является социально ориентированным, расходы на социально-культурную сферу и жилищно-коммунальное хозяйство ежегодно составляют в нем более 60%.</w:t>
      </w:r>
    </w:p>
    <w:p w14:paraId="77020000">
      <w:pPr>
        <w:pStyle w:val="Style_2"/>
        <w:spacing w:line="240" w:lineRule="auto"/>
        <w:ind w:firstLine="709" w:left="0" w:right="0"/>
        <w:jc w:val="both"/>
        <w:rPr>
          <w:rFonts w:ascii="Times New Roman" w:hAnsi="Times New Roman"/>
        </w:rPr>
      </w:pPr>
      <w:r>
        <w:rPr>
          <w:color w:val="000000"/>
          <w:sz w:val="24"/>
        </w:rPr>
        <w:t xml:space="preserve">Объем расходов консолидированного бюджета составил 134 738,9 млн рублей с приростом к предыдущему году на 6,4%. Структура отражает расходные приоритеты, обусловленные задачами органов власти края по реализации своих полномочий с учетом необходимости повышения эффективности бюджетных расходов, исходя из реальных возможностей бюджета. </w:t>
      </w:r>
    </w:p>
    <w:p w14:paraId="78020000">
      <w:pPr>
        <w:pStyle w:val="Style_2"/>
        <w:spacing w:line="240" w:lineRule="auto"/>
        <w:ind w:firstLine="709" w:left="0" w:right="0"/>
        <w:jc w:val="both"/>
        <w:rPr>
          <w:rFonts w:ascii="Times New Roman" w:hAnsi="Times New Roman"/>
        </w:rPr>
      </w:pPr>
      <w:r>
        <w:rPr>
          <w:color w:val="000000"/>
          <w:sz w:val="24"/>
        </w:rPr>
        <w:t xml:space="preserve">В целом наиболее значимым направлением расходов социального бюджета является отрасль образования, профинансированная в объеме 31 667,19 млн рублей или 21,1% общего объема расходов. На реализацию мер по социальному обеспечению и обслуживанию населения направлено 17 266,49 млн рублей (12,8% расходов), здравоохранения – в объеме 9 740,5 млн рублей (7,2% расходов). Темп роста финансирования этих ключевых отраслей к предыдущему году – 103,3%. </w:t>
      </w:r>
    </w:p>
    <w:p w14:paraId="79020000">
      <w:pPr>
        <w:pStyle w:val="Style_2"/>
        <w:spacing w:line="240" w:lineRule="auto"/>
        <w:ind w:firstLine="709" w:left="0" w:right="0"/>
        <w:jc w:val="both"/>
        <w:rPr>
          <w:rFonts w:ascii="Times New Roman" w:hAnsi="Times New Roman"/>
        </w:rPr>
      </w:pPr>
      <w:r>
        <w:rPr>
          <w:color w:val="000000"/>
          <w:sz w:val="24"/>
        </w:rPr>
        <w:t>Из числа других расходных обязательств наиболее весомые с превышающей динамикой роста:</w:t>
      </w:r>
    </w:p>
    <w:p w14:paraId="7A020000">
      <w:pPr>
        <w:pStyle w:val="Style_2"/>
        <w:spacing w:line="240" w:lineRule="auto"/>
        <w:ind w:firstLine="709" w:left="0" w:right="0"/>
        <w:jc w:val="both"/>
        <w:rPr>
          <w:rFonts w:ascii="Times New Roman" w:hAnsi="Times New Roman"/>
        </w:rPr>
      </w:pPr>
      <w:r>
        <w:rPr>
          <w:color w:val="000000"/>
          <w:sz w:val="24"/>
        </w:rPr>
        <w:t xml:space="preserve">– </w:t>
      </w:r>
      <w:r>
        <w:rPr>
          <w:color w:val="000000"/>
          <w:sz w:val="24"/>
        </w:rPr>
        <w:t>национальная экономика – 36 215,8 млн рублей, рост 102,4%;</w:t>
      </w:r>
    </w:p>
    <w:p w14:paraId="7B020000">
      <w:pPr>
        <w:pStyle w:val="Style_2"/>
        <w:spacing w:line="240" w:lineRule="auto"/>
        <w:ind w:firstLine="709" w:left="0" w:right="0"/>
        <w:jc w:val="both"/>
        <w:rPr>
          <w:rFonts w:ascii="Times New Roman" w:hAnsi="Times New Roman"/>
        </w:rPr>
      </w:pPr>
      <w:r>
        <w:rPr>
          <w:color w:val="000000"/>
          <w:sz w:val="24"/>
        </w:rPr>
        <w:t xml:space="preserve">– </w:t>
      </w:r>
      <w:r>
        <w:rPr>
          <w:color w:val="000000"/>
          <w:sz w:val="24"/>
        </w:rPr>
        <w:t>жилищно-коммунальное хозяйство – 21 766,9 млн рублей, рост 105,4%.</w:t>
      </w:r>
    </w:p>
    <w:p w14:paraId="7C020000">
      <w:pPr>
        <w:pStyle w:val="Style_2"/>
        <w:spacing w:line="240" w:lineRule="auto"/>
        <w:ind w:firstLine="709" w:left="0" w:right="0"/>
        <w:jc w:val="both"/>
        <w:rPr>
          <w:rFonts w:ascii="Times New Roman" w:hAnsi="Times New Roman"/>
        </w:rPr>
      </w:pPr>
      <w:r>
        <w:rPr>
          <w:color w:val="000000"/>
          <w:sz w:val="24"/>
        </w:rPr>
        <w:t xml:space="preserve">Существенное содержание расходных полномочий по данным отраслям составляют меры государственной поддержки энергоснабжающих организаций, осуществляющих отпуск электрической энергии предприятиям агропромышленного комплекса, пищевой и перерабатывающей промышленности Камчатского края по сниженным тарифам, газоснабжающим предприятиям, а также расходы, связанные с введением механизма выравнивания цен (тарифов) на электрическую энергию до среднероссийского уровня для отдельных потребителей электрической энергии Дальневосточного макрорегиона. </w:t>
      </w:r>
    </w:p>
    <w:p w14:paraId="7D020000">
      <w:pPr>
        <w:pStyle w:val="Style_2"/>
        <w:spacing w:line="240" w:lineRule="auto"/>
        <w:ind w:firstLine="709" w:left="0" w:right="0"/>
        <w:jc w:val="both"/>
        <w:rPr>
          <w:rFonts w:ascii="Times New Roman" w:hAnsi="Times New Roman"/>
        </w:rPr>
      </w:pPr>
      <w:r>
        <w:rPr>
          <w:color w:val="000000"/>
          <w:sz w:val="24"/>
        </w:rPr>
        <w:t>Бюджет исполнен с дефицитом в 3 886,0 млн рублей. Государственный долг Камчатского края на 01.01.2024 сложился в объеме 9,3 млрд рублей.</w:t>
      </w:r>
    </w:p>
    <w:p w14:paraId="7E020000">
      <w:pPr>
        <w:pStyle w:val="Style_2"/>
        <w:spacing w:line="240" w:lineRule="auto"/>
        <w:ind w:firstLine="709" w:left="0" w:right="0"/>
        <w:jc w:val="both"/>
        <w:rPr>
          <w:rFonts w:ascii="Times New Roman" w:hAnsi="Times New Roman"/>
        </w:rPr>
      </w:pPr>
      <w:r>
        <w:rPr>
          <w:color w:val="000000"/>
          <w:sz w:val="24"/>
        </w:rPr>
        <w:t xml:space="preserve">По оценке, в 2024 году бюджетная система Камчатского края будет характеризоваться наращиванием темпов роста показателей доходной базы в сравнении с предыдущим периодом. </w:t>
      </w:r>
    </w:p>
    <w:p w14:paraId="7F020000">
      <w:pPr>
        <w:pStyle w:val="Style_2"/>
        <w:widowControl w:val="0"/>
        <w:spacing w:line="240" w:lineRule="auto"/>
        <w:ind w:firstLine="709" w:left="0" w:right="0"/>
        <w:jc w:val="both"/>
        <w:rPr>
          <w:rFonts w:ascii="Times New Roman" w:hAnsi="Times New Roman"/>
        </w:rPr>
      </w:pPr>
      <w:r>
        <w:rPr>
          <w:i w:val="0"/>
          <w:color w:val="000000"/>
          <w:sz w:val="24"/>
        </w:rPr>
        <w:t xml:space="preserve">По оценке в 2024 году </w:t>
      </w:r>
      <w:r>
        <w:rPr>
          <w:color w:val="000000"/>
          <w:sz w:val="24"/>
        </w:rPr>
        <w:t xml:space="preserve">ресурсы бюджетной системы Камчатского края будут иметь следующую динамику: доходы возрастут на 108,2%, сумма налоговых и неналоговых доходов возрастет на 102,4%, налоговые доходы вырастут на 103,4%, безвозмездные поступления на 112,7%. Расходы вырастут на 112,2%, в связи с чем ожидается образование дефицита в объеме 8 674,5 млрд рублей. </w:t>
      </w:r>
    </w:p>
    <w:p w14:paraId="80020000">
      <w:pPr>
        <w:pStyle w:val="Style_2"/>
        <w:widowControl w:val="0"/>
        <w:spacing w:line="240" w:lineRule="auto"/>
        <w:ind w:firstLine="709" w:left="0" w:right="0"/>
        <w:jc w:val="both"/>
        <w:rPr>
          <w:rFonts w:ascii="Times New Roman" w:hAnsi="Times New Roman"/>
        </w:rPr>
      </w:pPr>
      <w:r>
        <w:rPr>
          <w:color w:val="000000"/>
          <w:sz w:val="24"/>
        </w:rPr>
        <w:t xml:space="preserve">Темпы консолидации группы бюджетообразующих налогов составят: налог на прибыль организаций – 109,8%, акцизы – 111,2%, налог, взимаемый в </w:t>
      </w:r>
      <w:r>
        <w:rPr>
          <w:color w:val="000000"/>
          <w:sz w:val="24"/>
        </w:rPr>
        <w:t>114,6</w:t>
      </w:r>
      <w:r>
        <w:rPr>
          <w:color w:val="000000"/>
          <w:sz w:val="24"/>
        </w:rPr>
        <w:t xml:space="preserve">%, НДФЛ – </w:t>
      </w:r>
      <w:r>
        <w:rPr>
          <w:color w:val="000000"/>
          <w:sz w:val="24"/>
        </w:rPr>
        <w:t>106,1</w:t>
      </w:r>
      <w:r>
        <w:rPr>
          <w:color w:val="000000"/>
          <w:sz w:val="24"/>
        </w:rPr>
        <w:t>%. Динамика в группе имущественных налогов</w:t>
      </w:r>
      <w:r>
        <w:rPr>
          <w:color w:val="000000"/>
          <w:sz w:val="24"/>
        </w:rPr>
        <w:t xml:space="preserve"> в</w:t>
      </w:r>
      <w:r>
        <w:rPr>
          <w:color w:val="000000"/>
          <w:sz w:val="24"/>
        </w:rPr>
        <w:t xml:space="preserve"> целом </w:t>
      </w:r>
      <w:r>
        <w:rPr>
          <w:color w:val="000000"/>
          <w:sz w:val="24"/>
        </w:rPr>
        <w:t>характеризуется ростом, поступления по налогу на имущество организаций – 109,</w:t>
      </w:r>
      <w:r>
        <w:rPr>
          <w:color w:val="000000"/>
          <w:sz w:val="24"/>
        </w:rPr>
        <w:t>9</w:t>
      </w:r>
      <w:r>
        <w:rPr>
          <w:color w:val="000000"/>
          <w:sz w:val="24"/>
        </w:rPr>
        <w:t>%, по транспортному налогу – 104,7%, по налогу на имущество физических лиц – 98,5%.</w:t>
      </w:r>
    </w:p>
    <w:p w14:paraId="81020000">
      <w:pPr>
        <w:pStyle w:val="Style_2"/>
        <w:widowControl w:val="0"/>
        <w:spacing w:line="240" w:lineRule="auto"/>
        <w:ind w:firstLine="709" w:left="0" w:right="0"/>
        <w:jc w:val="both"/>
        <w:rPr>
          <w:rFonts w:ascii="Times New Roman" w:hAnsi="Times New Roman"/>
        </w:rPr>
      </w:pPr>
      <w:r>
        <w:rPr>
          <w:color w:val="000000"/>
          <w:sz w:val="24"/>
        </w:rPr>
        <w:t>Общий объем федеральных трансфертов составит – 83 598,4 млрд рублей, или 59,0% всех доходов. При этом самый весомый источник федеральных средств – дотация на выравнивание бюджетной обеспеченности составит 50 785,1 млрд рублей, прогнозируется рост субсидий на 212,7%.</w:t>
      </w:r>
    </w:p>
    <w:p w14:paraId="82020000">
      <w:pPr>
        <w:pStyle w:val="Style_2"/>
        <w:widowControl w:val="0"/>
        <w:spacing w:line="240" w:lineRule="auto"/>
        <w:ind w:firstLine="709" w:left="0" w:right="0"/>
        <w:jc w:val="both"/>
        <w:rPr>
          <w:rFonts w:ascii="Times New Roman" w:hAnsi="Times New Roman"/>
        </w:rPr>
      </w:pPr>
      <w:r>
        <w:rPr>
          <w:color w:val="000000"/>
          <w:sz w:val="24"/>
        </w:rPr>
        <w:t>Неналоговые доходы</w:t>
      </w:r>
      <w:r>
        <w:rPr>
          <w:color w:val="000000"/>
          <w:sz w:val="24"/>
        </w:rPr>
        <w:t xml:space="preserve"> </w:t>
      </w:r>
      <w:r>
        <w:rPr>
          <w:color w:val="000000"/>
          <w:sz w:val="24"/>
        </w:rPr>
        <w:t>п</w:t>
      </w:r>
      <w:r>
        <w:rPr>
          <w:color w:val="000000"/>
          <w:sz w:val="24"/>
        </w:rPr>
        <w:t xml:space="preserve">рогнозируются к уменьшению к </w:t>
      </w:r>
      <w:r>
        <w:rPr>
          <w:color w:val="000000"/>
          <w:sz w:val="24"/>
        </w:rPr>
        <w:t>значению  прошлого года на 84,7%.</w:t>
      </w:r>
    </w:p>
    <w:p w14:paraId="83020000">
      <w:pPr>
        <w:pStyle w:val="Style_2"/>
        <w:widowControl w:val="0"/>
        <w:spacing w:line="240" w:lineRule="auto"/>
        <w:ind w:firstLine="709" w:left="0" w:right="0"/>
        <w:jc w:val="both"/>
        <w:rPr>
          <w:rFonts w:ascii="Times New Roman" w:hAnsi="Times New Roman"/>
        </w:rPr>
      </w:pPr>
      <w:r>
        <w:rPr>
          <w:color w:val="000000"/>
          <w:sz w:val="24"/>
        </w:rPr>
        <w:t>Консолидированная сумма бюджетных расходов составит 151 136,6 млн рублей, что больше объема предыдущего года на 16 397,8 млн рублей (на 12,2%). Значительная доля прироста сложится вследствие увеличения финансирования сферы здравоохранения, образования, жилищно-коммунального хозяйства, национальной экономики, общегосударственных расходов.</w:t>
      </w:r>
    </w:p>
    <w:p w14:paraId="84020000">
      <w:pPr>
        <w:pStyle w:val="Style_2"/>
        <w:widowControl w:val="0"/>
        <w:spacing w:line="240" w:lineRule="auto"/>
        <w:ind w:firstLine="709" w:left="0" w:right="0"/>
        <w:jc w:val="both"/>
        <w:rPr>
          <w:rFonts w:ascii="Times New Roman" w:hAnsi="Times New Roman"/>
        </w:rPr>
      </w:pPr>
      <w:r>
        <w:rPr>
          <w:color w:val="000000"/>
          <w:sz w:val="24"/>
        </w:rPr>
        <w:t xml:space="preserve">Направление ресурсов на социальные цели по сравнению с предыдущим годом будет увеличено на 112,6%, общий объем средств составит 67 229,8 млн рублей: </w:t>
      </w:r>
      <w:r>
        <w:rPr>
          <w:color w:val="000000"/>
          <w:sz w:val="24"/>
        </w:rPr>
        <w:t>47,1</w:t>
      </w:r>
      <w:r>
        <w:rPr>
          <w:color w:val="000000"/>
          <w:sz w:val="24"/>
        </w:rPr>
        <w:t xml:space="preserve">% социально ориентированных расходов приходится на нужды образования, 20,7% – на здравоохранение; </w:t>
      </w:r>
      <w:r>
        <w:rPr>
          <w:color w:val="000000"/>
          <w:sz w:val="24"/>
        </w:rPr>
        <w:t>25,6</w:t>
      </w:r>
      <w:r>
        <w:rPr>
          <w:color w:val="000000"/>
          <w:sz w:val="24"/>
        </w:rPr>
        <w:t>% – на реализацию мер социальной политики, –</w:t>
      </w:r>
      <w:r>
        <w:rPr>
          <w:color w:val="000000"/>
          <w:sz w:val="24"/>
        </w:rPr>
        <w:t xml:space="preserve"> </w:t>
      </w:r>
      <w:r>
        <w:rPr>
          <w:color w:val="000000"/>
          <w:sz w:val="24"/>
        </w:rPr>
        <w:t>на культуру 6,6%</w:t>
      </w:r>
      <w:r>
        <w:rPr>
          <w:color w:val="000000"/>
          <w:sz w:val="24"/>
        </w:rPr>
        <w:t xml:space="preserve">. </w:t>
      </w:r>
    </w:p>
    <w:p w14:paraId="85020000">
      <w:pPr>
        <w:pStyle w:val="Style_2"/>
        <w:widowControl w:val="0"/>
        <w:spacing w:line="240" w:lineRule="auto"/>
        <w:ind w:firstLine="709" w:left="0" w:right="0"/>
        <w:jc w:val="both"/>
        <w:rPr>
          <w:rFonts w:ascii="Times New Roman" w:hAnsi="Times New Roman"/>
        </w:rPr>
      </w:pPr>
      <w:r>
        <w:rPr>
          <w:color w:val="000000"/>
          <w:sz w:val="24"/>
        </w:rPr>
        <w:t xml:space="preserve">В отраслях жилищно-коммунального комплекса в 2024 году будет освоено 23 639,4 млн рублей бюджетных средств с превышением уровня предыдущего года на 8,6%. </w:t>
      </w:r>
    </w:p>
    <w:p w14:paraId="86020000">
      <w:pPr>
        <w:pStyle w:val="Style_2"/>
        <w:widowControl w:val="0"/>
        <w:spacing w:line="240" w:lineRule="auto"/>
        <w:ind w:firstLine="709" w:left="0" w:right="0"/>
        <w:jc w:val="both"/>
        <w:rPr>
          <w:rFonts w:ascii="Times New Roman" w:hAnsi="Times New Roman"/>
        </w:rPr>
      </w:pPr>
      <w:r>
        <w:rPr>
          <w:color w:val="000000"/>
          <w:sz w:val="24"/>
        </w:rPr>
        <w:t>Дефицит консолидированного бюджета оценивается в объеме 8 674,56 млн рублей, или 6,1% общего годового объема доходов консолидированного бюджета.</w:t>
      </w:r>
    </w:p>
    <w:p w14:paraId="87020000">
      <w:pPr>
        <w:pStyle w:val="Style_2"/>
        <w:widowControl w:val="0"/>
        <w:spacing w:line="240" w:lineRule="auto"/>
        <w:ind w:firstLine="709" w:left="0" w:right="0"/>
        <w:jc w:val="both"/>
        <w:rPr>
          <w:rFonts w:ascii="Times New Roman" w:hAnsi="Times New Roman"/>
        </w:rPr>
      </w:pPr>
      <w:r>
        <w:rPr>
          <w:color w:val="000000"/>
          <w:sz w:val="24"/>
        </w:rPr>
        <w:t xml:space="preserve">Плановый размер государственного долга края составит 13 468,4 млн рублей, муниципального долга – 364 млн рублей. </w:t>
      </w:r>
    </w:p>
    <w:p w14:paraId="88020000">
      <w:pPr>
        <w:pStyle w:val="Style_2"/>
        <w:spacing w:line="240" w:lineRule="auto"/>
        <w:ind w:firstLine="709" w:left="0" w:right="0"/>
        <w:jc w:val="both"/>
        <w:rPr>
          <w:rFonts w:ascii="Times New Roman" w:hAnsi="Times New Roman"/>
        </w:rPr>
      </w:pPr>
      <w:r>
        <w:rPr>
          <w:color w:val="000000"/>
          <w:sz w:val="24"/>
        </w:rPr>
        <w:t>Прогноз расходов консолидированного бюджета Камчатского края на 2025–2027 годы соответствует объему доходов, прогнозируемому к поступлению в консолидированный бюджет Камчатского края на соответствующие годы, и объему источников финансирования дефицита (профицита) бюджета Камчатского края на эти же годы. По разделу «Национальная экономика» снижение обусловлено отсутствием средств, поступающих от негосударственной организации ПАО «Федеральная гидрогенерирующая компания – РусГидро».</w:t>
      </w:r>
    </w:p>
    <w:p w14:paraId="89020000">
      <w:pPr>
        <w:pStyle w:val="Style_2"/>
        <w:widowControl w:val="0"/>
        <w:spacing w:line="240" w:lineRule="auto"/>
        <w:ind w:firstLine="709" w:left="0" w:right="0"/>
        <w:jc w:val="both"/>
        <w:rPr>
          <w:rFonts w:ascii="Times New Roman" w:hAnsi="Times New Roman"/>
        </w:rPr>
      </w:pPr>
      <w:r>
        <w:rPr>
          <w:color w:val="000000"/>
          <w:sz w:val="24"/>
        </w:rPr>
        <w:t>Прогноз на период до 202</w:t>
      </w:r>
      <w:r>
        <w:rPr>
          <w:b w:val="0"/>
          <w:i w:val="0"/>
          <w:color w:val="000000"/>
          <w:sz w:val="24"/>
        </w:rPr>
        <w:t>7</w:t>
      </w:r>
      <w:r>
        <w:rPr>
          <w:b w:val="1"/>
          <w:i w:val="1"/>
          <w:color w:val="000000"/>
          <w:sz w:val="24"/>
        </w:rPr>
        <w:t xml:space="preserve"> </w:t>
      </w:r>
      <w:r>
        <w:rPr>
          <w:color w:val="000000"/>
          <w:sz w:val="24"/>
        </w:rPr>
        <w:t xml:space="preserve">года сформирован на основе плановых проектировок краевого и местных бюджетов, учитывает особенности прогнозного периода  в макроэкономике и региональном хозяйственном комплексе, ожидаемый эффект при реализации государственной политики по ускоренному социально-экономическому развитию территорий дальневосточного региона, в том числе формирование положительных тенденций роста качества и масштабов экономики в связи с функционированием ТОР «Камчатка», СПВ, а также федеральную политику межбюджетных отношений в условиях проектируемых параметров инфляции. </w:t>
      </w:r>
    </w:p>
    <w:p w14:paraId="8A020000">
      <w:pPr>
        <w:pStyle w:val="Style_2"/>
        <w:widowControl w:val="0"/>
        <w:spacing w:line="240" w:lineRule="auto"/>
        <w:ind w:firstLine="709" w:left="0" w:right="0"/>
        <w:jc w:val="both"/>
        <w:rPr>
          <w:rFonts w:ascii="Times New Roman" w:hAnsi="Times New Roman"/>
        </w:rPr>
      </w:pPr>
      <w:r>
        <w:rPr>
          <w:color w:val="000000"/>
          <w:sz w:val="24"/>
        </w:rPr>
        <w:t>Учтены положения, обеспечивающие достижение установленных Указами № 204 и № 309 национальных целей развития, а также концептуальные положения и предпосылки, предусмотренные сценарными условиями прогноза национальной экономики, разработанного Минэкономразвития России.</w:t>
      </w:r>
    </w:p>
    <w:p w14:paraId="8B020000">
      <w:pPr>
        <w:pStyle w:val="Style_2"/>
        <w:spacing w:line="240" w:lineRule="auto"/>
        <w:ind w:firstLine="709" w:left="0" w:right="0"/>
        <w:jc w:val="both"/>
        <w:rPr>
          <w:rFonts w:ascii="Times New Roman" w:hAnsi="Times New Roman"/>
        </w:rPr>
      </w:pPr>
      <w:r>
        <w:rPr>
          <w:color w:val="000000"/>
          <w:sz w:val="24"/>
        </w:rPr>
        <w:t>Проведена ежегодная системная работа по совершенствованию регионального налогового законодательства в части оценки бюджетной эффективности ранее установленных налоговых льгот, по результатам которой планируется к отмене льгота в виде пониженной налоговой ставки в размере 2% по единому налогу, уплачиваемому в связи с применением упрощенной системы налогообложения, установленная пунктом 9 статьи 4 Закона Камчатского края от 26.11.2021 № 6 «О некоторых вопросах налогового регулирования в Камчатском крае», как неэффективная (невостребованная).</w:t>
      </w:r>
    </w:p>
    <w:p w14:paraId="8C020000">
      <w:pPr>
        <w:pStyle w:val="Style_2"/>
        <w:widowControl w:val="0"/>
        <w:spacing w:line="240" w:lineRule="auto"/>
        <w:ind w:firstLine="709" w:left="0" w:right="0"/>
        <w:jc w:val="both"/>
        <w:rPr>
          <w:rFonts w:ascii="Times New Roman" w:hAnsi="Times New Roman"/>
        </w:rPr>
      </w:pPr>
      <w:r>
        <w:rPr>
          <w:color w:val="000000"/>
          <w:sz w:val="24"/>
        </w:rPr>
        <w:t>Общая для всех вариантов гипотеза прогноза предусматривает, что по всему горизонту прогнозирования:</w:t>
      </w:r>
    </w:p>
    <w:p w14:paraId="8D020000">
      <w:pPr>
        <w:pStyle w:val="Style_2"/>
        <w:widowControl w:val="0"/>
        <w:spacing w:line="240" w:lineRule="auto"/>
        <w:ind w:firstLine="709" w:left="0" w:right="0"/>
        <w:jc w:val="both"/>
        <w:rPr>
          <w:rFonts w:ascii="Times New Roman" w:hAnsi="Times New Roman"/>
        </w:rPr>
      </w:pPr>
      <w:r>
        <w:rPr>
          <w:color w:val="000000"/>
          <w:sz w:val="24"/>
        </w:rPr>
        <w:t>–</w:t>
      </w:r>
      <w:r>
        <w:rPr>
          <w:color w:val="000000"/>
          <w:sz w:val="24"/>
        </w:rPr>
        <w:t xml:space="preserve"> </w:t>
      </w:r>
      <w:r>
        <w:rPr>
          <w:color w:val="000000"/>
          <w:sz w:val="24"/>
        </w:rPr>
        <w:t>реализуемые государственной межбюджетной политикой принципы и подходы к определению размеров федеральных трансфертов, единая модель осуществления регионом долговой политики обуславливают отсутствие вариантных различий по объемам безвозмездных поступлений и государственного долга;</w:t>
      </w:r>
    </w:p>
    <w:p w14:paraId="8E020000">
      <w:pPr>
        <w:pStyle w:val="Style_2"/>
        <w:widowControl w:val="0"/>
        <w:spacing w:line="240" w:lineRule="auto"/>
        <w:ind w:firstLine="709" w:left="0" w:right="0"/>
        <w:jc w:val="both"/>
        <w:rPr>
          <w:rFonts w:ascii="Times New Roman" w:hAnsi="Times New Roman"/>
        </w:rPr>
      </w:pPr>
      <w:r>
        <w:rPr>
          <w:color w:val="000000"/>
          <w:sz w:val="24"/>
        </w:rPr>
        <w:t>–</w:t>
      </w:r>
      <w:r>
        <w:rPr>
          <w:color w:val="000000"/>
          <w:sz w:val="24"/>
        </w:rPr>
        <w:t xml:space="preserve"> </w:t>
      </w:r>
      <w:r>
        <w:rPr>
          <w:color w:val="000000"/>
          <w:sz w:val="24"/>
        </w:rPr>
        <w:t>расходная политика выстраивается на программном принципе по сложившимся приоритетам с учетом новых актуальных задач, направлена на повышение результативности и эффективности бюджетных расходов с учетом влияния долговременных ограничений, вызванных текущей экономической ситуацией и прогнозируемыми трендами;</w:t>
      </w:r>
    </w:p>
    <w:p w14:paraId="8F020000">
      <w:pPr>
        <w:pStyle w:val="Style_2"/>
        <w:widowControl w:val="0"/>
        <w:spacing w:line="240" w:lineRule="auto"/>
        <w:ind w:firstLine="709" w:left="0" w:right="0"/>
        <w:jc w:val="both"/>
        <w:rPr>
          <w:rFonts w:ascii="Times New Roman" w:hAnsi="Times New Roman"/>
        </w:rPr>
      </w:pPr>
      <w:r>
        <w:rPr>
          <w:color w:val="000000"/>
          <w:sz w:val="24"/>
        </w:rPr>
        <w:t>–</w:t>
      </w:r>
      <w:r>
        <w:rPr>
          <w:color w:val="000000"/>
          <w:sz w:val="24"/>
        </w:rPr>
        <w:t xml:space="preserve"> </w:t>
      </w:r>
      <w:r>
        <w:rPr>
          <w:color w:val="000000"/>
          <w:sz w:val="24"/>
        </w:rPr>
        <w:t xml:space="preserve">в период с 2024 года важным приоритетом налоговой политики Камчатского края будет нацеленность на предоставление субъектам экономики льгот и преференций в целях поддержки в условиях санкционного давления от недружественных стран, а также поддержка значимых инвестиционных проектов, социальных категорий граждан; </w:t>
      </w:r>
    </w:p>
    <w:p w14:paraId="90020000">
      <w:pPr>
        <w:pStyle w:val="Style_2"/>
        <w:widowControl w:val="0"/>
        <w:spacing w:line="240" w:lineRule="auto"/>
        <w:ind w:firstLine="709" w:left="0" w:right="0"/>
        <w:jc w:val="both"/>
        <w:rPr>
          <w:rFonts w:ascii="Times New Roman" w:hAnsi="Times New Roman"/>
        </w:rPr>
      </w:pPr>
      <w:r>
        <w:rPr>
          <w:color w:val="000000"/>
          <w:sz w:val="24"/>
        </w:rPr>
        <w:t>–</w:t>
      </w:r>
      <w:r>
        <w:rPr>
          <w:color w:val="000000"/>
          <w:sz w:val="24"/>
        </w:rPr>
        <w:t xml:space="preserve"> </w:t>
      </w:r>
      <w:r>
        <w:rPr>
          <w:color w:val="000000"/>
          <w:sz w:val="24"/>
        </w:rPr>
        <w:t>объемные показатели бюджетных расходов в значительной степени находятся в зависимости от размеров финансовой помощи из федерального бюджета и поступлений из внебюджетного сектора.</w:t>
      </w:r>
    </w:p>
    <w:p w14:paraId="91020000">
      <w:pPr>
        <w:pStyle w:val="Style_2"/>
        <w:widowControl w:val="0"/>
        <w:spacing w:line="240" w:lineRule="auto"/>
        <w:ind w:firstLine="709" w:left="0" w:right="0"/>
        <w:jc w:val="both"/>
        <w:rPr>
          <w:rFonts w:ascii="Times New Roman" w:hAnsi="Times New Roman"/>
        </w:rPr>
      </w:pPr>
      <w:r>
        <w:rPr>
          <w:i w:val="1"/>
          <w:color w:val="000000"/>
          <w:sz w:val="24"/>
        </w:rPr>
        <w:t>По базовому сценарию,</w:t>
      </w:r>
      <w:r>
        <w:rPr>
          <w:color w:val="000000"/>
          <w:sz w:val="24"/>
        </w:rPr>
        <w:t xml:space="preserve"> в 2027 году с учетом влияния вышеперечисленных факторов и при снижении уровня безвозмездных поступлений на 71,3% от аналогичного показателя 2024 года, основные бюджетные параметры могут иметь следующие тенденции: доходы снизятся до уровня 93,2%, расходы до 87,9% к значению оценки 2024 года. При этом деловая активность обеспечит рост собственного бюджетного потенциала, налоговые и неналоговые доходы возрастут на 124,9%.</w:t>
      </w:r>
    </w:p>
    <w:p w14:paraId="92020000">
      <w:pPr>
        <w:pStyle w:val="Style_2"/>
        <w:widowControl w:val="0"/>
        <w:spacing w:line="240" w:lineRule="auto"/>
        <w:ind w:firstLine="709" w:left="0" w:right="0"/>
        <w:jc w:val="both"/>
        <w:rPr>
          <w:rFonts w:ascii="Times New Roman" w:hAnsi="Times New Roman"/>
        </w:rPr>
      </w:pPr>
      <w:r>
        <w:rPr>
          <w:color w:val="000000"/>
          <w:sz w:val="24"/>
        </w:rPr>
        <w:t>До конца прогнозного периода сложившиеся тенденции и сформировавшаяся политика межбюджетных отношений будут способствовать сохранению структуры и похожих темпов изменения доходов и расходов.  Прогнозируется, что к 2027 году реализация программных мер на всех уровнях власти обеспечит более благоприятные условия региональной экономики и формирования доходной бюджетной базы. Налоговые доходы могут возрасти к оценочному уровню 2024 года до 25,9%. Бюджет прогнозируется с дефицитом в размере 562,7 млн рублей. Государственный долг 13,6%).</w:t>
      </w:r>
    </w:p>
    <w:p w14:paraId="93020000">
      <w:pPr>
        <w:pStyle w:val="Style_2"/>
        <w:widowControl w:val="0"/>
        <w:spacing w:line="240" w:lineRule="auto"/>
        <w:ind w:firstLine="709" w:left="0" w:right="0"/>
        <w:jc w:val="both"/>
        <w:rPr>
          <w:rFonts w:ascii="Times New Roman" w:hAnsi="Times New Roman"/>
        </w:rPr>
      </w:pPr>
      <w:r>
        <w:rPr>
          <w:i w:val="1"/>
          <w:color w:val="000000"/>
          <w:sz w:val="24"/>
        </w:rPr>
        <w:t>По консервативному варианту</w:t>
      </w:r>
      <w:r>
        <w:rPr>
          <w:color w:val="000000"/>
          <w:sz w:val="24"/>
        </w:rPr>
        <w:t xml:space="preserve"> налоговые доходы будут возрастать с пониженным темпом, в связи с чем общая сумма доходов консолидированного бюджета в 2027 году по отношению к значению 2024 года может составить 90,2%, расходов – 84,7%. Собственный экономический потенциал обеспечит темп прироста налоговых и неналоговых доходов до 117,4%.</w:t>
      </w:r>
    </w:p>
    <w:p w14:paraId="94020000">
      <w:pPr>
        <w:pStyle w:val="Style_2"/>
        <w:spacing w:line="240" w:lineRule="auto"/>
        <w:ind/>
        <w:jc w:val="both"/>
        <w:rPr>
          <w:rFonts w:ascii="Times New Roman" w:hAnsi="Times New Roman"/>
          <w:b w:val="1"/>
          <w:i w:val="1"/>
          <w:color w:val="632523"/>
          <w:sz w:val="28"/>
        </w:rPr>
      </w:pPr>
    </w:p>
    <w:p w14:paraId="95020000">
      <w:pPr>
        <w:pStyle w:val="Style_2"/>
        <w:spacing w:line="240" w:lineRule="auto"/>
        <w:ind/>
        <w:rPr>
          <w:rFonts w:ascii="Times New Roman" w:hAnsi="Times New Roman"/>
        </w:rPr>
      </w:pPr>
      <w:r>
        <w:rPr>
          <w:b w:val="1"/>
          <w:color w:val="000000"/>
        </w:rPr>
        <w:t>11. Тарифная политика</w:t>
      </w:r>
    </w:p>
    <w:p w14:paraId="96020000">
      <w:pPr>
        <w:pStyle w:val="Style_2"/>
        <w:widowControl w:val="0"/>
        <w:spacing w:after="0" w:before="0" w:line="240" w:lineRule="auto"/>
        <w:ind w:firstLine="709" w:left="0" w:right="0"/>
        <w:jc w:val="both"/>
        <w:rPr>
          <w:rFonts w:ascii="Times New Roman" w:hAnsi="Times New Roman"/>
        </w:rPr>
      </w:pPr>
      <w:r>
        <w:rPr>
          <w:sz w:val="24"/>
        </w:rPr>
        <w:t>Экономически обоснованные тарифы на электрическую энергию для всех групп потребителей в Камчатском крае остаются одними из самых высоких в Российской Федерации. Для развития региональной промышленности, сохранения конкурентоспособности выпускаемой продукции, поддержки социальной сферы населения, требуется финансовая поддержка на компенсацию тарифов на электрическую как за счет средств краевого бюджета, так и за счет средств целевой субсидии, направляемой ПАО «РусГидро» в бюджет Камчатского края на безвозмездной основе.</w:t>
      </w:r>
    </w:p>
    <w:p w14:paraId="97020000">
      <w:pPr>
        <w:pStyle w:val="Style_2"/>
        <w:widowControl w:val="0"/>
        <w:spacing w:after="0" w:before="0" w:line="240" w:lineRule="auto"/>
        <w:ind w:firstLine="709" w:left="0" w:right="0"/>
        <w:jc w:val="both"/>
        <w:rPr>
          <w:rFonts w:ascii="Times New Roman" w:hAnsi="Times New Roman"/>
        </w:rPr>
      </w:pPr>
      <w:r>
        <w:rPr>
          <w:sz w:val="24"/>
        </w:rPr>
        <w:t xml:space="preserve">Расчетный экономически обоснованный средний тариф на электрическую энергию, поставляемую потребителям Камчатского края, в 2024 году составит: </w:t>
      </w:r>
      <w:r>
        <w:rPr>
          <w:sz w:val="24"/>
        </w:rPr>
        <w:t>в 1 полугодии 2024 года – 16,6824 руб./кВтч (без НДС); во 2 полугодии 2024 года – 22,4566 руб./кВтч (без НДС).</w:t>
      </w:r>
    </w:p>
    <w:p w14:paraId="98020000">
      <w:pPr>
        <w:pStyle w:val="Style_2"/>
        <w:spacing w:after="0" w:before="0" w:line="240" w:lineRule="auto"/>
        <w:ind w:firstLine="709" w:left="0" w:right="0"/>
        <w:jc w:val="both"/>
        <w:rPr>
          <w:rFonts w:ascii="Times New Roman" w:hAnsi="Times New Roman"/>
        </w:rPr>
      </w:pPr>
      <w:r>
        <w:rPr>
          <w:sz w:val="24"/>
        </w:rPr>
        <w:t xml:space="preserve">В рамках исполнения поручений Президента Российской Федерации от 08.12.2015 № Пр-2508 (пункт 11), от 16.03.2016 № Пр-560 (пункт 1 в) в целях создания механизма снижения до среднероссийского уровня тарифов на электрическую энергию в регионах Дальнего Востока без привлечения средств бюджетов бюджетной системы Российской Федерации, в соответствии с постановлением Правительства Российской Федерации от 28.07.2017 № 895 «О достижении на территориях Дальневосточного федерального округа базовых уровней цен (тарифов) на электрическую энергию (мощность)», от 26 ноября 2021 г. № 2062 «О критериях определения потребителей электрической энергии (мощности), не относящихся к населению и приравненным к нему категориям потребителей, в отношении которых на территориях Дальневосточного федерального округа осуществляется доведение цен (тарифов) на электрическую энергию (мощность) до планируемых на следующий период регулирования базовых уровней цен (тарифов) на электрическую энергию (мощность)» (далее – Критерии определения потребителей), распоряжением Правительства Российской Федерации от 27.12.2023 № 3964-р «О тарифах на электрическую энергию (мощность) для субъектов Российской Федерации, входящих в состав Дальневосточного федерального округа, на 2024 год», на 2024 год утверждены тарифы на электрическую энергию, поставляемую следующим категориям потребителей: </w:t>
      </w:r>
    </w:p>
    <w:p w14:paraId="99020000">
      <w:pPr>
        <w:pStyle w:val="Style_2"/>
        <w:spacing w:after="0" w:before="0" w:line="240" w:lineRule="auto"/>
        <w:ind w:firstLine="709" w:left="0" w:right="0"/>
        <w:jc w:val="both"/>
        <w:rPr>
          <w:rFonts w:ascii="Times New Roman" w:hAnsi="Times New Roman"/>
        </w:rPr>
      </w:pPr>
      <w:bookmarkStart w:id="2" w:name="Par0"/>
      <w:bookmarkEnd w:id="2"/>
      <w:r>
        <w:rPr>
          <w:sz w:val="24"/>
        </w:rPr>
        <w:t>1) потребители электрической энергии (мощности), осуществляющие деятельность в границах территорий опережающего социально-экономического развития и Свободного порта Владивосток;</w:t>
      </w:r>
    </w:p>
    <w:p w14:paraId="9A020000">
      <w:pPr>
        <w:pStyle w:val="Style_2"/>
        <w:spacing w:after="0" w:before="0" w:line="240" w:lineRule="auto"/>
        <w:ind w:firstLine="709" w:left="0" w:right="0"/>
        <w:jc w:val="both"/>
        <w:rPr>
          <w:rFonts w:ascii="Times New Roman" w:hAnsi="Times New Roman"/>
        </w:rPr>
      </w:pPr>
      <w:bookmarkStart w:id="3" w:name="Par1"/>
      <w:bookmarkEnd w:id="3"/>
      <w:r>
        <w:rPr>
          <w:sz w:val="24"/>
        </w:rPr>
        <w:t>2) потребители, инвестиционные проекты которых отобраны в порядке, предусмотренном постановлением Правительства Российской Федерации от 16 октября 2014 г. № 1055 «Об утверждении методики отбора инвестиционных проектов, планируемых к реализации на территории Дальнего Востока», за исключением потребителей электрической энергии (мощности), предусмотренных пунктом 1 настоящих критериев;</w:t>
      </w:r>
    </w:p>
    <w:p w14:paraId="9B020000">
      <w:pPr>
        <w:pStyle w:val="Style_2"/>
        <w:spacing w:after="0" w:before="0" w:line="240" w:lineRule="auto"/>
        <w:ind w:firstLine="709" w:left="0" w:right="0"/>
        <w:jc w:val="both"/>
        <w:rPr>
          <w:rFonts w:ascii="Times New Roman" w:hAnsi="Times New Roman"/>
        </w:rPr>
      </w:pPr>
      <w:bookmarkStart w:id="4" w:name="Par2"/>
      <w:bookmarkEnd w:id="4"/>
      <w:r>
        <w:rPr>
          <w:sz w:val="24"/>
        </w:rPr>
        <w:t>3) промышленные потребители электрической энергии (мощности), технологическое присоединение энергопринимающих устройств которых к электрическим сетям осуществлено на высоком, среднем первом и (или) среднем втором уровнях напряжения, реализующие инвестиционные проекты на территориях Дальневосточного федерального округа с ростом потребления электрической энергии более 10 процентов уровня к фактическому объему потребления электрической энергии за 2020 год, за исключением потребителей электрической энергии (мощности), предусмотренных пунктами 1 и 2 настоящих критериев;</w:t>
      </w:r>
    </w:p>
    <w:p w14:paraId="9C020000">
      <w:pPr>
        <w:pStyle w:val="Style_2"/>
        <w:spacing w:after="0" w:before="0" w:line="240" w:lineRule="auto"/>
        <w:ind w:firstLine="709" w:left="0" w:right="0"/>
        <w:jc w:val="both"/>
        <w:rPr>
          <w:rFonts w:ascii="Times New Roman" w:hAnsi="Times New Roman"/>
        </w:rPr>
      </w:pPr>
      <w:r>
        <w:rPr>
          <w:sz w:val="24"/>
        </w:rPr>
        <w:t>4) субъекты малого и среднего предпринимательства, технологическое присоединение энергопринимающих устройств которых к электрическим сетям осуществлено на среднем первом и (или) среднем втором уровнях напряжения, за исключением потребителей электрической энергии (мощности), предусмотренных пунктами 1 - 3 настоящих критериев;</w:t>
      </w:r>
    </w:p>
    <w:p w14:paraId="9D020000">
      <w:pPr>
        <w:pStyle w:val="Style_2"/>
        <w:spacing w:after="0" w:before="0" w:line="240" w:lineRule="auto"/>
        <w:ind w:firstLine="709" w:left="0" w:right="0"/>
        <w:jc w:val="both"/>
        <w:rPr>
          <w:rFonts w:ascii="Times New Roman" w:hAnsi="Times New Roman"/>
        </w:rPr>
      </w:pPr>
      <w:r>
        <w:rPr>
          <w:sz w:val="24"/>
        </w:rPr>
        <w:t>5) потребители электрической энергии (мощности), технологическое присоединение энергопринимающих устройств которых к электрическим сетям осуществлено на низком уровне напряжения, за исключением потребителей электрической энергии (мощности), предусмотренных пунктом 1 настоящих критериев:</w:t>
      </w:r>
    </w:p>
    <w:p w14:paraId="9E020000">
      <w:pPr>
        <w:pStyle w:val="Style_2"/>
        <w:widowControl w:val="0"/>
        <w:spacing w:after="0" w:before="0" w:line="240" w:lineRule="auto"/>
        <w:ind w:firstLine="0" w:left="1069" w:right="0"/>
        <w:contextualSpacing w:val="1"/>
        <w:jc w:val="right"/>
        <w:rPr>
          <w:rFonts w:ascii="Times New Roman" w:hAnsi="Times New Roman"/>
        </w:rPr>
      </w:pPr>
      <w:r>
        <w:rPr>
          <w:sz w:val="24"/>
        </w:rPr>
        <w:t>руб./кВтч (без НДС)</w:t>
      </w:r>
    </w:p>
    <w:tbl>
      <w:tblPr>
        <w:tblStyle w:val="Style_6"/>
        <w:tblInd w:type="dxa" w:w="113"/>
        <w:tblLayout w:type="fixed"/>
        <w:tblCellMar>
          <w:top w:type="dxa" w:w="0"/>
          <w:left w:type="dxa" w:w="108"/>
          <w:bottom w:type="dxa" w:w="0"/>
          <w:right w:type="dxa" w:w="108"/>
        </w:tblCellMar>
      </w:tblPr>
      <w:tblGrid>
        <w:gridCol w:w="3363"/>
        <w:gridCol w:w="561"/>
        <w:gridCol w:w="844"/>
        <w:gridCol w:w="840"/>
        <w:gridCol w:w="703"/>
        <w:gridCol w:w="844"/>
        <w:gridCol w:w="985"/>
        <w:gridCol w:w="984"/>
        <w:gridCol w:w="969"/>
      </w:tblGrid>
      <w:tr>
        <w:trPr>
          <w:trHeight w:hRule="atLeast" w:val="70"/>
        </w:trPr>
        <w:tc>
          <w:tcPr>
            <w:tcW w:type="dxa" w:w="3363"/>
            <w:vMerge w:val="restart"/>
            <w:tcMar>
              <w:top w:type="dxa" w:w="0"/>
              <w:left w:type="dxa" w:w="108"/>
              <w:bottom w:type="dxa" w:w="0"/>
              <w:right w:type="dxa" w:w="108"/>
            </w:tcMar>
            <w:vAlign w:val="center"/>
          </w:tcPr>
          <w:p w14:paraId="9F020000">
            <w:pPr>
              <w:pStyle w:val="Style_2"/>
              <w:widowControl w:val="0"/>
              <w:spacing w:after="0" w:before="0" w:line="240" w:lineRule="auto"/>
              <w:ind w:firstLine="709" w:left="0" w:right="0"/>
              <w:jc w:val="center"/>
              <w:rPr>
                <w:rFonts w:ascii="Times New Roman" w:hAnsi="Times New Roman"/>
                <w:sz w:val="20"/>
              </w:rPr>
            </w:pPr>
          </w:p>
        </w:tc>
        <w:tc>
          <w:tcPr>
            <w:tcW w:type="dxa" w:w="2947"/>
            <w:gridSpan w:val="4"/>
            <w:tcMar>
              <w:top w:type="dxa" w:w="0"/>
              <w:left w:type="dxa" w:w="108"/>
              <w:bottom w:type="dxa" w:w="0"/>
              <w:right w:type="dxa" w:w="108"/>
            </w:tcMar>
            <w:vAlign w:val="center"/>
          </w:tcPr>
          <w:p w14:paraId="A0020000">
            <w:pPr>
              <w:pStyle w:val="Style_2"/>
              <w:widowControl w:val="0"/>
              <w:spacing w:after="0" w:before="0" w:line="240" w:lineRule="auto"/>
              <w:ind w:firstLine="709" w:left="0" w:right="0"/>
              <w:jc w:val="center"/>
              <w:rPr>
                <w:rFonts w:ascii="Times New Roman" w:hAnsi="Times New Roman"/>
                <w:sz w:val="20"/>
              </w:rPr>
            </w:pPr>
            <w:r>
              <w:rPr>
                <w:sz w:val="20"/>
              </w:rPr>
              <w:t>1 полугодие 202</w:t>
            </w:r>
            <w:r>
              <w:rPr>
                <w:sz w:val="20"/>
              </w:rPr>
              <w:t>4</w:t>
            </w:r>
            <w:r>
              <w:rPr>
                <w:sz w:val="20"/>
              </w:rPr>
              <w:t xml:space="preserve"> года</w:t>
            </w:r>
          </w:p>
        </w:tc>
        <w:tc>
          <w:tcPr>
            <w:tcW w:type="dxa" w:w="3782"/>
            <w:gridSpan w:val="4"/>
            <w:tcMar>
              <w:top w:type="dxa" w:w="0"/>
              <w:left w:type="dxa" w:w="108"/>
              <w:bottom w:type="dxa" w:w="0"/>
              <w:right w:type="dxa" w:w="108"/>
            </w:tcMar>
            <w:vAlign w:val="center"/>
          </w:tcPr>
          <w:p w14:paraId="A1020000">
            <w:pPr>
              <w:pStyle w:val="Style_2"/>
              <w:widowControl w:val="0"/>
              <w:spacing w:after="0" w:before="0" w:line="240" w:lineRule="auto"/>
              <w:ind w:firstLine="709" w:left="0" w:right="0"/>
              <w:jc w:val="center"/>
              <w:rPr>
                <w:rFonts w:ascii="Times New Roman" w:hAnsi="Times New Roman"/>
                <w:sz w:val="20"/>
              </w:rPr>
            </w:pPr>
            <w:r>
              <w:rPr>
                <w:sz w:val="20"/>
              </w:rPr>
              <w:t>2</w:t>
            </w:r>
            <w:r>
              <w:rPr>
                <w:sz w:val="20"/>
              </w:rPr>
              <w:t xml:space="preserve"> полугодие 202</w:t>
            </w:r>
            <w:r>
              <w:rPr>
                <w:sz w:val="20"/>
              </w:rPr>
              <w:t>4</w:t>
            </w:r>
            <w:r>
              <w:rPr>
                <w:sz w:val="20"/>
              </w:rPr>
              <w:t xml:space="preserve"> года</w:t>
            </w:r>
          </w:p>
        </w:tc>
      </w:tr>
      <w:tr>
        <w:trPr>
          <w:trHeight w:hRule="atLeast" w:val="266"/>
        </w:trPr>
        <w:tc>
          <w:tcPr>
            <w:tcW w:type="dxa" w:w="3363"/>
            <w:gridSpan w:val="1"/>
            <w:vMerge w:val="continue"/>
            <w:tcMar>
              <w:top w:type="dxa" w:w="0"/>
              <w:left w:type="dxa" w:w="108"/>
              <w:bottom w:type="dxa" w:w="0"/>
              <w:right w:type="dxa" w:w="108"/>
            </w:tcMar>
            <w:vAlign w:val="center"/>
          </w:tcPr>
          <w:p/>
        </w:tc>
        <w:tc>
          <w:tcPr>
            <w:tcW w:type="dxa" w:w="561"/>
            <w:tcMar>
              <w:top w:type="dxa" w:w="0"/>
              <w:left w:type="dxa" w:w="108"/>
              <w:bottom w:type="dxa" w:w="0"/>
              <w:right w:type="dxa" w:w="108"/>
            </w:tcMar>
            <w:vAlign w:val="center"/>
          </w:tcPr>
          <w:p w14:paraId="A2020000">
            <w:pPr>
              <w:pStyle w:val="Style_2"/>
              <w:widowControl w:val="0"/>
              <w:spacing w:after="0" w:before="0" w:line="240" w:lineRule="auto"/>
              <w:ind w:firstLine="0" w:left="0" w:right="0"/>
              <w:jc w:val="left"/>
              <w:rPr>
                <w:rFonts w:ascii="Times New Roman" w:hAnsi="Times New Roman"/>
                <w:sz w:val="20"/>
              </w:rPr>
            </w:pPr>
            <w:r>
              <w:rPr>
                <w:sz w:val="20"/>
              </w:rPr>
              <w:t>ВН</w:t>
            </w:r>
          </w:p>
        </w:tc>
        <w:tc>
          <w:tcPr>
            <w:tcW w:type="dxa" w:w="844"/>
            <w:tcMar>
              <w:top w:type="dxa" w:w="0"/>
              <w:left w:type="dxa" w:w="108"/>
              <w:bottom w:type="dxa" w:w="0"/>
              <w:right w:type="dxa" w:w="108"/>
            </w:tcMar>
            <w:vAlign w:val="center"/>
          </w:tcPr>
          <w:p w14:paraId="A3020000">
            <w:pPr>
              <w:pStyle w:val="Style_2"/>
              <w:widowControl w:val="0"/>
              <w:spacing w:after="0" w:before="0" w:line="240" w:lineRule="auto"/>
              <w:ind w:firstLine="0" w:left="0" w:right="0"/>
              <w:jc w:val="left"/>
              <w:rPr>
                <w:rFonts w:ascii="Times New Roman" w:hAnsi="Times New Roman"/>
                <w:sz w:val="20"/>
              </w:rPr>
            </w:pPr>
            <w:r>
              <w:rPr>
                <w:sz w:val="20"/>
              </w:rPr>
              <w:t>СН-1</w:t>
            </w:r>
          </w:p>
        </w:tc>
        <w:tc>
          <w:tcPr>
            <w:tcW w:type="dxa" w:w="840"/>
            <w:tcMar>
              <w:top w:type="dxa" w:w="0"/>
              <w:left w:type="dxa" w:w="108"/>
              <w:bottom w:type="dxa" w:w="0"/>
              <w:right w:type="dxa" w:w="108"/>
            </w:tcMar>
            <w:vAlign w:val="center"/>
          </w:tcPr>
          <w:p w14:paraId="A4020000">
            <w:pPr>
              <w:pStyle w:val="Style_2"/>
              <w:widowControl w:val="0"/>
              <w:spacing w:after="0" w:before="0" w:line="240" w:lineRule="auto"/>
              <w:ind w:firstLine="0" w:left="0" w:right="0"/>
              <w:jc w:val="left"/>
              <w:rPr>
                <w:rFonts w:ascii="Times New Roman" w:hAnsi="Times New Roman"/>
                <w:sz w:val="20"/>
              </w:rPr>
            </w:pPr>
            <w:r>
              <w:rPr>
                <w:sz w:val="20"/>
              </w:rPr>
              <w:t>СН-II</w:t>
            </w:r>
          </w:p>
        </w:tc>
        <w:tc>
          <w:tcPr>
            <w:tcW w:type="dxa" w:w="703"/>
            <w:tcMar>
              <w:top w:type="dxa" w:w="0"/>
              <w:left w:type="dxa" w:w="108"/>
              <w:bottom w:type="dxa" w:w="0"/>
              <w:right w:type="dxa" w:w="108"/>
            </w:tcMar>
            <w:vAlign w:val="center"/>
          </w:tcPr>
          <w:p w14:paraId="A5020000">
            <w:pPr>
              <w:pStyle w:val="Style_2"/>
              <w:widowControl w:val="0"/>
              <w:spacing w:after="0" w:before="0" w:line="240" w:lineRule="auto"/>
              <w:ind w:firstLine="0" w:left="0" w:right="0"/>
              <w:jc w:val="left"/>
              <w:rPr>
                <w:rFonts w:ascii="Times New Roman" w:hAnsi="Times New Roman"/>
                <w:sz w:val="20"/>
              </w:rPr>
            </w:pPr>
            <w:r>
              <w:rPr>
                <w:sz w:val="20"/>
              </w:rPr>
              <w:t>НН</w:t>
            </w:r>
          </w:p>
        </w:tc>
        <w:tc>
          <w:tcPr>
            <w:tcW w:type="dxa" w:w="844"/>
            <w:tcMar>
              <w:top w:type="dxa" w:w="0"/>
              <w:left w:type="dxa" w:w="108"/>
              <w:bottom w:type="dxa" w:w="0"/>
              <w:right w:type="dxa" w:w="108"/>
            </w:tcMar>
            <w:vAlign w:val="center"/>
          </w:tcPr>
          <w:p w14:paraId="A6020000">
            <w:pPr>
              <w:pStyle w:val="Style_2"/>
              <w:widowControl w:val="0"/>
              <w:spacing w:after="0" w:before="0" w:line="240" w:lineRule="auto"/>
              <w:ind w:firstLine="0" w:left="0" w:right="0"/>
              <w:jc w:val="left"/>
              <w:rPr>
                <w:rFonts w:ascii="Times New Roman" w:hAnsi="Times New Roman"/>
                <w:sz w:val="20"/>
              </w:rPr>
            </w:pPr>
            <w:r>
              <w:rPr>
                <w:sz w:val="20"/>
              </w:rPr>
              <w:t>ВН</w:t>
            </w:r>
          </w:p>
        </w:tc>
        <w:tc>
          <w:tcPr>
            <w:tcW w:type="dxa" w:w="985"/>
            <w:tcMar>
              <w:top w:type="dxa" w:w="0"/>
              <w:left w:type="dxa" w:w="108"/>
              <w:bottom w:type="dxa" w:w="0"/>
              <w:right w:type="dxa" w:w="108"/>
            </w:tcMar>
            <w:vAlign w:val="center"/>
          </w:tcPr>
          <w:p w14:paraId="A7020000">
            <w:pPr>
              <w:pStyle w:val="Style_2"/>
              <w:widowControl w:val="0"/>
              <w:spacing w:after="0" w:before="0" w:line="240" w:lineRule="auto"/>
              <w:ind w:firstLine="0" w:left="0" w:right="0"/>
              <w:jc w:val="left"/>
              <w:rPr>
                <w:rFonts w:ascii="Times New Roman" w:hAnsi="Times New Roman"/>
                <w:sz w:val="20"/>
              </w:rPr>
            </w:pPr>
            <w:r>
              <w:rPr>
                <w:sz w:val="20"/>
              </w:rPr>
              <w:t>СН-1</w:t>
            </w:r>
          </w:p>
        </w:tc>
        <w:tc>
          <w:tcPr>
            <w:tcW w:type="dxa" w:w="984"/>
            <w:tcMar>
              <w:top w:type="dxa" w:w="0"/>
              <w:left w:type="dxa" w:w="108"/>
              <w:bottom w:type="dxa" w:w="0"/>
              <w:right w:type="dxa" w:w="108"/>
            </w:tcMar>
            <w:vAlign w:val="center"/>
          </w:tcPr>
          <w:p w14:paraId="A8020000">
            <w:pPr>
              <w:pStyle w:val="Style_2"/>
              <w:widowControl w:val="0"/>
              <w:spacing w:after="0" w:before="0" w:line="240" w:lineRule="auto"/>
              <w:ind w:firstLine="0" w:left="0" w:right="0"/>
              <w:jc w:val="left"/>
              <w:rPr>
                <w:rFonts w:ascii="Times New Roman" w:hAnsi="Times New Roman"/>
                <w:sz w:val="20"/>
              </w:rPr>
            </w:pPr>
            <w:r>
              <w:rPr>
                <w:sz w:val="20"/>
              </w:rPr>
              <w:t>СН-II</w:t>
            </w:r>
          </w:p>
        </w:tc>
        <w:tc>
          <w:tcPr>
            <w:tcW w:type="dxa" w:w="969"/>
            <w:tcMar>
              <w:top w:type="dxa" w:w="0"/>
              <w:left w:type="dxa" w:w="108"/>
              <w:bottom w:type="dxa" w:w="0"/>
              <w:right w:type="dxa" w:w="108"/>
            </w:tcMar>
            <w:vAlign w:val="center"/>
          </w:tcPr>
          <w:p w14:paraId="A9020000">
            <w:pPr>
              <w:pStyle w:val="Style_2"/>
              <w:widowControl w:val="0"/>
              <w:spacing w:after="0" w:before="0" w:line="240" w:lineRule="auto"/>
              <w:ind w:firstLine="0" w:left="0" w:right="0"/>
              <w:jc w:val="left"/>
              <w:rPr>
                <w:rFonts w:ascii="Times New Roman" w:hAnsi="Times New Roman"/>
                <w:sz w:val="20"/>
              </w:rPr>
            </w:pPr>
            <w:r>
              <w:rPr>
                <w:sz w:val="20"/>
              </w:rPr>
              <w:t>НН</w:t>
            </w:r>
          </w:p>
        </w:tc>
      </w:tr>
      <w:tr>
        <w:trPr>
          <w:trHeight w:hRule="atLeast" w:val="430"/>
        </w:trPr>
        <w:tc>
          <w:tcPr>
            <w:tcW w:type="dxa" w:w="3363"/>
            <w:tcMar>
              <w:top w:type="dxa" w:w="0"/>
              <w:left w:type="dxa" w:w="108"/>
              <w:bottom w:type="dxa" w:w="0"/>
              <w:right w:type="dxa" w:w="108"/>
            </w:tcMar>
            <w:vAlign w:val="center"/>
          </w:tcPr>
          <w:p w14:paraId="AA020000">
            <w:pPr>
              <w:pStyle w:val="Style_2"/>
              <w:widowControl w:val="0"/>
              <w:spacing w:after="0" w:before="0" w:line="240" w:lineRule="auto"/>
              <w:ind w:firstLine="0" w:left="0" w:right="0"/>
              <w:jc w:val="both"/>
              <w:rPr>
                <w:rFonts w:ascii="Times New Roman" w:hAnsi="Times New Roman"/>
                <w:sz w:val="20"/>
              </w:rPr>
            </w:pPr>
            <w:r>
              <w:rPr>
                <w:sz w:val="20"/>
              </w:rPr>
              <w:t>Энергоснабжающие организации Камчатского края</w:t>
            </w:r>
          </w:p>
        </w:tc>
        <w:tc>
          <w:tcPr>
            <w:tcW w:type="dxa" w:w="561"/>
            <w:tcMar>
              <w:top w:type="dxa" w:w="0"/>
              <w:left w:type="dxa" w:w="108"/>
              <w:bottom w:type="dxa" w:w="0"/>
              <w:right w:type="dxa" w:w="108"/>
            </w:tcMar>
            <w:vAlign w:val="center"/>
          </w:tcPr>
          <w:p w14:paraId="AB020000">
            <w:pPr>
              <w:pStyle w:val="Style_2"/>
              <w:widowControl w:val="0"/>
              <w:spacing w:after="0" w:before="0" w:line="240" w:lineRule="auto"/>
              <w:ind w:firstLine="0" w:left="0" w:right="0"/>
              <w:jc w:val="left"/>
              <w:rPr>
                <w:rFonts w:ascii="Times New Roman" w:hAnsi="Times New Roman"/>
                <w:sz w:val="20"/>
              </w:rPr>
            </w:pPr>
            <w:r>
              <w:rPr>
                <w:sz w:val="20"/>
              </w:rPr>
              <w:t>6,31</w:t>
            </w:r>
          </w:p>
        </w:tc>
        <w:tc>
          <w:tcPr>
            <w:tcW w:type="dxa" w:w="844"/>
            <w:tcMar>
              <w:top w:type="dxa" w:w="0"/>
              <w:left w:type="dxa" w:w="108"/>
              <w:bottom w:type="dxa" w:w="0"/>
              <w:right w:type="dxa" w:w="108"/>
            </w:tcMar>
            <w:vAlign w:val="center"/>
          </w:tcPr>
          <w:p w14:paraId="AC020000">
            <w:pPr>
              <w:pStyle w:val="Style_2"/>
              <w:widowControl w:val="0"/>
              <w:spacing w:after="0" w:before="0" w:line="240" w:lineRule="auto"/>
              <w:ind w:firstLine="0" w:left="0" w:right="0"/>
              <w:jc w:val="left"/>
              <w:rPr>
                <w:rFonts w:ascii="Times New Roman" w:hAnsi="Times New Roman"/>
                <w:sz w:val="20"/>
              </w:rPr>
            </w:pPr>
            <w:r>
              <w:rPr>
                <w:sz w:val="20"/>
              </w:rPr>
              <w:t>6,41</w:t>
            </w:r>
          </w:p>
        </w:tc>
        <w:tc>
          <w:tcPr>
            <w:tcW w:type="dxa" w:w="840"/>
            <w:tcMar>
              <w:top w:type="dxa" w:w="0"/>
              <w:left w:type="dxa" w:w="108"/>
              <w:bottom w:type="dxa" w:w="0"/>
              <w:right w:type="dxa" w:w="108"/>
            </w:tcMar>
            <w:vAlign w:val="center"/>
          </w:tcPr>
          <w:p w14:paraId="AD020000">
            <w:pPr>
              <w:pStyle w:val="Style_2"/>
              <w:widowControl w:val="0"/>
              <w:spacing w:after="0" w:before="0" w:line="240" w:lineRule="auto"/>
              <w:ind w:firstLine="0" w:left="0" w:right="0"/>
              <w:jc w:val="left"/>
              <w:rPr>
                <w:rFonts w:ascii="Times New Roman" w:hAnsi="Times New Roman"/>
                <w:sz w:val="20"/>
              </w:rPr>
            </w:pPr>
            <w:r>
              <w:rPr>
                <w:sz w:val="20"/>
              </w:rPr>
              <w:t>6,68</w:t>
            </w:r>
          </w:p>
        </w:tc>
        <w:tc>
          <w:tcPr>
            <w:tcW w:type="dxa" w:w="703"/>
            <w:tcMar>
              <w:top w:type="dxa" w:w="0"/>
              <w:left w:type="dxa" w:w="108"/>
              <w:bottom w:type="dxa" w:w="0"/>
              <w:right w:type="dxa" w:w="108"/>
            </w:tcMar>
            <w:vAlign w:val="center"/>
          </w:tcPr>
          <w:p w14:paraId="AE020000">
            <w:pPr>
              <w:pStyle w:val="Style_2"/>
              <w:widowControl w:val="0"/>
              <w:spacing w:after="0" w:before="0" w:line="240" w:lineRule="auto"/>
              <w:ind w:firstLine="0" w:left="0" w:right="0"/>
              <w:jc w:val="left"/>
              <w:rPr>
                <w:rFonts w:ascii="Times New Roman" w:hAnsi="Times New Roman"/>
                <w:sz w:val="20"/>
              </w:rPr>
            </w:pPr>
            <w:r>
              <w:rPr>
                <w:sz w:val="20"/>
              </w:rPr>
              <w:t>6,96</w:t>
            </w:r>
          </w:p>
        </w:tc>
        <w:tc>
          <w:tcPr>
            <w:tcW w:type="dxa" w:w="844"/>
            <w:tcMar>
              <w:top w:type="dxa" w:w="0"/>
              <w:left w:type="dxa" w:w="108"/>
              <w:bottom w:type="dxa" w:w="0"/>
              <w:right w:type="dxa" w:w="108"/>
            </w:tcMar>
            <w:vAlign w:val="center"/>
          </w:tcPr>
          <w:p w14:paraId="AF020000">
            <w:pPr>
              <w:pStyle w:val="Style_2"/>
              <w:widowControl w:val="0"/>
              <w:spacing w:after="0" w:before="0" w:line="240" w:lineRule="auto"/>
              <w:ind w:firstLine="0" w:left="0" w:right="0"/>
              <w:jc w:val="left"/>
              <w:rPr>
                <w:rFonts w:ascii="Times New Roman" w:hAnsi="Times New Roman"/>
                <w:sz w:val="20"/>
              </w:rPr>
            </w:pPr>
            <w:r>
              <w:rPr>
                <w:sz w:val="20"/>
              </w:rPr>
              <w:t>10,04</w:t>
            </w:r>
          </w:p>
        </w:tc>
        <w:tc>
          <w:tcPr>
            <w:tcW w:type="dxa" w:w="985"/>
            <w:tcMar>
              <w:top w:type="dxa" w:w="0"/>
              <w:left w:type="dxa" w:w="108"/>
              <w:bottom w:type="dxa" w:w="0"/>
              <w:right w:type="dxa" w:w="108"/>
            </w:tcMar>
            <w:vAlign w:val="center"/>
          </w:tcPr>
          <w:p w14:paraId="B0020000">
            <w:pPr>
              <w:pStyle w:val="Style_2"/>
              <w:widowControl w:val="0"/>
              <w:spacing w:after="0" w:before="0" w:line="240" w:lineRule="auto"/>
              <w:ind w:firstLine="0" w:left="0" w:right="0"/>
              <w:jc w:val="left"/>
              <w:rPr>
                <w:rFonts w:ascii="Times New Roman" w:hAnsi="Times New Roman"/>
                <w:sz w:val="20"/>
              </w:rPr>
            </w:pPr>
            <w:r>
              <w:rPr>
                <w:sz w:val="20"/>
              </w:rPr>
              <w:t>10,20</w:t>
            </w:r>
          </w:p>
        </w:tc>
        <w:tc>
          <w:tcPr>
            <w:tcW w:type="dxa" w:w="984"/>
            <w:tcMar>
              <w:top w:type="dxa" w:w="0"/>
              <w:left w:type="dxa" w:w="108"/>
              <w:bottom w:type="dxa" w:w="0"/>
              <w:right w:type="dxa" w:w="108"/>
            </w:tcMar>
            <w:vAlign w:val="center"/>
          </w:tcPr>
          <w:p w14:paraId="B1020000">
            <w:pPr>
              <w:pStyle w:val="Style_2"/>
              <w:widowControl w:val="0"/>
              <w:spacing w:after="0" w:before="0" w:line="240" w:lineRule="auto"/>
              <w:ind w:firstLine="0" w:left="0" w:right="0"/>
              <w:jc w:val="left"/>
              <w:rPr>
                <w:rFonts w:ascii="Times New Roman" w:hAnsi="Times New Roman"/>
                <w:sz w:val="20"/>
              </w:rPr>
            </w:pPr>
            <w:r>
              <w:rPr>
                <w:sz w:val="20"/>
              </w:rPr>
              <w:t>10,63</w:t>
            </w:r>
          </w:p>
        </w:tc>
        <w:tc>
          <w:tcPr>
            <w:tcW w:type="dxa" w:w="969"/>
            <w:tcMar>
              <w:top w:type="dxa" w:w="0"/>
              <w:left w:type="dxa" w:w="108"/>
              <w:bottom w:type="dxa" w:w="0"/>
              <w:right w:type="dxa" w:w="108"/>
            </w:tcMar>
            <w:vAlign w:val="center"/>
          </w:tcPr>
          <w:p w14:paraId="B2020000">
            <w:pPr>
              <w:pStyle w:val="Style_2"/>
              <w:widowControl w:val="0"/>
              <w:spacing w:after="0" w:before="0" w:line="240" w:lineRule="auto"/>
              <w:ind w:firstLine="0" w:left="0" w:right="0"/>
              <w:jc w:val="left"/>
              <w:rPr>
                <w:rFonts w:ascii="Times New Roman" w:hAnsi="Times New Roman"/>
                <w:sz w:val="20"/>
              </w:rPr>
            </w:pPr>
            <w:r>
              <w:rPr>
                <w:sz w:val="20"/>
              </w:rPr>
              <w:t>11,07</w:t>
            </w:r>
          </w:p>
        </w:tc>
      </w:tr>
    </w:tbl>
    <w:p w14:paraId="B3020000">
      <w:pPr>
        <w:pStyle w:val="Style_2"/>
        <w:spacing w:after="0" w:before="60" w:line="240" w:lineRule="auto"/>
        <w:ind w:firstLine="709" w:left="0" w:right="0"/>
        <w:jc w:val="both"/>
        <w:rPr>
          <w:rFonts w:ascii="Times New Roman" w:hAnsi="Times New Roman"/>
          <w:sz w:val="28"/>
        </w:rPr>
      </w:pPr>
    </w:p>
    <w:p w14:paraId="B4020000">
      <w:pPr>
        <w:pStyle w:val="Style_2"/>
        <w:spacing w:after="0" w:before="60" w:line="240" w:lineRule="auto"/>
        <w:ind w:firstLine="709" w:left="0" w:right="0"/>
        <w:jc w:val="both"/>
        <w:rPr>
          <w:rFonts w:ascii="Times New Roman" w:hAnsi="Times New Roman"/>
        </w:rPr>
      </w:pPr>
      <w:r>
        <w:rPr>
          <w:sz w:val="24"/>
        </w:rPr>
        <w:t>6) потребители электрической энергии (мощности), финансирование деятельности которых осуществляется за счет средств бюджетов бюджетной системы Российской Федерации, в отношении которых поэтапно в течение 5 лет сокращается разница между ценами (тарифами) на электрическую энергию (мощность) и базовыми уровнями цен (тарифов) на электрическую энергию (мощность):</w:t>
      </w:r>
    </w:p>
    <w:p w14:paraId="B5020000">
      <w:pPr>
        <w:pStyle w:val="Style_2"/>
        <w:widowControl w:val="0"/>
        <w:spacing w:after="0" w:before="0" w:line="240" w:lineRule="auto"/>
        <w:ind w:firstLine="0" w:left="1069" w:right="0"/>
        <w:contextualSpacing w:val="1"/>
        <w:jc w:val="right"/>
        <w:rPr>
          <w:rFonts w:ascii="Times New Roman" w:hAnsi="Times New Roman"/>
        </w:rPr>
      </w:pPr>
      <w:r>
        <w:rPr>
          <w:sz w:val="24"/>
        </w:rPr>
        <w:t>руб./кВтч (без НДС)</w:t>
      </w:r>
    </w:p>
    <w:tbl>
      <w:tblPr>
        <w:tblStyle w:val="Style_6"/>
        <w:tblInd w:type="dxa" w:w="113"/>
        <w:tblLayout w:type="fixed"/>
        <w:tblCellMar>
          <w:top w:type="dxa" w:w="0"/>
          <w:left w:type="dxa" w:w="108"/>
          <w:bottom w:type="dxa" w:w="0"/>
          <w:right w:type="dxa" w:w="108"/>
        </w:tblCellMar>
      </w:tblPr>
      <w:tblGrid>
        <w:gridCol w:w="3462"/>
        <w:gridCol w:w="752"/>
        <w:gridCol w:w="753"/>
        <w:gridCol w:w="905"/>
        <w:gridCol w:w="905"/>
        <w:gridCol w:w="752"/>
        <w:gridCol w:w="759"/>
        <w:gridCol w:w="900"/>
        <w:gridCol w:w="906"/>
      </w:tblGrid>
      <w:tr>
        <w:trPr>
          <w:trHeight w:hRule="atLeast" w:val="273"/>
        </w:trPr>
        <w:tc>
          <w:tcPr>
            <w:tcW w:type="dxa" w:w="3462"/>
            <w:vMerge w:val="restart"/>
            <w:tcMar>
              <w:top w:type="dxa" w:w="0"/>
              <w:left w:type="dxa" w:w="108"/>
              <w:bottom w:type="dxa" w:w="0"/>
              <w:right w:type="dxa" w:w="108"/>
            </w:tcMar>
            <w:vAlign w:val="center"/>
          </w:tcPr>
          <w:p w14:paraId="B6020000">
            <w:pPr>
              <w:pStyle w:val="Style_2"/>
              <w:widowControl w:val="0"/>
              <w:spacing w:after="0" w:before="0" w:line="240" w:lineRule="auto"/>
              <w:ind/>
              <w:jc w:val="center"/>
              <w:rPr>
                <w:rFonts w:ascii="Times New Roman" w:hAnsi="Times New Roman"/>
                <w:b w:val="0"/>
                <w:caps w:val="1"/>
                <w:sz w:val="20"/>
              </w:rPr>
            </w:pPr>
            <w:r>
              <w:rPr>
                <w:b w:val="0"/>
                <w:caps w:val="1"/>
                <w:sz w:val="20"/>
              </w:rPr>
              <w:t>Энергоснабжающая организация</w:t>
            </w:r>
          </w:p>
        </w:tc>
        <w:tc>
          <w:tcPr>
            <w:tcW w:type="dxa" w:w="3314"/>
            <w:gridSpan w:val="4"/>
            <w:tcMar>
              <w:top w:type="dxa" w:w="0"/>
              <w:left w:type="dxa" w:w="108"/>
              <w:bottom w:type="dxa" w:w="0"/>
              <w:right w:type="dxa" w:w="108"/>
            </w:tcMar>
            <w:vAlign w:val="center"/>
          </w:tcPr>
          <w:p w14:paraId="B7020000">
            <w:pPr>
              <w:pStyle w:val="Style_2"/>
              <w:widowControl w:val="0"/>
              <w:spacing w:after="0" w:before="0" w:line="240" w:lineRule="auto"/>
              <w:ind w:firstLine="709" w:left="0" w:right="0"/>
              <w:jc w:val="both"/>
              <w:rPr>
                <w:rFonts w:ascii="Times New Roman" w:hAnsi="Times New Roman"/>
                <w:b w:val="0"/>
                <w:caps w:val="1"/>
                <w:sz w:val="20"/>
              </w:rPr>
            </w:pPr>
            <w:r>
              <w:rPr>
                <w:b w:val="0"/>
                <w:caps w:val="1"/>
                <w:sz w:val="20"/>
              </w:rPr>
              <w:t>1 полугодие 202</w:t>
            </w:r>
            <w:r>
              <w:rPr>
                <w:b w:val="0"/>
                <w:caps w:val="1"/>
                <w:sz w:val="20"/>
              </w:rPr>
              <w:t>4</w:t>
            </w:r>
            <w:r>
              <w:rPr>
                <w:b w:val="0"/>
                <w:caps w:val="1"/>
                <w:sz w:val="20"/>
              </w:rPr>
              <w:t xml:space="preserve"> года</w:t>
            </w:r>
          </w:p>
        </w:tc>
        <w:tc>
          <w:tcPr>
            <w:tcW w:type="dxa" w:w="3316"/>
            <w:gridSpan w:val="4"/>
            <w:tcMar>
              <w:top w:type="dxa" w:w="0"/>
              <w:left w:type="dxa" w:w="108"/>
              <w:bottom w:type="dxa" w:w="0"/>
              <w:right w:type="dxa" w:w="108"/>
            </w:tcMar>
            <w:vAlign w:val="center"/>
          </w:tcPr>
          <w:p w14:paraId="B8020000">
            <w:pPr>
              <w:pStyle w:val="Style_2"/>
              <w:widowControl w:val="0"/>
              <w:spacing w:after="0" w:before="0" w:line="240" w:lineRule="auto"/>
              <w:ind w:firstLine="709" w:left="0" w:right="0"/>
              <w:jc w:val="both"/>
              <w:rPr>
                <w:rFonts w:ascii="Times New Roman" w:hAnsi="Times New Roman"/>
                <w:b w:val="0"/>
                <w:caps w:val="1"/>
                <w:sz w:val="20"/>
              </w:rPr>
            </w:pPr>
            <w:r>
              <w:rPr>
                <w:b w:val="0"/>
                <w:caps w:val="1"/>
                <w:sz w:val="20"/>
              </w:rPr>
              <w:t>2</w:t>
            </w:r>
            <w:r>
              <w:rPr>
                <w:b w:val="0"/>
                <w:caps w:val="1"/>
                <w:sz w:val="20"/>
              </w:rPr>
              <w:t xml:space="preserve"> полугодие 202</w:t>
            </w:r>
            <w:r>
              <w:rPr>
                <w:b w:val="0"/>
                <w:caps w:val="1"/>
                <w:sz w:val="20"/>
              </w:rPr>
              <w:t>4</w:t>
            </w:r>
            <w:r>
              <w:rPr>
                <w:b w:val="0"/>
                <w:caps w:val="1"/>
                <w:sz w:val="20"/>
              </w:rPr>
              <w:t xml:space="preserve"> года</w:t>
            </w:r>
          </w:p>
        </w:tc>
      </w:tr>
      <w:tr>
        <w:trPr>
          <w:trHeight w:hRule="atLeast" w:val="250"/>
        </w:trPr>
        <w:tc>
          <w:tcPr>
            <w:tcW w:type="dxa" w:w="3462"/>
            <w:gridSpan w:val="1"/>
            <w:vMerge w:val="continue"/>
            <w:tcMar>
              <w:top w:type="dxa" w:w="0"/>
              <w:left w:type="dxa" w:w="108"/>
              <w:bottom w:type="dxa" w:w="0"/>
              <w:right w:type="dxa" w:w="108"/>
            </w:tcMar>
            <w:vAlign w:val="center"/>
          </w:tcPr>
          <w:p/>
        </w:tc>
        <w:tc>
          <w:tcPr>
            <w:tcW w:type="dxa" w:w="752"/>
            <w:tcMar>
              <w:top w:type="dxa" w:w="0"/>
              <w:left w:type="dxa" w:w="108"/>
              <w:bottom w:type="dxa" w:w="0"/>
              <w:right w:type="dxa" w:w="108"/>
            </w:tcMar>
            <w:vAlign w:val="center"/>
          </w:tcPr>
          <w:p w14:paraId="B9020000">
            <w:pPr>
              <w:pStyle w:val="Style_2"/>
              <w:widowControl w:val="0"/>
              <w:spacing w:after="0" w:before="0" w:line="240" w:lineRule="auto"/>
              <w:ind/>
              <w:jc w:val="center"/>
              <w:rPr>
                <w:rFonts w:ascii="Times New Roman" w:hAnsi="Times New Roman"/>
                <w:b w:val="0"/>
                <w:caps w:val="1"/>
                <w:sz w:val="20"/>
              </w:rPr>
            </w:pPr>
            <w:r>
              <w:rPr>
                <w:b w:val="0"/>
                <w:caps w:val="1"/>
                <w:sz w:val="20"/>
              </w:rPr>
              <w:t>ВН</w:t>
            </w:r>
          </w:p>
        </w:tc>
        <w:tc>
          <w:tcPr>
            <w:tcW w:type="dxa" w:w="753"/>
            <w:tcMar>
              <w:top w:type="dxa" w:w="0"/>
              <w:left w:type="dxa" w:w="108"/>
              <w:bottom w:type="dxa" w:w="0"/>
              <w:right w:type="dxa" w:w="108"/>
            </w:tcMar>
            <w:vAlign w:val="center"/>
          </w:tcPr>
          <w:p w14:paraId="BA020000">
            <w:pPr>
              <w:pStyle w:val="Style_2"/>
              <w:widowControl w:val="0"/>
              <w:spacing w:after="0" w:before="0" w:line="240" w:lineRule="auto"/>
              <w:ind/>
              <w:jc w:val="center"/>
              <w:rPr>
                <w:rFonts w:ascii="Times New Roman" w:hAnsi="Times New Roman"/>
                <w:b w:val="0"/>
                <w:caps w:val="1"/>
                <w:sz w:val="20"/>
              </w:rPr>
            </w:pPr>
            <w:r>
              <w:rPr>
                <w:b w:val="0"/>
                <w:caps w:val="1"/>
                <w:sz w:val="20"/>
              </w:rPr>
              <w:t>СН-1</w:t>
            </w:r>
          </w:p>
        </w:tc>
        <w:tc>
          <w:tcPr>
            <w:tcW w:type="dxa" w:w="905"/>
            <w:tcMar>
              <w:top w:type="dxa" w:w="0"/>
              <w:left w:type="dxa" w:w="108"/>
              <w:bottom w:type="dxa" w:w="0"/>
              <w:right w:type="dxa" w:w="108"/>
            </w:tcMar>
            <w:vAlign w:val="center"/>
          </w:tcPr>
          <w:p w14:paraId="BB020000">
            <w:pPr>
              <w:pStyle w:val="Style_2"/>
              <w:widowControl w:val="0"/>
              <w:spacing w:after="0" w:before="0" w:line="240" w:lineRule="auto"/>
              <w:ind/>
              <w:jc w:val="center"/>
              <w:rPr>
                <w:rFonts w:ascii="Times New Roman" w:hAnsi="Times New Roman"/>
                <w:b w:val="0"/>
                <w:caps w:val="1"/>
                <w:sz w:val="20"/>
              </w:rPr>
            </w:pPr>
            <w:r>
              <w:rPr>
                <w:b w:val="0"/>
                <w:caps w:val="1"/>
                <w:sz w:val="20"/>
              </w:rPr>
              <w:t>СН-II</w:t>
            </w:r>
          </w:p>
        </w:tc>
        <w:tc>
          <w:tcPr>
            <w:tcW w:type="dxa" w:w="905"/>
            <w:tcMar>
              <w:top w:type="dxa" w:w="0"/>
              <w:left w:type="dxa" w:w="108"/>
              <w:bottom w:type="dxa" w:w="0"/>
              <w:right w:type="dxa" w:w="108"/>
            </w:tcMar>
            <w:vAlign w:val="center"/>
          </w:tcPr>
          <w:p w14:paraId="BC020000">
            <w:pPr>
              <w:pStyle w:val="Style_2"/>
              <w:widowControl w:val="0"/>
              <w:spacing w:after="0" w:before="0" w:line="240" w:lineRule="auto"/>
              <w:ind/>
              <w:jc w:val="center"/>
              <w:rPr>
                <w:rFonts w:ascii="Times New Roman" w:hAnsi="Times New Roman"/>
                <w:b w:val="0"/>
                <w:caps w:val="1"/>
                <w:sz w:val="20"/>
              </w:rPr>
            </w:pPr>
            <w:r>
              <w:rPr>
                <w:b w:val="0"/>
                <w:caps w:val="1"/>
                <w:sz w:val="20"/>
              </w:rPr>
              <w:t>НН</w:t>
            </w:r>
          </w:p>
        </w:tc>
        <w:tc>
          <w:tcPr>
            <w:tcW w:type="dxa" w:w="752"/>
            <w:tcMar>
              <w:top w:type="dxa" w:w="0"/>
              <w:left w:type="dxa" w:w="108"/>
              <w:bottom w:type="dxa" w:w="0"/>
              <w:right w:type="dxa" w:w="108"/>
            </w:tcMar>
            <w:vAlign w:val="center"/>
          </w:tcPr>
          <w:p w14:paraId="BD020000">
            <w:pPr>
              <w:pStyle w:val="Style_2"/>
              <w:widowControl w:val="0"/>
              <w:spacing w:after="0" w:before="0" w:line="240" w:lineRule="auto"/>
              <w:ind/>
              <w:jc w:val="center"/>
              <w:rPr>
                <w:rFonts w:ascii="Times New Roman" w:hAnsi="Times New Roman"/>
                <w:b w:val="0"/>
                <w:caps w:val="1"/>
                <w:sz w:val="20"/>
              </w:rPr>
            </w:pPr>
            <w:r>
              <w:rPr>
                <w:b w:val="0"/>
                <w:caps w:val="1"/>
                <w:sz w:val="20"/>
              </w:rPr>
              <w:t>ВН</w:t>
            </w:r>
          </w:p>
        </w:tc>
        <w:tc>
          <w:tcPr>
            <w:tcW w:type="dxa" w:w="759"/>
            <w:tcMar>
              <w:top w:type="dxa" w:w="0"/>
              <w:left w:type="dxa" w:w="108"/>
              <w:bottom w:type="dxa" w:w="0"/>
              <w:right w:type="dxa" w:w="108"/>
            </w:tcMar>
            <w:vAlign w:val="center"/>
          </w:tcPr>
          <w:p w14:paraId="BE020000">
            <w:pPr>
              <w:pStyle w:val="Style_2"/>
              <w:widowControl w:val="0"/>
              <w:spacing w:after="0" w:before="0" w:line="240" w:lineRule="auto"/>
              <w:ind/>
              <w:jc w:val="center"/>
              <w:rPr>
                <w:rFonts w:ascii="Times New Roman" w:hAnsi="Times New Roman"/>
                <w:b w:val="0"/>
                <w:caps w:val="1"/>
                <w:sz w:val="20"/>
              </w:rPr>
            </w:pPr>
            <w:r>
              <w:rPr>
                <w:b w:val="0"/>
                <w:caps w:val="1"/>
                <w:sz w:val="20"/>
              </w:rPr>
              <w:t>СН-1</w:t>
            </w:r>
          </w:p>
        </w:tc>
        <w:tc>
          <w:tcPr>
            <w:tcW w:type="dxa" w:w="900"/>
            <w:tcMar>
              <w:top w:type="dxa" w:w="0"/>
              <w:left w:type="dxa" w:w="108"/>
              <w:bottom w:type="dxa" w:w="0"/>
              <w:right w:type="dxa" w:w="108"/>
            </w:tcMar>
            <w:vAlign w:val="center"/>
          </w:tcPr>
          <w:p w14:paraId="BF020000">
            <w:pPr>
              <w:pStyle w:val="Style_2"/>
              <w:widowControl w:val="0"/>
              <w:spacing w:after="0" w:before="0" w:line="240" w:lineRule="auto"/>
              <w:ind/>
              <w:jc w:val="center"/>
              <w:rPr>
                <w:rFonts w:ascii="Times New Roman" w:hAnsi="Times New Roman"/>
                <w:b w:val="0"/>
                <w:caps w:val="1"/>
                <w:sz w:val="20"/>
              </w:rPr>
            </w:pPr>
            <w:r>
              <w:rPr>
                <w:b w:val="0"/>
                <w:caps w:val="1"/>
                <w:sz w:val="20"/>
              </w:rPr>
              <w:t>СН-II</w:t>
            </w:r>
          </w:p>
        </w:tc>
        <w:tc>
          <w:tcPr>
            <w:tcW w:type="dxa" w:w="906"/>
            <w:tcMar>
              <w:top w:type="dxa" w:w="0"/>
              <w:left w:type="dxa" w:w="108"/>
              <w:bottom w:type="dxa" w:w="0"/>
              <w:right w:type="dxa" w:w="108"/>
            </w:tcMar>
            <w:vAlign w:val="center"/>
          </w:tcPr>
          <w:p w14:paraId="C0020000">
            <w:pPr>
              <w:pStyle w:val="Style_2"/>
              <w:widowControl w:val="0"/>
              <w:spacing w:after="0" w:before="0" w:line="240" w:lineRule="auto"/>
              <w:ind/>
              <w:jc w:val="center"/>
              <w:rPr>
                <w:rFonts w:ascii="Times New Roman" w:hAnsi="Times New Roman"/>
                <w:b w:val="0"/>
                <w:caps w:val="1"/>
                <w:sz w:val="20"/>
              </w:rPr>
            </w:pPr>
            <w:r>
              <w:rPr>
                <w:b w:val="0"/>
                <w:caps w:val="1"/>
                <w:sz w:val="20"/>
              </w:rPr>
              <w:t>НН</w:t>
            </w:r>
          </w:p>
        </w:tc>
      </w:tr>
      <w:tr>
        <w:trPr>
          <w:trHeight w:hRule="atLeast" w:val="430"/>
        </w:trPr>
        <w:tc>
          <w:tcPr>
            <w:tcW w:type="dxa" w:w="3462"/>
            <w:tcMar>
              <w:top w:type="dxa" w:w="0"/>
              <w:left w:type="dxa" w:w="108"/>
              <w:bottom w:type="dxa" w:w="0"/>
              <w:right w:type="dxa" w:w="108"/>
            </w:tcMar>
            <w:vAlign w:val="center"/>
          </w:tcPr>
          <w:p w14:paraId="C1020000">
            <w:pPr>
              <w:pStyle w:val="Style_2"/>
              <w:widowControl w:val="0"/>
              <w:spacing w:after="0" w:before="0" w:line="240" w:lineRule="auto"/>
              <w:ind/>
              <w:jc w:val="left"/>
              <w:rPr>
                <w:rFonts w:ascii="Times New Roman" w:hAnsi="Times New Roman"/>
                <w:b w:val="0"/>
                <w:caps w:val="1"/>
                <w:sz w:val="20"/>
              </w:rPr>
            </w:pPr>
            <w:r>
              <w:rPr>
                <w:b w:val="0"/>
                <w:caps w:val="1"/>
                <w:sz w:val="20"/>
              </w:rPr>
              <w:t>ПАО «Камчатскэнерго» (Центральный энергоузел)</w:t>
            </w:r>
          </w:p>
        </w:tc>
        <w:tc>
          <w:tcPr>
            <w:tcW w:type="dxa" w:w="752"/>
            <w:tcMar>
              <w:top w:type="dxa" w:w="0"/>
              <w:left w:type="dxa" w:w="108"/>
              <w:bottom w:type="dxa" w:w="0"/>
              <w:right w:type="dxa" w:w="108"/>
            </w:tcMar>
            <w:vAlign w:val="center"/>
          </w:tcPr>
          <w:p w14:paraId="C2020000">
            <w:pPr>
              <w:pStyle w:val="Style_2"/>
              <w:widowControl w:val="0"/>
              <w:spacing w:after="0" w:before="0" w:line="240" w:lineRule="auto"/>
              <w:ind/>
              <w:jc w:val="center"/>
              <w:rPr>
                <w:rFonts w:ascii="Times New Roman" w:hAnsi="Times New Roman"/>
                <w:b w:val="0"/>
                <w:caps w:val="1"/>
                <w:sz w:val="20"/>
              </w:rPr>
            </w:pPr>
            <w:r>
              <w:rPr>
                <w:b w:val="0"/>
                <w:caps w:val="1"/>
                <w:sz w:val="20"/>
              </w:rPr>
              <w:t>6,77</w:t>
            </w:r>
          </w:p>
        </w:tc>
        <w:tc>
          <w:tcPr>
            <w:tcW w:type="dxa" w:w="753"/>
            <w:tcMar>
              <w:top w:type="dxa" w:w="0"/>
              <w:left w:type="dxa" w:w="108"/>
              <w:bottom w:type="dxa" w:w="0"/>
              <w:right w:type="dxa" w:w="108"/>
            </w:tcMar>
            <w:vAlign w:val="center"/>
          </w:tcPr>
          <w:p w14:paraId="C3020000">
            <w:pPr>
              <w:pStyle w:val="Style_2"/>
              <w:widowControl w:val="0"/>
              <w:spacing w:after="0" w:before="0" w:line="240" w:lineRule="auto"/>
              <w:ind/>
              <w:jc w:val="center"/>
              <w:rPr>
                <w:rFonts w:ascii="Times New Roman" w:hAnsi="Times New Roman"/>
                <w:b w:val="0"/>
                <w:caps w:val="1"/>
                <w:sz w:val="20"/>
              </w:rPr>
            </w:pPr>
            <w:r>
              <w:rPr>
                <w:b w:val="0"/>
                <w:caps w:val="1"/>
                <w:sz w:val="20"/>
              </w:rPr>
              <w:t>7,23</w:t>
            </w:r>
          </w:p>
        </w:tc>
        <w:tc>
          <w:tcPr>
            <w:tcW w:type="dxa" w:w="905"/>
            <w:tcMar>
              <w:top w:type="dxa" w:w="0"/>
              <w:left w:type="dxa" w:w="108"/>
              <w:bottom w:type="dxa" w:w="0"/>
              <w:right w:type="dxa" w:w="108"/>
            </w:tcMar>
            <w:vAlign w:val="center"/>
          </w:tcPr>
          <w:p w14:paraId="C4020000">
            <w:pPr>
              <w:pStyle w:val="Style_2"/>
              <w:widowControl w:val="0"/>
              <w:spacing w:after="0" w:before="0" w:line="240" w:lineRule="auto"/>
              <w:ind/>
              <w:jc w:val="center"/>
              <w:rPr>
                <w:rFonts w:ascii="Times New Roman" w:hAnsi="Times New Roman"/>
                <w:b w:val="0"/>
                <w:caps w:val="1"/>
                <w:sz w:val="20"/>
              </w:rPr>
            </w:pPr>
            <w:r>
              <w:rPr>
                <w:b w:val="0"/>
                <w:caps w:val="1"/>
                <w:sz w:val="20"/>
              </w:rPr>
              <w:t>7,60</w:t>
            </w:r>
          </w:p>
        </w:tc>
        <w:tc>
          <w:tcPr>
            <w:tcW w:type="dxa" w:w="905"/>
            <w:tcMar>
              <w:top w:type="dxa" w:w="0"/>
              <w:left w:type="dxa" w:w="108"/>
              <w:bottom w:type="dxa" w:w="0"/>
              <w:right w:type="dxa" w:w="108"/>
            </w:tcMar>
            <w:vAlign w:val="center"/>
          </w:tcPr>
          <w:p w14:paraId="C5020000">
            <w:pPr>
              <w:pStyle w:val="Style_2"/>
              <w:widowControl w:val="0"/>
              <w:spacing w:after="0" w:before="0" w:line="240" w:lineRule="auto"/>
              <w:ind/>
              <w:jc w:val="center"/>
              <w:rPr>
                <w:rFonts w:ascii="Times New Roman" w:hAnsi="Times New Roman"/>
                <w:b w:val="0"/>
                <w:caps w:val="1"/>
                <w:sz w:val="20"/>
              </w:rPr>
            </w:pPr>
            <w:r>
              <w:rPr>
                <w:b w:val="0"/>
                <w:caps w:val="1"/>
                <w:sz w:val="20"/>
              </w:rPr>
              <w:t>8,58</w:t>
            </w:r>
          </w:p>
        </w:tc>
        <w:tc>
          <w:tcPr>
            <w:tcW w:type="dxa" w:w="752"/>
            <w:tcMar>
              <w:top w:type="dxa" w:w="0"/>
              <w:left w:type="dxa" w:w="108"/>
              <w:bottom w:type="dxa" w:w="0"/>
              <w:right w:type="dxa" w:w="108"/>
            </w:tcMar>
            <w:vAlign w:val="center"/>
          </w:tcPr>
          <w:p w14:paraId="C6020000">
            <w:pPr>
              <w:pStyle w:val="Style_2"/>
              <w:widowControl w:val="0"/>
              <w:spacing w:after="0" w:before="0" w:line="240" w:lineRule="auto"/>
              <w:ind/>
              <w:jc w:val="center"/>
              <w:rPr>
                <w:rFonts w:ascii="Times New Roman" w:hAnsi="Times New Roman"/>
                <w:b w:val="0"/>
                <w:caps w:val="1"/>
                <w:sz w:val="20"/>
              </w:rPr>
            </w:pPr>
            <w:r>
              <w:rPr>
                <w:b w:val="0"/>
                <w:caps w:val="1"/>
                <w:sz w:val="20"/>
              </w:rPr>
              <w:t>11,73</w:t>
            </w:r>
          </w:p>
        </w:tc>
        <w:tc>
          <w:tcPr>
            <w:tcW w:type="dxa" w:w="759"/>
            <w:tcMar>
              <w:top w:type="dxa" w:w="0"/>
              <w:left w:type="dxa" w:w="108"/>
              <w:bottom w:type="dxa" w:w="0"/>
              <w:right w:type="dxa" w:w="108"/>
            </w:tcMar>
            <w:vAlign w:val="center"/>
          </w:tcPr>
          <w:p w14:paraId="C7020000">
            <w:pPr>
              <w:pStyle w:val="Style_2"/>
              <w:widowControl w:val="0"/>
              <w:spacing w:after="0" w:before="0" w:line="240" w:lineRule="auto"/>
              <w:ind/>
              <w:jc w:val="center"/>
              <w:rPr>
                <w:rFonts w:ascii="Times New Roman" w:hAnsi="Times New Roman"/>
                <w:b w:val="0"/>
                <w:caps w:val="1"/>
                <w:sz w:val="20"/>
              </w:rPr>
            </w:pPr>
            <w:r>
              <w:rPr>
                <w:b w:val="0"/>
                <w:caps w:val="1"/>
                <w:sz w:val="20"/>
              </w:rPr>
              <w:t>13,13</w:t>
            </w:r>
          </w:p>
        </w:tc>
        <w:tc>
          <w:tcPr>
            <w:tcW w:type="dxa" w:w="900"/>
            <w:tcMar>
              <w:top w:type="dxa" w:w="0"/>
              <w:left w:type="dxa" w:w="108"/>
              <w:bottom w:type="dxa" w:w="0"/>
              <w:right w:type="dxa" w:w="108"/>
            </w:tcMar>
            <w:vAlign w:val="center"/>
          </w:tcPr>
          <w:p w14:paraId="C8020000">
            <w:pPr>
              <w:pStyle w:val="Style_2"/>
              <w:widowControl w:val="0"/>
              <w:spacing w:after="0" w:before="0" w:line="240" w:lineRule="auto"/>
              <w:ind/>
              <w:jc w:val="center"/>
              <w:rPr>
                <w:rFonts w:ascii="Times New Roman" w:hAnsi="Times New Roman"/>
                <w:b w:val="0"/>
                <w:caps w:val="1"/>
                <w:sz w:val="20"/>
              </w:rPr>
            </w:pPr>
            <w:r>
              <w:rPr>
                <w:b w:val="0"/>
                <w:caps w:val="1"/>
                <w:sz w:val="20"/>
              </w:rPr>
              <w:t>13,96</w:t>
            </w:r>
          </w:p>
        </w:tc>
        <w:tc>
          <w:tcPr>
            <w:tcW w:type="dxa" w:w="906"/>
            <w:tcMar>
              <w:top w:type="dxa" w:w="0"/>
              <w:left w:type="dxa" w:w="108"/>
              <w:bottom w:type="dxa" w:w="0"/>
              <w:right w:type="dxa" w:w="108"/>
            </w:tcMar>
            <w:vAlign w:val="center"/>
          </w:tcPr>
          <w:p w14:paraId="C9020000">
            <w:pPr>
              <w:pStyle w:val="Style_2"/>
              <w:widowControl w:val="0"/>
              <w:spacing w:after="0" w:before="0" w:line="240" w:lineRule="auto"/>
              <w:ind/>
              <w:jc w:val="center"/>
              <w:rPr>
                <w:rFonts w:ascii="Times New Roman" w:hAnsi="Times New Roman"/>
                <w:b w:val="0"/>
                <w:caps w:val="1"/>
                <w:sz w:val="20"/>
              </w:rPr>
            </w:pPr>
            <w:r>
              <w:rPr>
                <w:b w:val="0"/>
                <w:caps w:val="1"/>
                <w:sz w:val="20"/>
              </w:rPr>
              <w:t>15,74</w:t>
            </w:r>
          </w:p>
        </w:tc>
      </w:tr>
      <w:tr>
        <w:trPr>
          <w:trHeight w:hRule="atLeast" w:val="430"/>
        </w:trPr>
        <w:tc>
          <w:tcPr>
            <w:tcW w:type="dxa" w:w="3462"/>
            <w:tcMar>
              <w:top w:type="dxa" w:w="0"/>
              <w:left w:type="dxa" w:w="108"/>
              <w:bottom w:type="dxa" w:w="0"/>
              <w:right w:type="dxa" w:w="108"/>
            </w:tcMar>
            <w:vAlign w:val="center"/>
          </w:tcPr>
          <w:p w14:paraId="CA020000">
            <w:pPr>
              <w:pStyle w:val="Style_2"/>
              <w:widowControl w:val="0"/>
              <w:spacing w:after="0" w:before="0" w:line="240" w:lineRule="auto"/>
              <w:ind/>
              <w:jc w:val="left"/>
              <w:rPr>
                <w:rFonts w:ascii="Times New Roman" w:hAnsi="Times New Roman"/>
                <w:b w:val="0"/>
                <w:caps w:val="1"/>
                <w:sz w:val="20"/>
              </w:rPr>
            </w:pPr>
            <w:r>
              <w:rPr>
                <w:b w:val="0"/>
                <w:caps w:val="1"/>
                <w:sz w:val="20"/>
              </w:rPr>
              <w:t>АО «ЮЭСК»</w:t>
            </w:r>
          </w:p>
        </w:tc>
        <w:tc>
          <w:tcPr>
            <w:tcW w:type="dxa" w:w="752"/>
            <w:tcMar>
              <w:top w:type="dxa" w:w="0"/>
              <w:left w:type="dxa" w:w="108"/>
              <w:bottom w:type="dxa" w:w="0"/>
              <w:right w:type="dxa" w:w="108"/>
            </w:tcMar>
            <w:vAlign w:val="center"/>
          </w:tcPr>
          <w:p w14:paraId="CB020000">
            <w:pPr>
              <w:pStyle w:val="Style_2"/>
              <w:widowControl w:val="0"/>
              <w:spacing w:after="0" w:before="0" w:line="240" w:lineRule="auto"/>
              <w:ind/>
              <w:jc w:val="center"/>
              <w:rPr>
                <w:rFonts w:ascii="Times New Roman" w:hAnsi="Times New Roman"/>
                <w:b w:val="0"/>
                <w:caps w:val="1"/>
                <w:sz w:val="20"/>
              </w:rPr>
            </w:pPr>
          </w:p>
        </w:tc>
        <w:tc>
          <w:tcPr>
            <w:tcW w:type="dxa" w:w="753"/>
            <w:tcMar>
              <w:top w:type="dxa" w:w="0"/>
              <w:left w:type="dxa" w:w="108"/>
              <w:bottom w:type="dxa" w:w="0"/>
              <w:right w:type="dxa" w:w="108"/>
            </w:tcMar>
            <w:vAlign w:val="center"/>
          </w:tcPr>
          <w:p w14:paraId="CC020000">
            <w:pPr>
              <w:pStyle w:val="Style_2"/>
              <w:widowControl w:val="0"/>
              <w:spacing w:after="0" w:before="0" w:line="240" w:lineRule="auto"/>
              <w:ind/>
              <w:jc w:val="center"/>
              <w:rPr>
                <w:rFonts w:ascii="Times New Roman" w:hAnsi="Times New Roman"/>
                <w:b w:val="0"/>
                <w:caps w:val="1"/>
                <w:sz w:val="20"/>
              </w:rPr>
            </w:pPr>
            <w:r>
              <w:rPr>
                <w:b w:val="0"/>
                <w:caps w:val="1"/>
                <w:sz w:val="20"/>
              </w:rPr>
              <w:t>12,75</w:t>
            </w:r>
          </w:p>
        </w:tc>
        <w:tc>
          <w:tcPr>
            <w:tcW w:type="dxa" w:w="905"/>
            <w:tcMar>
              <w:top w:type="dxa" w:w="0"/>
              <w:left w:type="dxa" w:w="108"/>
              <w:bottom w:type="dxa" w:w="0"/>
              <w:right w:type="dxa" w:w="108"/>
            </w:tcMar>
            <w:vAlign w:val="center"/>
          </w:tcPr>
          <w:p w14:paraId="CD020000">
            <w:pPr>
              <w:pStyle w:val="Style_2"/>
              <w:widowControl w:val="0"/>
              <w:spacing w:after="0" w:before="0" w:line="240" w:lineRule="auto"/>
              <w:ind/>
              <w:jc w:val="center"/>
              <w:rPr>
                <w:rFonts w:ascii="Times New Roman" w:hAnsi="Times New Roman"/>
                <w:b w:val="0"/>
                <w:caps w:val="1"/>
                <w:sz w:val="20"/>
              </w:rPr>
            </w:pPr>
            <w:r>
              <w:rPr>
                <w:b w:val="0"/>
                <w:caps w:val="1"/>
                <w:sz w:val="20"/>
              </w:rPr>
              <w:t>13,06</w:t>
            </w:r>
          </w:p>
        </w:tc>
        <w:tc>
          <w:tcPr>
            <w:tcW w:type="dxa" w:w="905"/>
            <w:tcMar>
              <w:top w:type="dxa" w:w="0"/>
              <w:left w:type="dxa" w:w="108"/>
              <w:bottom w:type="dxa" w:w="0"/>
              <w:right w:type="dxa" w:w="108"/>
            </w:tcMar>
            <w:vAlign w:val="center"/>
          </w:tcPr>
          <w:p w14:paraId="CE020000">
            <w:pPr>
              <w:pStyle w:val="Style_2"/>
              <w:widowControl w:val="0"/>
              <w:spacing w:after="0" w:before="0" w:line="240" w:lineRule="auto"/>
              <w:ind/>
              <w:jc w:val="center"/>
              <w:rPr>
                <w:rFonts w:ascii="Times New Roman" w:hAnsi="Times New Roman"/>
                <w:b w:val="0"/>
                <w:caps w:val="1"/>
                <w:sz w:val="20"/>
              </w:rPr>
            </w:pPr>
            <w:r>
              <w:rPr>
                <w:b w:val="0"/>
                <w:caps w:val="1"/>
                <w:sz w:val="20"/>
              </w:rPr>
              <w:t>13,38</w:t>
            </w:r>
          </w:p>
        </w:tc>
        <w:tc>
          <w:tcPr>
            <w:tcW w:type="dxa" w:w="752"/>
            <w:tcMar>
              <w:top w:type="dxa" w:w="0"/>
              <w:left w:type="dxa" w:w="108"/>
              <w:bottom w:type="dxa" w:w="0"/>
              <w:right w:type="dxa" w:w="108"/>
            </w:tcMar>
            <w:vAlign w:val="center"/>
          </w:tcPr>
          <w:p w14:paraId="CF020000">
            <w:pPr>
              <w:pStyle w:val="Style_2"/>
              <w:widowControl w:val="0"/>
              <w:spacing w:after="0" w:before="0" w:line="240" w:lineRule="auto"/>
              <w:ind w:firstLine="709" w:left="0" w:right="0"/>
              <w:jc w:val="center"/>
              <w:rPr>
                <w:rFonts w:ascii="Times New Roman" w:hAnsi="Times New Roman"/>
                <w:b w:val="0"/>
                <w:caps w:val="1"/>
                <w:sz w:val="20"/>
              </w:rPr>
            </w:pPr>
          </w:p>
        </w:tc>
        <w:tc>
          <w:tcPr>
            <w:tcW w:type="dxa" w:w="759"/>
            <w:tcMar>
              <w:top w:type="dxa" w:w="0"/>
              <w:left w:type="dxa" w:w="108"/>
              <w:bottom w:type="dxa" w:w="0"/>
              <w:right w:type="dxa" w:w="108"/>
            </w:tcMar>
            <w:vAlign w:val="center"/>
          </w:tcPr>
          <w:p w14:paraId="D0020000">
            <w:pPr>
              <w:pStyle w:val="Style_2"/>
              <w:widowControl w:val="0"/>
              <w:spacing w:after="0" w:before="0" w:line="240" w:lineRule="auto"/>
              <w:ind/>
              <w:jc w:val="center"/>
              <w:rPr>
                <w:rFonts w:ascii="Times New Roman" w:hAnsi="Times New Roman"/>
                <w:b w:val="0"/>
                <w:caps w:val="1"/>
                <w:sz w:val="20"/>
              </w:rPr>
            </w:pPr>
            <w:r>
              <w:rPr>
                <w:b w:val="0"/>
                <w:caps w:val="1"/>
                <w:sz w:val="20"/>
              </w:rPr>
              <w:t>37,76</w:t>
            </w:r>
          </w:p>
        </w:tc>
        <w:tc>
          <w:tcPr>
            <w:tcW w:type="dxa" w:w="900"/>
            <w:tcMar>
              <w:top w:type="dxa" w:w="0"/>
              <w:left w:type="dxa" w:w="108"/>
              <w:bottom w:type="dxa" w:w="0"/>
              <w:right w:type="dxa" w:w="108"/>
            </w:tcMar>
            <w:vAlign w:val="center"/>
          </w:tcPr>
          <w:p w14:paraId="D1020000">
            <w:pPr>
              <w:pStyle w:val="Style_2"/>
              <w:widowControl w:val="0"/>
              <w:spacing w:after="0" w:before="0" w:line="240" w:lineRule="auto"/>
              <w:ind/>
              <w:jc w:val="center"/>
              <w:rPr>
                <w:rFonts w:ascii="Times New Roman" w:hAnsi="Times New Roman"/>
                <w:b w:val="0"/>
                <w:caps w:val="1"/>
                <w:sz w:val="20"/>
              </w:rPr>
            </w:pPr>
            <w:r>
              <w:rPr>
                <w:b w:val="0"/>
                <w:caps w:val="1"/>
                <w:sz w:val="20"/>
              </w:rPr>
              <w:t>38,26</w:t>
            </w:r>
          </w:p>
        </w:tc>
        <w:tc>
          <w:tcPr>
            <w:tcW w:type="dxa" w:w="906"/>
            <w:tcMar>
              <w:top w:type="dxa" w:w="0"/>
              <w:left w:type="dxa" w:w="108"/>
              <w:bottom w:type="dxa" w:w="0"/>
              <w:right w:type="dxa" w:w="108"/>
            </w:tcMar>
            <w:vAlign w:val="center"/>
          </w:tcPr>
          <w:p w14:paraId="D2020000">
            <w:pPr>
              <w:pStyle w:val="Style_2"/>
              <w:widowControl w:val="0"/>
              <w:spacing w:after="0" w:before="0" w:line="240" w:lineRule="auto"/>
              <w:ind/>
              <w:jc w:val="center"/>
              <w:rPr>
                <w:rFonts w:ascii="Times New Roman" w:hAnsi="Times New Roman"/>
                <w:b w:val="0"/>
                <w:caps w:val="1"/>
                <w:sz w:val="20"/>
              </w:rPr>
            </w:pPr>
            <w:r>
              <w:rPr>
                <w:b w:val="0"/>
                <w:caps w:val="1"/>
                <w:sz w:val="20"/>
              </w:rPr>
              <w:t>38,45</w:t>
            </w:r>
          </w:p>
        </w:tc>
      </w:tr>
      <w:tr>
        <w:trPr>
          <w:trHeight w:hRule="atLeast" w:val="256"/>
        </w:trPr>
        <w:tc>
          <w:tcPr>
            <w:tcW w:type="dxa" w:w="3462"/>
            <w:tcMar>
              <w:top w:type="dxa" w:w="0"/>
              <w:left w:type="dxa" w:w="108"/>
              <w:bottom w:type="dxa" w:w="0"/>
              <w:right w:type="dxa" w:w="108"/>
            </w:tcMar>
            <w:vAlign w:val="center"/>
          </w:tcPr>
          <w:p w14:paraId="D3020000">
            <w:pPr>
              <w:pStyle w:val="Style_2"/>
              <w:widowControl w:val="0"/>
              <w:spacing w:after="0" w:before="0" w:line="240" w:lineRule="auto"/>
              <w:ind/>
              <w:jc w:val="both"/>
              <w:rPr>
                <w:rFonts w:ascii="Times New Roman" w:hAnsi="Times New Roman"/>
                <w:b w:val="0"/>
                <w:caps w:val="1"/>
                <w:sz w:val="20"/>
              </w:rPr>
            </w:pPr>
            <w:r>
              <w:rPr>
                <w:b w:val="0"/>
                <w:caps w:val="1"/>
                <w:sz w:val="20"/>
              </w:rPr>
              <w:t>ООО «ЭСИ»</w:t>
            </w:r>
          </w:p>
        </w:tc>
        <w:tc>
          <w:tcPr>
            <w:tcW w:type="dxa" w:w="752"/>
            <w:tcMar>
              <w:top w:type="dxa" w:w="0"/>
              <w:left w:type="dxa" w:w="108"/>
              <w:bottom w:type="dxa" w:w="0"/>
              <w:right w:type="dxa" w:w="108"/>
            </w:tcMar>
            <w:vAlign w:val="center"/>
          </w:tcPr>
          <w:p w14:paraId="D4020000">
            <w:pPr>
              <w:pStyle w:val="Style_2"/>
              <w:widowControl w:val="0"/>
              <w:spacing w:after="0" w:before="0" w:line="240" w:lineRule="auto"/>
              <w:ind/>
              <w:jc w:val="center"/>
              <w:rPr>
                <w:rFonts w:ascii="Times New Roman" w:hAnsi="Times New Roman"/>
                <w:b w:val="0"/>
                <w:caps w:val="1"/>
                <w:sz w:val="20"/>
              </w:rPr>
            </w:pPr>
          </w:p>
        </w:tc>
        <w:tc>
          <w:tcPr>
            <w:tcW w:type="dxa" w:w="753"/>
            <w:tcMar>
              <w:top w:type="dxa" w:w="0"/>
              <w:left w:type="dxa" w:w="108"/>
              <w:bottom w:type="dxa" w:w="0"/>
              <w:right w:type="dxa" w:w="108"/>
            </w:tcMar>
            <w:vAlign w:val="center"/>
          </w:tcPr>
          <w:p w14:paraId="D5020000">
            <w:pPr>
              <w:pStyle w:val="Style_2"/>
              <w:widowControl w:val="0"/>
              <w:spacing w:after="0" w:before="0" w:line="240" w:lineRule="auto"/>
              <w:ind/>
              <w:jc w:val="center"/>
              <w:rPr>
                <w:rFonts w:ascii="Times New Roman" w:hAnsi="Times New Roman"/>
                <w:b w:val="0"/>
                <w:caps w:val="1"/>
                <w:sz w:val="20"/>
              </w:rPr>
            </w:pPr>
          </w:p>
        </w:tc>
        <w:tc>
          <w:tcPr>
            <w:tcW w:type="dxa" w:w="905"/>
            <w:tcMar>
              <w:top w:type="dxa" w:w="0"/>
              <w:left w:type="dxa" w:w="108"/>
              <w:bottom w:type="dxa" w:w="0"/>
              <w:right w:type="dxa" w:w="108"/>
            </w:tcMar>
            <w:vAlign w:val="center"/>
          </w:tcPr>
          <w:p w14:paraId="D6020000">
            <w:pPr>
              <w:pStyle w:val="Style_2"/>
              <w:widowControl w:val="0"/>
              <w:spacing w:after="0" w:before="0" w:line="240" w:lineRule="auto"/>
              <w:ind/>
              <w:jc w:val="center"/>
              <w:rPr>
                <w:rFonts w:ascii="Times New Roman" w:hAnsi="Times New Roman"/>
                <w:b w:val="0"/>
                <w:caps w:val="1"/>
                <w:sz w:val="20"/>
              </w:rPr>
            </w:pPr>
          </w:p>
        </w:tc>
        <w:tc>
          <w:tcPr>
            <w:tcW w:type="dxa" w:w="905"/>
            <w:tcMar>
              <w:top w:type="dxa" w:w="0"/>
              <w:left w:type="dxa" w:w="108"/>
              <w:bottom w:type="dxa" w:w="0"/>
              <w:right w:type="dxa" w:w="108"/>
            </w:tcMar>
            <w:vAlign w:val="center"/>
          </w:tcPr>
          <w:p w14:paraId="D7020000">
            <w:pPr>
              <w:pStyle w:val="Style_2"/>
              <w:widowControl w:val="0"/>
              <w:spacing w:after="0" w:before="0" w:line="240" w:lineRule="auto"/>
              <w:ind/>
              <w:jc w:val="center"/>
              <w:rPr>
                <w:rFonts w:ascii="Times New Roman" w:hAnsi="Times New Roman"/>
                <w:b w:val="0"/>
                <w:caps w:val="1"/>
                <w:sz w:val="20"/>
              </w:rPr>
            </w:pPr>
            <w:r>
              <w:rPr>
                <w:b w:val="0"/>
                <w:caps w:val="1"/>
                <w:sz w:val="20"/>
              </w:rPr>
              <w:t>13,55</w:t>
            </w:r>
          </w:p>
        </w:tc>
        <w:tc>
          <w:tcPr>
            <w:tcW w:type="dxa" w:w="752"/>
            <w:tcMar>
              <w:top w:type="dxa" w:w="0"/>
              <w:left w:type="dxa" w:w="108"/>
              <w:bottom w:type="dxa" w:w="0"/>
              <w:right w:type="dxa" w:w="108"/>
            </w:tcMar>
            <w:vAlign w:val="center"/>
          </w:tcPr>
          <w:p w14:paraId="D8020000">
            <w:pPr>
              <w:pStyle w:val="Style_2"/>
              <w:widowControl w:val="0"/>
              <w:spacing w:after="0" w:before="0" w:line="240" w:lineRule="auto"/>
              <w:ind w:firstLine="709" w:left="0" w:right="0"/>
              <w:jc w:val="center"/>
              <w:rPr>
                <w:rFonts w:ascii="Times New Roman" w:hAnsi="Times New Roman"/>
                <w:b w:val="0"/>
                <w:caps w:val="1"/>
                <w:sz w:val="20"/>
              </w:rPr>
            </w:pPr>
          </w:p>
        </w:tc>
        <w:tc>
          <w:tcPr>
            <w:tcW w:type="dxa" w:w="759"/>
            <w:tcMar>
              <w:top w:type="dxa" w:w="0"/>
              <w:left w:type="dxa" w:w="108"/>
              <w:bottom w:type="dxa" w:w="0"/>
              <w:right w:type="dxa" w:w="108"/>
            </w:tcMar>
            <w:vAlign w:val="center"/>
          </w:tcPr>
          <w:p w14:paraId="D9020000">
            <w:pPr>
              <w:pStyle w:val="Style_2"/>
              <w:widowControl w:val="0"/>
              <w:spacing w:after="0" w:before="0" w:line="240" w:lineRule="auto"/>
              <w:ind/>
              <w:jc w:val="center"/>
              <w:rPr>
                <w:rFonts w:ascii="Times New Roman" w:hAnsi="Times New Roman"/>
                <w:b w:val="0"/>
                <w:caps w:val="1"/>
                <w:sz w:val="20"/>
              </w:rPr>
            </w:pPr>
          </w:p>
        </w:tc>
        <w:tc>
          <w:tcPr>
            <w:tcW w:type="dxa" w:w="900"/>
            <w:tcMar>
              <w:top w:type="dxa" w:w="0"/>
              <w:left w:type="dxa" w:w="108"/>
              <w:bottom w:type="dxa" w:w="0"/>
              <w:right w:type="dxa" w:w="108"/>
            </w:tcMar>
            <w:vAlign w:val="center"/>
          </w:tcPr>
          <w:p w14:paraId="DA020000">
            <w:pPr>
              <w:pStyle w:val="Style_2"/>
              <w:widowControl w:val="0"/>
              <w:spacing w:after="0" w:before="0" w:line="240" w:lineRule="auto"/>
              <w:ind/>
              <w:jc w:val="center"/>
              <w:rPr>
                <w:rFonts w:ascii="Times New Roman" w:hAnsi="Times New Roman"/>
                <w:b w:val="0"/>
                <w:caps w:val="1"/>
                <w:sz w:val="20"/>
              </w:rPr>
            </w:pPr>
          </w:p>
        </w:tc>
        <w:tc>
          <w:tcPr>
            <w:tcW w:type="dxa" w:w="906"/>
            <w:tcMar>
              <w:top w:type="dxa" w:w="0"/>
              <w:left w:type="dxa" w:w="108"/>
              <w:bottom w:type="dxa" w:w="0"/>
              <w:right w:type="dxa" w:w="108"/>
            </w:tcMar>
            <w:vAlign w:val="center"/>
          </w:tcPr>
          <w:p w14:paraId="DB020000">
            <w:pPr>
              <w:pStyle w:val="Style_2"/>
              <w:widowControl w:val="0"/>
              <w:spacing w:after="0" w:before="0" w:line="240" w:lineRule="auto"/>
              <w:ind/>
              <w:jc w:val="center"/>
              <w:rPr>
                <w:rFonts w:ascii="Times New Roman" w:hAnsi="Times New Roman"/>
                <w:b w:val="0"/>
                <w:caps w:val="1"/>
                <w:sz w:val="20"/>
              </w:rPr>
            </w:pPr>
            <w:r>
              <w:rPr>
                <w:b w:val="0"/>
                <w:caps w:val="1"/>
                <w:sz w:val="20"/>
              </w:rPr>
              <w:t>35,88</w:t>
            </w:r>
          </w:p>
        </w:tc>
      </w:tr>
      <w:tr>
        <w:trPr>
          <w:trHeight w:hRule="atLeast" w:val="260"/>
        </w:trPr>
        <w:tc>
          <w:tcPr>
            <w:tcW w:type="dxa" w:w="3462"/>
            <w:tcMar>
              <w:top w:type="dxa" w:w="0"/>
              <w:left w:type="dxa" w:w="108"/>
              <w:bottom w:type="dxa" w:w="0"/>
              <w:right w:type="dxa" w:w="108"/>
            </w:tcMar>
            <w:vAlign w:val="center"/>
          </w:tcPr>
          <w:p w14:paraId="DC020000">
            <w:pPr>
              <w:pStyle w:val="Style_2"/>
              <w:widowControl w:val="0"/>
              <w:spacing w:after="0" w:before="0" w:line="240" w:lineRule="auto"/>
              <w:ind/>
              <w:jc w:val="both"/>
              <w:rPr>
                <w:rFonts w:ascii="Times New Roman" w:hAnsi="Times New Roman"/>
                <w:b w:val="0"/>
                <w:caps w:val="1"/>
                <w:sz w:val="20"/>
              </w:rPr>
            </w:pPr>
            <w:r>
              <w:rPr>
                <w:b w:val="0"/>
                <w:caps w:val="1"/>
                <w:sz w:val="20"/>
              </w:rPr>
              <w:t>ООО «Оссора»</w:t>
            </w:r>
          </w:p>
        </w:tc>
        <w:tc>
          <w:tcPr>
            <w:tcW w:type="dxa" w:w="752"/>
            <w:tcMar>
              <w:top w:type="dxa" w:w="0"/>
              <w:left w:type="dxa" w:w="108"/>
              <w:bottom w:type="dxa" w:w="0"/>
              <w:right w:type="dxa" w:w="108"/>
            </w:tcMar>
            <w:vAlign w:val="center"/>
          </w:tcPr>
          <w:p w14:paraId="DD020000">
            <w:pPr>
              <w:pStyle w:val="Style_2"/>
              <w:widowControl w:val="0"/>
              <w:spacing w:after="0" w:before="0" w:line="240" w:lineRule="auto"/>
              <w:ind/>
              <w:jc w:val="center"/>
              <w:rPr>
                <w:rFonts w:ascii="Times New Roman" w:hAnsi="Times New Roman"/>
                <w:b w:val="0"/>
                <w:caps w:val="1"/>
                <w:sz w:val="20"/>
              </w:rPr>
            </w:pPr>
          </w:p>
        </w:tc>
        <w:tc>
          <w:tcPr>
            <w:tcW w:type="dxa" w:w="753"/>
            <w:tcMar>
              <w:top w:type="dxa" w:w="0"/>
              <w:left w:type="dxa" w:w="108"/>
              <w:bottom w:type="dxa" w:w="0"/>
              <w:right w:type="dxa" w:w="108"/>
            </w:tcMar>
            <w:vAlign w:val="center"/>
          </w:tcPr>
          <w:p w14:paraId="DE020000">
            <w:pPr>
              <w:pStyle w:val="Style_2"/>
              <w:widowControl w:val="0"/>
              <w:spacing w:after="0" w:before="0" w:line="240" w:lineRule="auto"/>
              <w:ind/>
              <w:jc w:val="center"/>
              <w:rPr>
                <w:rFonts w:ascii="Times New Roman" w:hAnsi="Times New Roman"/>
                <w:b w:val="0"/>
                <w:caps w:val="1"/>
                <w:sz w:val="20"/>
              </w:rPr>
            </w:pPr>
          </w:p>
        </w:tc>
        <w:tc>
          <w:tcPr>
            <w:tcW w:type="dxa" w:w="905"/>
            <w:tcMar>
              <w:top w:type="dxa" w:w="0"/>
              <w:left w:type="dxa" w:w="108"/>
              <w:bottom w:type="dxa" w:w="0"/>
              <w:right w:type="dxa" w:w="108"/>
            </w:tcMar>
            <w:vAlign w:val="center"/>
          </w:tcPr>
          <w:p w14:paraId="DF020000">
            <w:pPr>
              <w:pStyle w:val="Style_2"/>
              <w:widowControl w:val="0"/>
              <w:spacing w:after="0" w:before="0" w:line="240" w:lineRule="auto"/>
              <w:ind/>
              <w:jc w:val="center"/>
              <w:rPr>
                <w:rFonts w:ascii="Times New Roman" w:hAnsi="Times New Roman"/>
                <w:b w:val="0"/>
                <w:caps w:val="1"/>
                <w:sz w:val="20"/>
              </w:rPr>
            </w:pPr>
          </w:p>
        </w:tc>
        <w:tc>
          <w:tcPr>
            <w:tcW w:type="dxa" w:w="905"/>
            <w:tcMar>
              <w:top w:type="dxa" w:w="0"/>
              <w:left w:type="dxa" w:w="108"/>
              <w:bottom w:type="dxa" w:w="0"/>
              <w:right w:type="dxa" w:w="108"/>
            </w:tcMar>
            <w:vAlign w:val="center"/>
          </w:tcPr>
          <w:p w14:paraId="E0020000">
            <w:pPr>
              <w:pStyle w:val="Style_2"/>
              <w:widowControl w:val="0"/>
              <w:spacing w:after="0" w:before="0" w:line="240" w:lineRule="auto"/>
              <w:ind/>
              <w:jc w:val="center"/>
              <w:rPr>
                <w:rFonts w:ascii="Times New Roman" w:hAnsi="Times New Roman"/>
                <w:b w:val="0"/>
                <w:caps w:val="1"/>
                <w:sz w:val="20"/>
              </w:rPr>
            </w:pPr>
            <w:r>
              <w:rPr>
                <w:b w:val="0"/>
                <w:caps w:val="1"/>
                <w:sz w:val="20"/>
              </w:rPr>
              <w:t>14,67</w:t>
            </w:r>
          </w:p>
        </w:tc>
        <w:tc>
          <w:tcPr>
            <w:tcW w:type="dxa" w:w="752"/>
            <w:tcMar>
              <w:top w:type="dxa" w:w="0"/>
              <w:left w:type="dxa" w:w="108"/>
              <w:bottom w:type="dxa" w:w="0"/>
              <w:right w:type="dxa" w:w="108"/>
            </w:tcMar>
            <w:vAlign w:val="center"/>
          </w:tcPr>
          <w:p w14:paraId="E1020000">
            <w:pPr>
              <w:pStyle w:val="Style_2"/>
              <w:widowControl w:val="0"/>
              <w:spacing w:after="0" w:before="0" w:line="240" w:lineRule="auto"/>
              <w:ind w:firstLine="709" w:left="0" w:right="0"/>
              <w:jc w:val="center"/>
              <w:rPr>
                <w:rFonts w:ascii="Times New Roman" w:hAnsi="Times New Roman"/>
                <w:b w:val="0"/>
                <w:caps w:val="1"/>
                <w:sz w:val="20"/>
              </w:rPr>
            </w:pPr>
          </w:p>
        </w:tc>
        <w:tc>
          <w:tcPr>
            <w:tcW w:type="dxa" w:w="759"/>
            <w:tcMar>
              <w:top w:type="dxa" w:w="0"/>
              <w:left w:type="dxa" w:w="108"/>
              <w:bottom w:type="dxa" w:w="0"/>
              <w:right w:type="dxa" w:w="108"/>
            </w:tcMar>
            <w:vAlign w:val="center"/>
          </w:tcPr>
          <w:p w14:paraId="E2020000">
            <w:pPr>
              <w:pStyle w:val="Style_2"/>
              <w:widowControl w:val="0"/>
              <w:spacing w:after="0" w:before="0" w:line="240" w:lineRule="auto"/>
              <w:ind w:firstLine="709" w:left="0" w:right="0"/>
              <w:jc w:val="center"/>
              <w:rPr>
                <w:rFonts w:ascii="Times New Roman" w:hAnsi="Times New Roman"/>
                <w:b w:val="0"/>
                <w:caps w:val="1"/>
                <w:sz w:val="20"/>
              </w:rPr>
            </w:pPr>
          </w:p>
        </w:tc>
        <w:tc>
          <w:tcPr>
            <w:tcW w:type="dxa" w:w="900"/>
            <w:tcMar>
              <w:top w:type="dxa" w:w="0"/>
              <w:left w:type="dxa" w:w="108"/>
              <w:bottom w:type="dxa" w:w="0"/>
              <w:right w:type="dxa" w:w="108"/>
            </w:tcMar>
            <w:vAlign w:val="center"/>
          </w:tcPr>
          <w:p w14:paraId="E3020000">
            <w:pPr>
              <w:pStyle w:val="Style_2"/>
              <w:widowControl w:val="0"/>
              <w:spacing w:after="0" w:before="0" w:line="240" w:lineRule="auto"/>
              <w:ind/>
              <w:jc w:val="center"/>
              <w:rPr>
                <w:rFonts w:ascii="Times New Roman" w:hAnsi="Times New Roman"/>
                <w:b w:val="0"/>
                <w:caps w:val="1"/>
                <w:sz w:val="20"/>
              </w:rPr>
            </w:pPr>
          </w:p>
        </w:tc>
        <w:tc>
          <w:tcPr>
            <w:tcW w:type="dxa" w:w="906"/>
            <w:tcMar>
              <w:top w:type="dxa" w:w="0"/>
              <w:left w:type="dxa" w:w="108"/>
              <w:bottom w:type="dxa" w:w="0"/>
              <w:right w:type="dxa" w:w="108"/>
            </w:tcMar>
            <w:vAlign w:val="center"/>
          </w:tcPr>
          <w:p w14:paraId="E4020000">
            <w:pPr>
              <w:pStyle w:val="Style_2"/>
              <w:widowControl w:val="0"/>
              <w:spacing w:after="0" w:before="0" w:line="240" w:lineRule="auto"/>
              <w:ind/>
              <w:jc w:val="center"/>
              <w:rPr>
                <w:rFonts w:ascii="Times New Roman" w:hAnsi="Times New Roman"/>
                <w:b w:val="0"/>
                <w:caps w:val="1"/>
                <w:sz w:val="20"/>
              </w:rPr>
            </w:pPr>
            <w:r>
              <w:rPr>
                <w:b w:val="0"/>
                <w:caps w:val="1"/>
                <w:sz w:val="20"/>
              </w:rPr>
              <w:t>44,58</w:t>
            </w:r>
          </w:p>
        </w:tc>
      </w:tr>
      <w:tr>
        <w:trPr>
          <w:trHeight w:hRule="atLeast" w:val="164"/>
        </w:trPr>
        <w:tc>
          <w:tcPr>
            <w:tcW w:type="dxa" w:w="3462"/>
            <w:tcMar>
              <w:top w:type="dxa" w:w="0"/>
              <w:left w:type="dxa" w:w="108"/>
              <w:bottom w:type="dxa" w:w="0"/>
              <w:right w:type="dxa" w:w="108"/>
            </w:tcMar>
            <w:vAlign w:val="center"/>
          </w:tcPr>
          <w:p w14:paraId="E5020000">
            <w:pPr>
              <w:pStyle w:val="Style_2"/>
              <w:widowControl w:val="0"/>
              <w:spacing w:after="0" w:before="0" w:line="240" w:lineRule="auto"/>
              <w:ind/>
              <w:jc w:val="left"/>
              <w:rPr>
                <w:rFonts w:ascii="Times New Roman" w:hAnsi="Times New Roman"/>
                <w:b w:val="0"/>
                <w:caps w:val="1"/>
                <w:sz w:val="20"/>
              </w:rPr>
            </w:pPr>
            <w:r>
              <w:rPr>
                <w:b w:val="0"/>
                <w:caps w:val="1"/>
                <w:sz w:val="20"/>
              </w:rPr>
              <w:t>ООО «Колхоз Ударник»</w:t>
            </w:r>
          </w:p>
        </w:tc>
        <w:tc>
          <w:tcPr>
            <w:tcW w:type="dxa" w:w="752"/>
            <w:tcMar>
              <w:top w:type="dxa" w:w="0"/>
              <w:left w:type="dxa" w:w="108"/>
              <w:bottom w:type="dxa" w:w="0"/>
              <w:right w:type="dxa" w:w="108"/>
            </w:tcMar>
            <w:vAlign w:val="center"/>
          </w:tcPr>
          <w:p w14:paraId="E6020000">
            <w:pPr>
              <w:pStyle w:val="Style_2"/>
              <w:widowControl w:val="0"/>
              <w:spacing w:after="0" w:before="0" w:line="240" w:lineRule="auto"/>
              <w:ind/>
              <w:jc w:val="center"/>
              <w:rPr>
                <w:rFonts w:ascii="Times New Roman" w:hAnsi="Times New Roman"/>
                <w:b w:val="0"/>
                <w:caps w:val="1"/>
                <w:sz w:val="20"/>
              </w:rPr>
            </w:pPr>
          </w:p>
        </w:tc>
        <w:tc>
          <w:tcPr>
            <w:tcW w:type="dxa" w:w="753"/>
            <w:tcMar>
              <w:top w:type="dxa" w:w="0"/>
              <w:left w:type="dxa" w:w="108"/>
              <w:bottom w:type="dxa" w:w="0"/>
              <w:right w:type="dxa" w:w="108"/>
            </w:tcMar>
            <w:vAlign w:val="center"/>
          </w:tcPr>
          <w:p w14:paraId="E7020000">
            <w:pPr>
              <w:pStyle w:val="Style_2"/>
              <w:widowControl w:val="0"/>
              <w:spacing w:after="0" w:before="0" w:line="240" w:lineRule="auto"/>
              <w:ind/>
              <w:jc w:val="center"/>
              <w:rPr>
                <w:rFonts w:ascii="Times New Roman" w:hAnsi="Times New Roman"/>
                <w:b w:val="0"/>
                <w:caps w:val="1"/>
                <w:sz w:val="20"/>
              </w:rPr>
            </w:pPr>
          </w:p>
        </w:tc>
        <w:tc>
          <w:tcPr>
            <w:tcW w:type="dxa" w:w="905"/>
            <w:tcMar>
              <w:top w:type="dxa" w:w="0"/>
              <w:left w:type="dxa" w:w="108"/>
              <w:bottom w:type="dxa" w:w="0"/>
              <w:right w:type="dxa" w:w="108"/>
            </w:tcMar>
            <w:vAlign w:val="center"/>
          </w:tcPr>
          <w:p w14:paraId="E8020000">
            <w:pPr>
              <w:pStyle w:val="Style_2"/>
              <w:widowControl w:val="0"/>
              <w:spacing w:after="0" w:before="0" w:line="240" w:lineRule="auto"/>
              <w:ind/>
              <w:jc w:val="center"/>
              <w:rPr>
                <w:rFonts w:ascii="Times New Roman" w:hAnsi="Times New Roman"/>
                <w:b w:val="0"/>
                <w:caps w:val="1"/>
                <w:sz w:val="20"/>
              </w:rPr>
            </w:pPr>
          </w:p>
        </w:tc>
        <w:tc>
          <w:tcPr>
            <w:tcW w:type="dxa" w:w="905"/>
            <w:tcMar>
              <w:top w:type="dxa" w:w="0"/>
              <w:left w:type="dxa" w:w="108"/>
              <w:bottom w:type="dxa" w:w="0"/>
              <w:right w:type="dxa" w:w="108"/>
            </w:tcMar>
            <w:vAlign w:val="center"/>
          </w:tcPr>
          <w:p w14:paraId="E9020000">
            <w:pPr>
              <w:pStyle w:val="Style_2"/>
              <w:widowControl w:val="0"/>
              <w:spacing w:after="0" w:before="0" w:line="240" w:lineRule="auto"/>
              <w:ind/>
              <w:jc w:val="center"/>
              <w:rPr>
                <w:rFonts w:ascii="Times New Roman" w:hAnsi="Times New Roman"/>
                <w:b w:val="0"/>
                <w:caps w:val="1"/>
                <w:sz w:val="20"/>
              </w:rPr>
            </w:pPr>
            <w:r>
              <w:rPr>
                <w:b w:val="0"/>
                <w:caps w:val="1"/>
                <w:sz w:val="20"/>
              </w:rPr>
              <w:t>10,87</w:t>
            </w:r>
          </w:p>
        </w:tc>
        <w:tc>
          <w:tcPr>
            <w:tcW w:type="dxa" w:w="752"/>
            <w:tcMar>
              <w:top w:type="dxa" w:w="0"/>
              <w:left w:type="dxa" w:w="108"/>
              <w:bottom w:type="dxa" w:w="0"/>
              <w:right w:type="dxa" w:w="108"/>
            </w:tcMar>
            <w:vAlign w:val="center"/>
          </w:tcPr>
          <w:p w14:paraId="EA020000">
            <w:pPr>
              <w:pStyle w:val="Style_2"/>
              <w:widowControl w:val="0"/>
              <w:spacing w:after="0" w:before="0" w:line="240" w:lineRule="auto"/>
              <w:ind w:firstLine="709" w:left="0" w:right="0"/>
              <w:jc w:val="center"/>
              <w:rPr>
                <w:rFonts w:ascii="Times New Roman" w:hAnsi="Times New Roman"/>
                <w:b w:val="0"/>
                <w:caps w:val="1"/>
                <w:sz w:val="20"/>
              </w:rPr>
            </w:pPr>
          </w:p>
        </w:tc>
        <w:tc>
          <w:tcPr>
            <w:tcW w:type="dxa" w:w="759"/>
            <w:tcMar>
              <w:top w:type="dxa" w:w="0"/>
              <w:left w:type="dxa" w:w="108"/>
              <w:bottom w:type="dxa" w:w="0"/>
              <w:right w:type="dxa" w:w="108"/>
            </w:tcMar>
            <w:vAlign w:val="center"/>
          </w:tcPr>
          <w:p w14:paraId="EB020000">
            <w:pPr>
              <w:pStyle w:val="Style_2"/>
              <w:widowControl w:val="0"/>
              <w:spacing w:after="0" w:before="0" w:line="240" w:lineRule="auto"/>
              <w:ind w:firstLine="709" w:left="0" w:right="0"/>
              <w:jc w:val="center"/>
              <w:rPr>
                <w:rFonts w:ascii="Times New Roman" w:hAnsi="Times New Roman"/>
                <w:b w:val="0"/>
                <w:caps w:val="1"/>
                <w:sz w:val="20"/>
              </w:rPr>
            </w:pPr>
          </w:p>
        </w:tc>
        <w:tc>
          <w:tcPr>
            <w:tcW w:type="dxa" w:w="900"/>
            <w:tcMar>
              <w:top w:type="dxa" w:w="0"/>
              <w:left w:type="dxa" w:w="108"/>
              <w:bottom w:type="dxa" w:w="0"/>
              <w:right w:type="dxa" w:w="108"/>
            </w:tcMar>
            <w:vAlign w:val="center"/>
          </w:tcPr>
          <w:p w14:paraId="EC020000">
            <w:pPr>
              <w:pStyle w:val="Style_2"/>
              <w:widowControl w:val="0"/>
              <w:spacing w:after="0" w:before="0" w:line="240" w:lineRule="auto"/>
              <w:ind w:firstLine="709" w:left="0" w:right="0"/>
              <w:jc w:val="center"/>
              <w:rPr>
                <w:rFonts w:ascii="Times New Roman" w:hAnsi="Times New Roman"/>
                <w:b w:val="0"/>
                <w:caps w:val="1"/>
                <w:sz w:val="20"/>
              </w:rPr>
            </w:pPr>
          </w:p>
        </w:tc>
        <w:tc>
          <w:tcPr>
            <w:tcW w:type="dxa" w:w="906"/>
            <w:tcMar>
              <w:top w:type="dxa" w:w="0"/>
              <w:left w:type="dxa" w:w="108"/>
              <w:bottom w:type="dxa" w:w="0"/>
              <w:right w:type="dxa" w:w="108"/>
            </w:tcMar>
            <w:vAlign w:val="center"/>
          </w:tcPr>
          <w:p w14:paraId="ED020000">
            <w:pPr>
              <w:pStyle w:val="Style_2"/>
              <w:widowControl w:val="0"/>
              <w:spacing w:after="0" w:before="0" w:line="240" w:lineRule="auto"/>
              <w:ind/>
              <w:jc w:val="center"/>
              <w:rPr>
                <w:rFonts w:ascii="Times New Roman" w:hAnsi="Times New Roman"/>
                <w:b w:val="0"/>
                <w:caps w:val="1"/>
                <w:sz w:val="20"/>
              </w:rPr>
            </w:pPr>
            <w:r>
              <w:rPr>
                <w:b w:val="0"/>
                <w:caps w:val="1"/>
                <w:sz w:val="20"/>
              </w:rPr>
              <w:t>32,55</w:t>
            </w:r>
          </w:p>
        </w:tc>
      </w:tr>
      <w:tr>
        <w:trPr>
          <w:trHeight w:hRule="atLeast" w:val="199"/>
        </w:trPr>
        <w:tc>
          <w:tcPr>
            <w:tcW w:type="dxa" w:w="3462"/>
            <w:tcMar>
              <w:top w:type="dxa" w:w="0"/>
              <w:left w:type="dxa" w:w="108"/>
              <w:bottom w:type="dxa" w:w="0"/>
              <w:right w:type="dxa" w:w="108"/>
            </w:tcMar>
            <w:vAlign w:val="center"/>
          </w:tcPr>
          <w:p w14:paraId="EE020000">
            <w:pPr>
              <w:pStyle w:val="Style_2"/>
              <w:widowControl w:val="0"/>
              <w:spacing w:after="0" w:before="0" w:line="240" w:lineRule="auto"/>
              <w:ind/>
              <w:jc w:val="both"/>
              <w:rPr>
                <w:rFonts w:ascii="Times New Roman" w:hAnsi="Times New Roman"/>
                <w:b w:val="0"/>
                <w:caps w:val="1"/>
                <w:sz w:val="20"/>
              </w:rPr>
            </w:pPr>
            <w:r>
              <w:rPr>
                <w:b w:val="0"/>
                <w:caps w:val="1"/>
                <w:sz w:val="20"/>
              </w:rPr>
              <w:t>АО «Корякэнерго»</w:t>
            </w:r>
          </w:p>
        </w:tc>
        <w:tc>
          <w:tcPr>
            <w:tcW w:type="dxa" w:w="752"/>
            <w:tcMar>
              <w:top w:type="dxa" w:w="0"/>
              <w:left w:type="dxa" w:w="108"/>
              <w:bottom w:type="dxa" w:w="0"/>
              <w:right w:type="dxa" w:w="108"/>
            </w:tcMar>
            <w:vAlign w:val="center"/>
          </w:tcPr>
          <w:p w14:paraId="EF020000">
            <w:pPr>
              <w:pStyle w:val="Style_2"/>
              <w:widowControl w:val="0"/>
              <w:spacing w:after="0" w:before="0" w:line="240" w:lineRule="auto"/>
              <w:ind/>
              <w:jc w:val="center"/>
              <w:rPr>
                <w:rFonts w:ascii="Times New Roman" w:hAnsi="Times New Roman"/>
                <w:b w:val="0"/>
                <w:caps w:val="1"/>
                <w:sz w:val="20"/>
              </w:rPr>
            </w:pPr>
          </w:p>
        </w:tc>
        <w:tc>
          <w:tcPr>
            <w:tcW w:type="dxa" w:w="753"/>
            <w:tcMar>
              <w:top w:type="dxa" w:w="0"/>
              <w:left w:type="dxa" w:w="108"/>
              <w:bottom w:type="dxa" w:w="0"/>
              <w:right w:type="dxa" w:w="108"/>
            </w:tcMar>
            <w:vAlign w:val="center"/>
          </w:tcPr>
          <w:p w14:paraId="F0020000">
            <w:pPr>
              <w:pStyle w:val="Style_2"/>
              <w:widowControl w:val="0"/>
              <w:spacing w:after="0" w:before="0" w:line="240" w:lineRule="auto"/>
              <w:ind/>
              <w:jc w:val="center"/>
              <w:rPr>
                <w:rFonts w:ascii="Times New Roman" w:hAnsi="Times New Roman"/>
                <w:b w:val="0"/>
                <w:caps w:val="1"/>
                <w:sz w:val="20"/>
              </w:rPr>
            </w:pPr>
          </w:p>
        </w:tc>
        <w:tc>
          <w:tcPr>
            <w:tcW w:type="dxa" w:w="905"/>
            <w:tcMar>
              <w:top w:type="dxa" w:w="0"/>
              <w:left w:type="dxa" w:w="108"/>
              <w:bottom w:type="dxa" w:w="0"/>
              <w:right w:type="dxa" w:w="108"/>
            </w:tcMar>
            <w:vAlign w:val="center"/>
          </w:tcPr>
          <w:p w14:paraId="F1020000">
            <w:pPr>
              <w:pStyle w:val="Style_2"/>
              <w:widowControl w:val="0"/>
              <w:spacing w:after="0" w:before="0" w:line="240" w:lineRule="auto"/>
              <w:ind/>
              <w:jc w:val="center"/>
              <w:rPr>
                <w:rFonts w:ascii="Times New Roman" w:hAnsi="Times New Roman"/>
                <w:b w:val="0"/>
                <w:caps w:val="1"/>
                <w:sz w:val="20"/>
              </w:rPr>
            </w:pPr>
            <w:r>
              <w:rPr>
                <w:b w:val="0"/>
                <w:caps w:val="1"/>
                <w:sz w:val="20"/>
              </w:rPr>
              <w:t>11,55</w:t>
            </w:r>
          </w:p>
        </w:tc>
        <w:tc>
          <w:tcPr>
            <w:tcW w:type="dxa" w:w="905"/>
            <w:tcMar>
              <w:top w:type="dxa" w:w="0"/>
              <w:left w:type="dxa" w:w="108"/>
              <w:bottom w:type="dxa" w:w="0"/>
              <w:right w:type="dxa" w:w="108"/>
            </w:tcMar>
            <w:vAlign w:val="center"/>
          </w:tcPr>
          <w:p w14:paraId="F2020000">
            <w:pPr>
              <w:pStyle w:val="Style_2"/>
              <w:widowControl w:val="0"/>
              <w:spacing w:after="0" w:before="0" w:line="240" w:lineRule="auto"/>
              <w:ind/>
              <w:jc w:val="center"/>
              <w:rPr>
                <w:rFonts w:ascii="Times New Roman" w:hAnsi="Times New Roman"/>
                <w:b w:val="0"/>
                <w:caps w:val="1"/>
                <w:sz w:val="20"/>
              </w:rPr>
            </w:pPr>
            <w:r>
              <w:rPr>
                <w:b w:val="0"/>
                <w:caps w:val="1"/>
                <w:sz w:val="20"/>
              </w:rPr>
              <w:t>11,74</w:t>
            </w:r>
          </w:p>
        </w:tc>
        <w:tc>
          <w:tcPr>
            <w:tcW w:type="dxa" w:w="752"/>
            <w:tcMar>
              <w:top w:type="dxa" w:w="0"/>
              <w:left w:type="dxa" w:w="108"/>
              <w:bottom w:type="dxa" w:w="0"/>
              <w:right w:type="dxa" w:w="108"/>
            </w:tcMar>
            <w:vAlign w:val="center"/>
          </w:tcPr>
          <w:p w14:paraId="F3020000">
            <w:pPr>
              <w:pStyle w:val="Style_2"/>
              <w:widowControl w:val="0"/>
              <w:spacing w:after="0" w:before="0" w:line="240" w:lineRule="auto"/>
              <w:ind w:firstLine="709" w:left="0" w:right="0"/>
              <w:jc w:val="center"/>
              <w:rPr>
                <w:rFonts w:ascii="Times New Roman" w:hAnsi="Times New Roman"/>
                <w:b w:val="0"/>
                <w:caps w:val="1"/>
                <w:sz w:val="20"/>
              </w:rPr>
            </w:pPr>
          </w:p>
        </w:tc>
        <w:tc>
          <w:tcPr>
            <w:tcW w:type="dxa" w:w="759"/>
            <w:tcMar>
              <w:top w:type="dxa" w:w="0"/>
              <w:left w:type="dxa" w:w="108"/>
              <w:bottom w:type="dxa" w:w="0"/>
              <w:right w:type="dxa" w:w="108"/>
            </w:tcMar>
            <w:vAlign w:val="center"/>
          </w:tcPr>
          <w:p w14:paraId="F4020000">
            <w:pPr>
              <w:pStyle w:val="Style_2"/>
              <w:widowControl w:val="0"/>
              <w:spacing w:after="0" w:before="0" w:line="240" w:lineRule="auto"/>
              <w:ind w:firstLine="709" w:left="0" w:right="0"/>
              <w:jc w:val="center"/>
              <w:rPr>
                <w:rFonts w:ascii="Times New Roman" w:hAnsi="Times New Roman"/>
                <w:b w:val="0"/>
                <w:caps w:val="1"/>
                <w:sz w:val="20"/>
              </w:rPr>
            </w:pPr>
          </w:p>
        </w:tc>
        <w:tc>
          <w:tcPr>
            <w:tcW w:type="dxa" w:w="900"/>
            <w:tcMar>
              <w:top w:type="dxa" w:w="0"/>
              <w:left w:type="dxa" w:w="108"/>
              <w:bottom w:type="dxa" w:w="0"/>
              <w:right w:type="dxa" w:w="108"/>
            </w:tcMar>
            <w:vAlign w:val="center"/>
          </w:tcPr>
          <w:p w14:paraId="F5020000">
            <w:pPr>
              <w:pStyle w:val="Style_2"/>
              <w:widowControl w:val="0"/>
              <w:spacing w:after="0" w:before="0" w:line="240" w:lineRule="auto"/>
              <w:ind/>
              <w:jc w:val="center"/>
              <w:rPr>
                <w:rFonts w:ascii="Times New Roman" w:hAnsi="Times New Roman"/>
                <w:b w:val="0"/>
                <w:caps w:val="1"/>
                <w:sz w:val="20"/>
              </w:rPr>
            </w:pPr>
            <w:r>
              <w:rPr>
                <w:b w:val="0"/>
                <w:caps w:val="1"/>
                <w:sz w:val="20"/>
              </w:rPr>
              <w:t>36,63</w:t>
            </w:r>
          </w:p>
        </w:tc>
        <w:tc>
          <w:tcPr>
            <w:tcW w:type="dxa" w:w="906"/>
            <w:tcMar>
              <w:top w:type="dxa" w:w="0"/>
              <w:left w:type="dxa" w:w="108"/>
              <w:bottom w:type="dxa" w:w="0"/>
              <w:right w:type="dxa" w:w="108"/>
            </w:tcMar>
            <w:vAlign w:val="center"/>
          </w:tcPr>
          <w:p w14:paraId="F6020000">
            <w:pPr>
              <w:pStyle w:val="Style_2"/>
              <w:widowControl w:val="0"/>
              <w:spacing w:after="0" w:before="0" w:line="240" w:lineRule="auto"/>
              <w:ind/>
              <w:jc w:val="center"/>
              <w:rPr>
                <w:rFonts w:ascii="Times New Roman" w:hAnsi="Times New Roman"/>
                <w:b w:val="0"/>
                <w:caps w:val="1"/>
                <w:sz w:val="20"/>
              </w:rPr>
            </w:pPr>
            <w:r>
              <w:rPr>
                <w:b w:val="0"/>
                <w:caps w:val="1"/>
                <w:sz w:val="20"/>
              </w:rPr>
              <w:t>39,01</w:t>
            </w:r>
          </w:p>
        </w:tc>
      </w:tr>
      <w:tr>
        <w:trPr>
          <w:trHeight w:hRule="atLeast" w:val="204"/>
        </w:trPr>
        <w:tc>
          <w:tcPr>
            <w:tcW w:type="dxa" w:w="3462"/>
            <w:tcMar>
              <w:top w:type="dxa" w:w="0"/>
              <w:left w:type="dxa" w:w="108"/>
              <w:bottom w:type="dxa" w:w="0"/>
              <w:right w:type="dxa" w:w="108"/>
            </w:tcMar>
            <w:vAlign w:val="center"/>
          </w:tcPr>
          <w:p w14:paraId="F7020000">
            <w:pPr>
              <w:pStyle w:val="Style_2"/>
              <w:widowControl w:val="0"/>
              <w:spacing w:after="0" w:before="0" w:line="240" w:lineRule="auto"/>
              <w:ind/>
              <w:jc w:val="both"/>
              <w:rPr>
                <w:rFonts w:ascii="Times New Roman" w:hAnsi="Times New Roman"/>
                <w:b w:val="0"/>
                <w:caps w:val="1"/>
                <w:sz w:val="20"/>
              </w:rPr>
            </w:pPr>
            <w:r>
              <w:rPr>
                <w:b w:val="0"/>
                <w:caps w:val="1"/>
                <w:sz w:val="20"/>
              </w:rPr>
              <w:t>ПАО «Камчатскэнерго» (Озерновский энергоузел)</w:t>
            </w:r>
          </w:p>
        </w:tc>
        <w:tc>
          <w:tcPr>
            <w:tcW w:type="dxa" w:w="752"/>
            <w:tcMar>
              <w:top w:type="dxa" w:w="0"/>
              <w:left w:type="dxa" w:w="108"/>
              <w:bottom w:type="dxa" w:w="0"/>
              <w:right w:type="dxa" w:w="108"/>
            </w:tcMar>
            <w:vAlign w:val="center"/>
          </w:tcPr>
          <w:p w14:paraId="F8020000">
            <w:pPr>
              <w:pStyle w:val="Style_2"/>
              <w:widowControl w:val="0"/>
              <w:spacing w:after="0" w:before="0" w:line="240" w:lineRule="auto"/>
              <w:ind/>
              <w:jc w:val="center"/>
              <w:rPr>
                <w:rFonts w:ascii="Times New Roman" w:hAnsi="Times New Roman"/>
                <w:b w:val="0"/>
                <w:caps w:val="1"/>
                <w:sz w:val="20"/>
              </w:rPr>
            </w:pPr>
          </w:p>
        </w:tc>
        <w:tc>
          <w:tcPr>
            <w:tcW w:type="dxa" w:w="753"/>
            <w:tcMar>
              <w:top w:type="dxa" w:w="0"/>
              <w:left w:type="dxa" w:w="108"/>
              <w:bottom w:type="dxa" w:w="0"/>
              <w:right w:type="dxa" w:w="108"/>
            </w:tcMar>
            <w:vAlign w:val="center"/>
          </w:tcPr>
          <w:p w14:paraId="F9020000">
            <w:pPr>
              <w:pStyle w:val="Style_2"/>
              <w:widowControl w:val="0"/>
              <w:spacing w:after="0" w:before="0" w:line="240" w:lineRule="auto"/>
              <w:ind/>
              <w:jc w:val="center"/>
              <w:rPr>
                <w:rFonts w:ascii="Times New Roman" w:hAnsi="Times New Roman"/>
                <w:b w:val="0"/>
                <w:caps w:val="1"/>
                <w:sz w:val="20"/>
              </w:rPr>
            </w:pPr>
            <w:r>
              <w:rPr>
                <w:b w:val="0"/>
                <w:caps w:val="1"/>
                <w:sz w:val="20"/>
              </w:rPr>
              <w:t>9,18</w:t>
            </w:r>
          </w:p>
        </w:tc>
        <w:tc>
          <w:tcPr>
            <w:tcW w:type="dxa" w:w="905"/>
            <w:tcMar>
              <w:top w:type="dxa" w:w="0"/>
              <w:left w:type="dxa" w:w="108"/>
              <w:bottom w:type="dxa" w:w="0"/>
              <w:right w:type="dxa" w:w="108"/>
            </w:tcMar>
            <w:vAlign w:val="center"/>
          </w:tcPr>
          <w:p w14:paraId="FA020000">
            <w:pPr>
              <w:pStyle w:val="Style_2"/>
              <w:widowControl w:val="0"/>
              <w:spacing w:after="0" w:before="0" w:line="240" w:lineRule="auto"/>
              <w:ind/>
              <w:jc w:val="center"/>
              <w:rPr>
                <w:rFonts w:ascii="Times New Roman" w:hAnsi="Times New Roman"/>
                <w:b w:val="0"/>
                <w:caps w:val="1"/>
                <w:sz w:val="20"/>
              </w:rPr>
            </w:pPr>
            <w:r>
              <w:rPr>
                <w:b w:val="0"/>
                <w:caps w:val="1"/>
                <w:sz w:val="20"/>
              </w:rPr>
              <w:t>9,41</w:t>
            </w:r>
          </w:p>
        </w:tc>
        <w:tc>
          <w:tcPr>
            <w:tcW w:type="dxa" w:w="905"/>
            <w:tcMar>
              <w:top w:type="dxa" w:w="0"/>
              <w:left w:type="dxa" w:w="108"/>
              <w:bottom w:type="dxa" w:w="0"/>
              <w:right w:type="dxa" w:w="108"/>
            </w:tcMar>
            <w:vAlign w:val="center"/>
          </w:tcPr>
          <w:p w14:paraId="FB020000">
            <w:pPr>
              <w:pStyle w:val="Style_2"/>
              <w:widowControl w:val="0"/>
              <w:spacing w:after="0" w:before="0" w:line="240" w:lineRule="auto"/>
              <w:ind/>
              <w:jc w:val="center"/>
              <w:rPr>
                <w:rFonts w:ascii="Times New Roman" w:hAnsi="Times New Roman"/>
                <w:b w:val="0"/>
                <w:caps w:val="1"/>
                <w:sz w:val="20"/>
              </w:rPr>
            </w:pPr>
            <w:r>
              <w:rPr>
                <w:b w:val="0"/>
                <w:caps w:val="1"/>
                <w:sz w:val="20"/>
              </w:rPr>
              <w:t>9,62</w:t>
            </w:r>
          </w:p>
        </w:tc>
        <w:tc>
          <w:tcPr>
            <w:tcW w:type="dxa" w:w="752"/>
            <w:tcMar>
              <w:top w:type="dxa" w:w="0"/>
              <w:left w:type="dxa" w:w="108"/>
              <w:bottom w:type="dxa" w:w="0"/>
              <w:right w:type="dxa" w:w="108"/>
            </w:tcMar>
            <w:vAlign w:val="center"/>
          </w:tcPr>
          <w:p w14:paraId="FC020000">
            <w:pPr>
              <w:pStyle w:val="Style_2"/>
              <w:widowControl w:val="0"/>
              <w:spacing w:after="0" w:before="0" w:line="240" w:lineRule="auto"/>
              <w:ind w:firstLine="709" w:left="0" w:right="0"/>
              <w:jc w:val="center"/>
              <w:rPr>
                <w:rFonts w:ascii="Times New Roman" w:hAnsi="Times New Roman"/>
                <w:b w:val="0"/>
                <w:caps w:val="1"/>
                <w:sz w:val="20"/>
              </w:rPr>
            </w:pPr>
          </w:p>
        </w:tc>
        <w:tc>
          <w:tcPr>
            <w:tcW w:type="dxa" w:w="759"/>
            <w:tcMar>
              <w:top w:type="dxa" w:w="0"/>
              <w:left w:type="dxa" w:w="108"/>
              <w:bottom w:type="dxa" w:w="0"/>
              <w:right w:type="dxa" w:w="108"/>
            </w:tcMar>
            <w:vAlign w:val="center"/>
          </w:tcPr>
          <w:p w14:paraId="FD020000">
            <w:pPr>
              <w:pStyle w:val="Style_2"/>
              <w:widowControl w:val="0"/>
              <w:spacing w:after="0" w:before="0" w:line="240" w:lineRule="auto"/>
              <w:ind/>
              <w:jc w:val="center"/>
              <w:rPr>
                <w:rFonts w:ascii="Times New Roman" w:hAnsi="Times New Roman"/>
                <w:b w:val="0"/>
                <w:caps w:val="1"/>
                <w:sz w:val="20"/>
              </w:rPr>
            </w:pPr>
            <w:r>
              <w:rPr>
                <w:b w:val="0"/>
                <w:caps w:val="1"/>
                <w:sz w:val="20"/>
              </w:rPr>
              <w:t>24,14</w:t>
            </w:r>
          </w:p>
        </w:tc>
        <w:tc>
          <w:tcPr>
            <w:tcW w:type="dxa" w:w="900"/>
            <w:tcMar>
              <w:top w:type="dxa" w:w="0"/>
              <w:left w:type="dxa" w:w="108"/>
              <w:bottom w:type="dxa" w:w="0"/>
              <w:right w:type="dxa" w:w="108"/>
            </w:tcMar>
            <w:vAlign w:val="center"/>
          </w:tcPr>
          <w:p w14:paraId="FE020000">
            <w:pPr>
              <w:pStyle w:val="Style_2"/>
              <w:widowControl w:val="0"/>
              <w:spacing w:after="0" w:before="0" w:line="240" w:lineRule="auto"/>
              <w:ind/>
              <w:jc w:val="center"/>
              <w:rPr>
                <w:rFonts w:ascii="Times New Roman" w:hAnsi="Times New Roman"/>
                <w:b w:val="0"/>
                <w:caps w:val="1"/>
                <w:sz w:val="20"/>
              </w:rPr>
            </w:pPr>
            <w:r>
              <w:rPr>
                <w:b w:val="0"/>
                <w:caps w:val="1"/>
                <w:sz w:val="20"/>
              </w:rPr>
              <w:t>23,28</w:t>
            </w:r>
          </w:p>
        </w:tc>
        <w:tc>
          <w:tcPr>
            <w:tcW w:type="dxa" w:w="906"/>
            <w:tcMar>
              <w:top w:type="dxa" w:w="0"/>
              <w:left w:type="dxa" w:w="108"/>
              <w:bottom w:type="dxa" w:w="0"/>
              <w:right w:type="dxa" w:w="108"/>
            </w:tcMar>
            <w:vAlign w:val="center"/>
          </w:tcPr>
          <w:p w14:paraId="FF020000">
            <w:pPr>
              <w:pStyle w:val="Style_2"/>
              <w:widowControl w:val="0"/>
              <w:spacing w:after="0" w:before="0" w:line="240" w:lineRule="auto"/>
              <w:ind/>
              <w:jc w:val="center"/>
              <w:rPr>
                <w:rFonts w:ascii="Times New Roman" w:hAnsi="Times New Roman"/>
                <w:b w:val="0"/>
                <w:caps w:val="1"/>
                <w:sz w:val="20"/>
              </w:rPr>
            </w:pPr>
            <w:r>
              <w:rPr>
                <w:b w:val="0"/>
                <w:caps w:val="1"/>
                <w:sz w:val="20"/>
              </w:rPr>
              <w:t>24,59</w:t>
            </w:r>
          </w:p>
        </w:tc>
      </w:tr>
    </w:tbl>
    <w:p w14:paraId="00030000">
      <w:pPr>
        <w:pStyle w:val="Style_2"/>
        <w:spacing w:after="0" w:before="60" w:line="240" w:lineRule="auto"/>
        <w:ind w:firstLine="709" w:left="0" w:right="0"/>
        <w:jc w:val="both"/>
        <w:rPr>
          <w:rFonts w:ascii="Times New Roman" w:hAnsi="Times New Roman"/>
          <w:sz w:val="28"/>
        </w:rPr>
      </w:pPr>
    </w:p>
    <w:p w14:paraId="01030000">
      <w:pPr>
        <w:pStyle w:val="Style_2"/>
        <w:spacing w:after="0" w:before="60" w:line="240" w:lineRule="auto"/>
        <w:ind w:firstLine="709" w:left="0" w:right="0"/>
        <w:jc w:val="both"/>
        <w:rPr>
          <w:rFonts w:ascii="Times New Roman" w:hAnsi="Times New Roman"/>
        </w:rPr>
      </w:pPr>
      <w:r>
        <w:rPr>
          <w:sz w:val="24"/>
        </w:rPr>
        <w:t>7) потребители электрической энергии (мощности), относящиеся к организациям жилищно-коммунального хозяйства, в отношении которых поэтапно в течение 5 лет сокращается разница между ценами (тарифами) на электрическую энергию (мощность):</w:t>
      </w:r>
    </w:p>
    <w:p w14:paraId="02030000">
      <w:pPr>
        <w:pStyle w:val="Style_2"/>
        <w:widowControl w:val="0"/>
        <w:spacing w:after="0" w:before="0" w:line="240" w:lineRule="auto"/>
        <w:ind w:firstLine="0" w:left="1069" w:right="0"/>
        <w:contextualSpacing w:val="1"/>
        <w:jc w:val="right"/>
        <w:rPr>
          <w:rFonts w:ascii="Times New Roman" w:hAnsi="Times New Roman"/>
        </w:rPr>
      </w:pPr>
      <w:r>
        <w:rPr>
          <w:sz w:val="24"/>
        </w:rPr>
        <w:t>руб./кВтч (без НДС)</w:t>
      </w:r>
    </w:p>
    <w:tbl>
      <w:tblPr>
        <w:tblStyle w:val="Style_6"/>
        <w:tblInd w:type="dxa" w:w="113"/>
        <w:tblLayout w:type="fixed"/>
        <w:tblCellMar>
          <w:top w:type="dxa" w:w="0"/>
          <w:left w:type="dxa" w:w="108"/>
          <w:bottom w:type="dxa" w:w="0"/>
          <w:right w:type="dxa" w:w="108"/>
        </w:tblCellMar>
      </w:tblPr>
      <w:tblGrid>
        <w:gridCol w:w="3461"/>
        <w:gridCol w:w="602"/>
        <w:gridCol w:w="904"/>
        <w:gridCol w:w="905"/>
        <w:gridCol w:w="905"/>
        <w:gridCol w:w="603"/>
        <w:gridCol w:w="907"/>
        <w:gridCol w:w="903"/>
        <w:gridCol w:w="902"/>
      </w:tblGrid>
      <w:tr>
        <w:trPr>
          <w:trHeight w:hRule="atLeast" w:val="225"/>
        </w:trPr>
        <w:tc>
          <w:tcPr>
            <w:tcW w:type="dxa" w:w="3461"/>
            <w:vMerge w:val="restart"/>
            <w:tcMar>
              <w:top w:type="dxa" w:w="0"/>
              <w:left w:type="dxa" w:w="108"/>
              <w:bottom w:type="dxa" w:w="0"/>
              <w:right w:type="dxa" w:w="108"/>
            </w:tcMar>
            <w:vAlign w:val="center"/>
          </w:tcPr>
          <w:p w14:paraId="03030000">
            <w:pPr>
              <w:pStyle w:val="Style_2"/>
              <w:widowControl w:val="0"/>
              <w:spacing w:after="0" w:before="0" w:line="240" w:lineRule="auto"/>
              <w:ind/>
              <w:jc w:val="center"/>
              <w:rPr>
                <w:rFonts w:ascii="Times New Roman" w:hAnsi="Times New Roman"/>
              </w:rPr>
            </w:pPr>
            <w:r>
              <w:rPr>
                <w:sz w:val="20"/>
              </w:rPr>
              <w:t>Энергоснабжающая организация</w:t>
            </w:r>
          </w:p>
        </w:tc>
        <w:tc>
          <w:tcPr>
            <w:tcW w:type="dxa" w:w="3316"/>
            <w:gridSpan w:val="4"/>
            <w:tcMar>
              <w:top w:type="dxa" w:w="0"/>
              <w:left w:type="dxa" w:w="108"/>
              <w:bottom w:type="dxa" w:w="0"/>
              <w:right w:type="dxa" w:w="108"/>
            </w:tcMar>
            <w:vAlign w:val="center"/>
          </w:tcPr>
          <w:p w14:paraId="04030000">
            <w:pPr>
              <w:pStyle w:val="Style_2"/>
              <w:widowControl w:val="0"/>
              <w:spacing w:after="0" w:before="0" w:line="240" w:lineRule="auto"/>
              <w:ind w:firstLine="709" w:left="0" w:right="0"/>
              <w:jc w:val="both"/>
              <w:rPr>
                <w:rFonts w:ascii="Times New Roman" w:hAnsi="Times New Roman"/>
              </w:rPr>
            </w:pPr>
            <w:r>
              <w:rPr>
                <w:sz w:val="20"/>
              </w:rPr>
              <w:t>1 полугодие 202</w:t>
            </w:r>
            <w:r>
              <w:rPr>
                <w:sz w:val="20"/>
              </w:rPr>
              <w:t>4</w:t>
            </w:r>
            <w:r>
              <w:rPr>
                <w:sz w:val="20"/>
              </w:rPr>
              <w:t xml:space="preserve"> года</w:t>
            </w:r>
          </w:p>
        </w:tc>
        <w:tc>
          <w:tcPr>
            <w:tcW w:type="dxa" w:w="3315"/>
            <w:gridSpan w:val="4"/>
            <w:tcMar>
              <w:top w:type="dxa" w:w="0"/>
              <w:left w:type="dxa" w:w="108"/>
              <w:bottom w:type="dxa" w:w="0"/>
              <w:right w:type="dxa" w:w="108"/>
            </w:tcMar>
            <w:vAlign w:val="center"/>
          </w:tcPr>
          <w:p w14:paraId="05030000">
            <w:pPr>
              <w:pStyle w:val="Style_2"/>
              <w:widowControl w:val="0"/>
              <w:spacing w:after="0" w:before="0" w:line="240" w:lineRule="auto"/>
              <w:ind w:firstLine="709" w:left="0" w:right="0"/>
              <w:jc w:val="both"/>
              <w:rPr>
                <w:rFonts w:ascii="Times New Roman" w:hAnsi="Times New Roman"/>
              </w:rPr>
            </w:pPr>
            <w:r>
              <w:rPr>
                <w:sz w:val="20"/>
              </w:rPr>
              <w:t>2</w:t>
            </w:r>
            <w:r>
              <w:rPr>
                <w:sz w:val="20"/>
              </w:rPr>
              <w:t xml:space="preserve"> полугодие 202</w:t>
            </w:r>
            <w:r>
              <w:rPr>
                <w:sz w:val="20"/>
              </w:rPr>
              <w:t>4</w:t>
            </w:r>
            <w:r>
              <w:rPr>
                <w:sz w:val="20"/>
              </w:rPr>
              <w:t xml:space="preserve"> года</w:t>
            </w:r>
          </w:p>
        </w:tc>
      </w:tr>
      <w:tr>
        <w:trPr>
          <w:trHeight w:hRule="atLeast" w:val="206"/>
        </w:trPr>
        <w:tc>
          <w:tcPr>
            <w:tcW w:type="dxa" w:w="3461"/>
            <w:gridSpan w:val="1"/>
            <w:vMerge w:val="continue"/>
            <w:tcMar>
              <w:top w:type="dxa" w:w="0"/>
              <w:left w:type="dxa" w:w="108"/>
              <w:bottom w:type="dxa" w:w="0"/>
              <w:right w:type="dxa" w:w="108"/>
            </w:tcMar>
            <w:vAlign w:val="center"/>
          </w:tcPr>
          <w:p/>
        </w:tc>
        <w:tc>
          <w:tcPr>
            <w:tcW w:type="dxa" w:w="602"/>
            <w:tcMar>
              <w:top w:type="dxa" w:w="0"/>
              <w:left w:type="dxa" w:w="108"/>
              <w:bottom w:type="dxa" w:w="0"/>
              <w:right w:type="dxa" w:w="108"/>
            </w:tcMar>
            <w:vAlign w:val="center"/>
          </w:tcPr>
          <w:p w14:paraId="06030000">
            <w:pPr>
              <w:pStyle w:val="Style_2"/>
              <w:widowControl w:val="0"/>
              <w:spacing w:after="0" w:before="0" w:line="240" w:lineRule="auto"/>
              <w:ind/>
              <w:jc w:val="center"/>
              <w:rPr>
                <w:rFonts w:ascii="Times New Roman" w:hAnsi="Times New Roman"/>
              </w:rPr>
            </w:pPr>
            <w:r>
              <w:rPr>
                <w:sz w:val="20"/>
              </w:rPr>
              <w:t>ВН</w:t>
            </w:r>
          </w:p>
        </w:tc>
        <w:tc>
          <w:tcPr>
            <w:tcW w:type="dxa" w:w="904"/>
            <w:tcMar>
              <w:top w:type="dxa" w:w="0"/>
              <w:left w:type="dxa" w:w="108"/>
              <w:bottom w:type="dxa" w:w="0"/>
              <w:right w:type="dxa" w:w="108"/>
            </w:tcMar>
            <w:vAlign w:val="center"/>
          </w:tcPr>
          <w:p w14:paraId="07030000">
            <w:pPr>
              <w:pStyle w:val="Style_2"/>
              <w:widowControl w:val="0"/>
              <w:spacing w:after="0" w:before="0" w:line="240" w:lineRule="auto"/>
              <w:ind/>
              <w:jc w:val="center"/>
              <w:rPr>
                <w:rFonts w:ascii="Times New Roman" w:hAnsi="Times New Roman"/>
              </w:rPr>
            </w:pPr>
            <w:r>
              <w:rPr>
                <w:sz w:val="20"/>
              </w:rPr>
              <w:t>СН-1</w:t>
            </w:r>
          </w:p>
        </w:tc>
        <w:tc>
          <w:tcPr>
            <w:tcW w:type="dxa" w:w="905"/>
            <w:tcMar>
              <w:top w:type="dxa" w:w="0"/>
              <w:left w:type="dxa" w:w="108"/>
              <w:bottom w:type="dxa" w:w="0"/>
              <w:right w:type="dxa" w:w="108"/>
            </w:tcMar>
            <w:vAlign w:val="center"/>
          </w:tcPr>
          <w:p w14:paraId="08030000">
            <w:pPr>
              <w:pStyle w:val="Style_2"/>
              <w:widowControl w:val="0"/>
              <w:spacing w:after="0" w:before="0" w:line="240" w:lineRule="auto"/>
              <w:ind/>
              <w:jc w:val="center"/>
              <w:rPr>
                <w:rFonts w:ascii="Times New Roman" w:hAnsi="Times New Roman"/>
              </w:rPr>
            </w:pPr>
            <w:r>
              <w:rPr>
                <w:sz w:val="20"/>
              </w:rPr>
              <w:t>СН-II</w:t>
            </w:r>
          </w:p>
        </w:tc>
        <w:tc>
          <w:tcPr>
            <w:tcW w:type="dxa" w:w="905"/>
            <w:tcMar>
              <w:top w:type="dxa" w:w="0"/>
              <w:left w:type="dxa" w:w="108"/>
              <w:bottom w:type="dxa" w:w="0"/>
              <w:right w:type="dxa" w:w="108"/>
            </w:tcMar>
            <w:vAlign w:val="center"/>
          </w:tcPr>
          <w:p w14:paraId="09030000">
            <w:pPr>
              <w:pStyle w:val="Style_2"/>
              <w:widowControl w:val="0"/>
              <w:spacing w:after="0" w:before="0" w:line="240" w:lineRule="auto"/>
              <w:ind/>
              <w:jc w:val="center"/>
              <w:rPr>
                <w:rFonts w:ascii="Times New Roman" w:hAnsi="Times New Roman"/>
              </w:rPr>
            </w:pPr>
            <w:r>
              <w:rPr>
                <w:sz w:val="20"/>
              </w:rPr>
              <w:t>НН</w:t>
            </w:r>
          </w:p>
        </w:tc>
        <w:tc>
          <w:tcPr>
            <w:tcW w:type="dxa" w:w="603"/>
            <w:tcMar>
              <w:top w:type="dxa" w:w="0"/>
              <w:left w:type="dxa" w:w="108"/>
              <w:bottom w:type="dxa" w:w="0"/>
              <w:right w:type="dxa" w:w="108"/>
            </w:tcMar>
            <w:vAlign w:val="center"/>
          </w:tcPr>
          <w:p w14:paraId="0A030000">
            <w:pPr>
              <w:pStyle w:val="Style_2"/>
              <w:widowControl w:val="0"/>
              <w:spacing w:after="0" w:before="0" w:line="240" w:lineRule="auto"/>
              <w:ind/>
              <w:jc w:val="center"/>
              <w:rPr>
                <w:rFonts w:ascii="Times New Roman" w:hAnsi="Times New Roman"/>
              </w:rPr>
            </w:pPr>
            <w:r>
              <w:rPr>
                <w:sz w:val="20"/>
              </w:rPr>
              <w:t>ВН</w:t>
            </w:r>
          </w:p>
        </w:tc>
        <w:tc>
          <w:tcPr>
            <w:tcW w:type="dxa" w:w="907"/>
            <w:tcMar>
              <w:top w:type="dxa" w:w="0"/>
              <w:left w:type="dxa" w:w="108"/>
              <w:bottom w:type="dxa" w:w="0"/>
              <w:right w:type="dxa" w:w="108"/>
            </w:tcMar>
            <w:vAlign w:val="center"/>
          </w:tcPr>
          <w:p w14:paraId="0B030000">
            <w:pPr>
              <w:pStyle w:val="Style_2"/>
              <w:widowControl w:val="0"/>
              <w:spacing w:after="0" w:before="0" w:line="240" w:lineRule="auto"/>
              <w:ind/>
              <w:jc w:val="center"/>
              <w:rPr>
                <w:rFonts w:ascii="Times New Roman" w:hAnsi="Times New Roman"/>
              </w:rPr>
            </w:pPr>
            <w:r>
              <w:rPr>
                <w:sz w:val="20"/>
              </w:rPr>
              <w:t>СН-1</w:t>
            </w:r>
          </w:p>
        </w:tc>
        <w:tc>
          <w:tcPr>
            <w:tcW w:type="dxa" w:w="903"/>
            <w:tcMar>
              <w:top w:type="dxa" w:w="0"/>
              <w:left w:type="dxa" w:w="108"/>
              <w:bottom w:type="dxa" w:w="0"/>
              <w:right w:type="dxa" w:w="108"/>
            </w:tcMar>
            <w:vAlign w:val="center"/>
          </w:tcPr>
          <w:p w14:paraId="0C030000">
            <w:pPr>
              <w:pStyle w:val="Style_2"/>
              <w:widowControl w:val="0"/>
              <w:spacing w:after="0" w:before="0" w:line="240" w:lineRule="auto"/>
              <w:ind/>
              <w:jc w:val="center"/>
              <w:rPr>
                <w:rFonts w:ascii="Times New Roman" w:hAnsi="Times New Roman"/>
              </w:rPr>
            </w:pPr>
            <w:r>
              <w:rPr>
                <w:sz w:val="20"/>
              </w:rPr>
              <w:t>СН-II</w:t>
            </w:r>
          </w:p>
        </w:tc>
        <w:tc>
          <w:tcPr>
            <w:tcW w:type="dxa" w:w="902"/>
            <w:tcMar>
              <w:top w:type="dxa" w:w="0"/>
              <w:left w:type="dxa" w:w="108"/>
              <w:bottom w:type="dxa" w:w="0"/>
              <w:right w:type="dxa" w:w="108"/>
            </w:tcMar>
            <w:vAlign w:val="center"/>
          </w:tcPr>
          <w:p w14:paraId="0D030000">
            <w:pPr>
              <w:pStyle w:val="Style_2"/>
              <w:widowControl w:val="0"/>
              <w:spacing w:after="0" w:before="0" w:line="240" w:lineRule="auto"/>
              <w:ind/>
              <w:jc w:val="center"/>
              <w:rPr>
                <w:rFonts w:ascii="Times New Roman" w:hAnsi="Times New Roman"/>
              </w:rPr>
            </w:pPr>
            <w:r>
              <w:rPr>
                <w:sz w:val="20"/>
              </w:rPr>
              <w:t>НН</w:t>
            </w:r>
          </w:p>
        </w:tc>
      </w:tr>
      <w:tr>
        <w:trPr>
          <w:trHeight w:hRule="atLeast" w:val="355"/>
        </w:trPr>
        <w:tc>
          <w:tcPr>
            <w:tcW w:type="dxa" w:w="3461"/>
            <w:tcMar>
              <w:top w:type="dxa" w:w="0"/>
              <w:left w:type="dxa" w:w="108"/>
              <w:bottom w:type="dxa" w:w="0"/>
              <w:right w:type="dxa" w:w="108"/>
            </w:tcMar>
            <w:vAlign w:val="center"/>
          </w:tcPr>
          <w:p w14:paraId="0E030000">
            <w:pPr>
              <w:pStyle w:val="Style_2"/>
              <w:widowControl w:val="0"/>
              <w:spacing w:after="0" w:before="0" w:line="240" w:lineRule="auto"/>
              <w:ind/>
              <w:jc w:val="left"/>
              <w:rPr>
                <w:rFonts w:ascii="Times New Roman" w:hAnsi="Times New Roman"/>
              </w:rPr>
            </w:pPr>
            <w:r>
              <w:rPr>
                <w:sz w:val="20"/>
              </w:rPr>
              <w:t>ПАО «Камчатскэнерго» (Центральный энергоузел)</w:t>
            </w:r>
          </w:p>
        </w:tc>
        <w:tc>
          <w:tcPr>
            <w:tcW w:type="dxa" w:w="602"/>
            <w:tcMar>
              <w:top w:type="dxa" w:w="0"/>
              <w:left w:type="dxa" w:w="108"/>
              <w:bottom w:type="dxa" w:w="0"/>
              <w:right w:type="dxa" w:w="108"/>
            </w:tcMar>
            <w:vAlign w:val="center"/>
          </w:tcPr>
          <w:p w14:paraId="0F030000">
            <w:pPr>
              <w:pStyle w:val="Style_2"/>
              <w:widowControl w:val="0"/>
              <w:spacing w:after="0" w:before="0" w:line="240" w:lineRule="auto"/>
              <w:ind/>
              <w:jc w:val="center"/>
              <w:rPr>
                <w:rFonts w:ascii="Times New Roman" w:hAnsi="Times New Roman"/>
              </w:rPr>
            </w:pPr>
          </w:p>
        </w:tc>
        <w:tc>
          <w:tcPr>
            <w:tcW w:type="dxa" w:w="904"/>
            <w:tcMar>
              <w:top w:type="dxa" w:w="0"/>
              <w:left w:type="dxa" w:w="108"/>
              <w:bottom w:type="dxa" w:w="0"/>
              <w:right w:type="dxa" w:w="108"/>
            </w:tcMar>
            <w:vAlign w:val="center"/>
          </w:tcPr>
          <w:p w14:paraId="10030000">
            <w:pPr>
              <w:pStyle w:val="Style_2"/>
              <w:widowControl w:val="0"/>
              <w:spacing w:after="0" w:before="0" w:line="240" w:lineRule="auto"/>
              <w:ind/>
              <w:jc w:val="center"/>
              <w:rPr>
                <w:rFonts w:ascii="Times New Roman" w:hAnsi="Times New Roman"/>
              </w:rPr>
            </w:pPr>
            <w:r>
              <w:rPr>
                <w:sz w:val="20"/>
              </w:rPr>
              <w:t>7,23</w:t>
            </w:r>
          </w:p>
        </w:tc>
        <w:tc>
          <w:tcPr>
            <w:tcW w:type="dxa" w:w="905"/>
            <w:tcMar>
              <w:top w:type="dxa" w:w="0"/>
              <w:left w:type="dxa" w:w="108"/>
              <w:bottom w:type="dxa" w:w="0"/>
              <w:right w:type="dxa" w:w="108"/>
            </w:tcMar>
            <w:vAlign w:val="center"/>
          </w:tcPr>
          <w:p w14:paraId="11030000">
            <w:pPr>
              <w:pStyle w:val="Style_2"/>
              <w:widowControl w:val="0"/>
              <w:spacing w:after="0" w:before="0" w:line="240" w:lineRule="auto"/>
              <w:ind/>
              <w:jc w:val="center"/>
              <w:rPr>
                <w:rFonts w:ascii="Times New Roman" w:hAnsi="Times New Roman"/>
              </w:rPr>
            </w:pPr>
            <w:r>
              <w:rPr>
                <w:sz w:val="20"/>
              </w:rPr>
              <w:t>7,60</w:t>
            </w:r>
          </w:p>
        </w:tc>
        <w:tc>
          <w:tcPr>
            <w:tcW w:type="dxa" w:w="905"/>
            <w:tcMar>
              <w:top w:type="dxa" w:w="0"/>
              <w:left w:type="dxa" w:w="108"/>
              <w:bottom w:type="dxa" w:w="0"/>
              <w:right w:type="dxa" w:w="108"/>
            </w:tcMar>
            <w:vAlign w:val="center"/>
          </w:tcPr>
          <w:p w14:paraId="12030000">
            <w:pPr>
              <w:pStyle w:val="Style_2"/>
              <w:widowControl w:val="0"/>
              <w:spacing w:after="0" w:before="0" w:line="240" w:lineRule="auto"/>
              <w:ind/>
              <w:jc w:val="center"/>
              <w:rPr>
                <w:rFonts w:ascii="Times New Roman" w:hAnsi="Times New Roman"/>
              </w:rPr>
            </w:pPr>
            <w:r>
              <w:rPr>
                <w:sz w:val="20"/>
              </w:rPr>
              <w:t>8,58</w:t>
            </w:r>
          </w:p>
        </w:tc>
        <w:tc>
          <w:tcPr>
            <w:tcW w:type="dxa" w:w="603"/>
            <w:tcMar>
              <w:top w:type="dxa" w:w="0"/>
              <w:left w:type="dxa" w:w="108"/>
              <w:bottom w:type="dxa" w:w="0"/>
              <w:right w:type="dxa" w:w="108"/>
            </w:tcMar>
            <w:vAlign w:val="center"/>
          </w:tcPr>
          <w:p w14:paraId="13030000">
            <w:pPr>
              <w:pStyle w:val="Style_2"/>
              <w:widowControl w:val="0"/>
              <w:spacing w:after="0" w:before="0" w:line="240" w:lineRule="auto"/>
              <w:ind/>
              <w:jc w:val="center"/>
              <w:rPr>
                <w:rFonts w:ascii="Times New Roman" w:hAnsi="Times New Roman"/>
              </w:rPr>
            </w:pPr>
          </w:p>
        </w:tc>
        <w:tc>
          <w:tcPr>
            <w:tcW w:type="dxa" w:w="907"/>
            <w:tcMar>
              <w:top w:type="dxa" w:w="0"/>
              <w:left w:type="dxa" w:w="108"/>
              <w:bottom w:type="dxa" w:w="0"/>
              <w:right w:type="dxa" w:w="108"/>
            </w:tcMar>
            <w:vAlign w:val="center"/>
          </w:tcPr>
          <w:p w14:paraId="14030000">
            <w:pPr>
              <w:pStyle w:val="Style_2"/>
              <w:widowControl w:val="0"/>
              <w:spacing w:after="0" w:before="0" w:line="240" w:lineRule="auto"/>
              <w:ind/>
              <w:jc w:val="center"/>
              <w:rPr>
                <w:rFonts w:ascii="Times New Roman" w:hAnsi="Times New Roman"/>
              </w:rPr>
            </w:pPr>
            <w:r>
              <w:rPr>
                <w:sz w:val="20"/>
              </w:rPr>
              <w:t>13,25</w:t>
            </w:r>
          </w:p>
        </w:tc>
        <w:tc>
          <w:tcPr>
            <w:tcW w:type="dxa" w:w="903"/>
            <w:tcMar>
              <w:top w:type="dxa" w:w="0"/>
              <w:left w:type="dxa" w:w="108"/>
              <w:bottom w:type="dxa" w:w="0"/>
              <w:right w:type="dxa" w:w="108"/>
            </w:tcMar>
            <w:vAlign w:val="center"/>
          </w:tcPr>
          <w:p w14:paraId="15030000">
            <w:pPr>
              <w:pStyle w:val="Style_2"/>
              <w:widowControl w:val="0"/>
              <w:spacing w:after="0" w:before="0" w:line="240" w:lineRule="auto"/>
              <w:ind/>
              <w:jc w:val="center"/>
              <w:rPr>
                <w:rFonts w:ascii="Times New Roman" w:hAnsi="Times New Roman"/>
              </w:rPr>
            </w:pPr>
            <w:r>
              <w:rPr>
                <w:sz w:val="20"/>
              </w:rPr>
              <w:t>14,10</w:t>
            </w:r>
          </w:p>
        </w:tc>
        <w:tc>
          <w:tcPr>
            <w:tcW w:type="dxa" w:w="902"/>
            <w:tcMar>
              <w:top w:type="dxa" w:w="0"/>
              <w:left w:type="dxa" w:w="108"/>
              <w:bottom w:type="dxa" w:w="0"/>
              <w:right w:type="dxa" w:w="108"/>
            </w:tcMar>
            <w:vAlign w:val="center"/>
          </w:tcPr>
          <w:p w14:paraId="16030000">
            <w:pPr>
              <w:pStyle w:val="Style_2"/>
              <w:widowControl w:val="0"/>
              <w:spacing w:after="0" w:before="0" w:line="240" w:lineRule="auto"/>
              <w:ind/>
              <w:jc w:val="center"/>
              <w:rPr>
                <w:rFonts w:ascii="Times New Roman" w:hAnsi="Times New Roman"/>
              </w:rPr>
            </w:pPr>
            <w:r>
              <w:rPr>
                <w:sz w:val="20"/>
              </w:rPr>
              <w:t>15,68</w:t>
            </w:r>
          </w:p>
        </w:tc>
      </w:tr>
      <w:tr>
        <w:trPr>
          <w:trHeight w:hRule="atLeast" w:val="355"/>
        </w:trPr>
        <w:tc>
          <w:tcPr>
            <w:tcW w:type="dxa" w:w="3461"/>
            <w:tcMar>
              <w:top w:type="dxa" w:w="0"/>
              <w:left w:type="dxa" w:w="108"/>
              <w:bottom w:type="dxa" w:w="0"/>
              <w:right w:type="dxa" w:w="108"/>
            </w:tcMar>
            <w:vAlign w:val="center"/>
          </w:tcPr>
          <w:p w14:paraId="17030000">
            <w:pPr>
              <w:pStyle w:val="Style_2"/>
              <w:widowControl w:val="0"/>
              <w:spacing w:after="0" w:before="0" w:line="240" w:lineRule="auto"/>
              <w:ind/>
              <w:jc w:val="left"/>
              <w:rPr>
                <w:rFonts w:ascii="Times New Roman" w:hAnsi="Times New Roman"/>
              </w:rPr>
            </w:pPr>
            <w:r>
              <w:rPr>
                <w:sz w:val="20"/>
              </w:rPr>
              <w:t>АО «ЮЭСК»</w:t>
            </w:r>
          </w:p>
        </w:tc>
        <w:tc>
          <w:tcPr>
            <w:tcW w:type="dxa" w:w="602"/>
            <w:tcMar>
              <w:top w:type="dxa" w:w="0"/>
              <w:left w:type="dxa" w:w="108"/>
              <w:bottom w:type="dxa" w:w="0"/>
              <w:right w:type="dxa" w:w="108"/>
            </w:tcMar>
            <w:vAlign w:val="center"/>
          </w:tcPr>
          <w:p w14:paraId="18030000">
            <w:pPr>
              <w:pStyle w:val="Style_2"/>
              <w:widowControl w:val="0"/>
              <w:spacing w:after="0" w:before="0" w:line="240" w:lineRule="auto"/>
              <w:ind/>
              <w:jc w:val="center"/>
              <w:rPr>
                <w:rFonts w:ascii="Times New Roman" w:hAnsi="Times New Roman"/>
              </w:rPr>
            </w:pPr>
          </w:p>
        </w:tc>
        <w:tc>
          <w:tcPr>
            <w:tcW w:type="dxa" w:w="904"/>
            <w:tcMar>
              <w:top w:type="dxa" w:w="0"/>
              <w:left w:type="dxa" w:w="108"/>
              <w:bottom w:type="dxa" w:w="0"/>
              <w:right w:type="dxa" w:w="108"/>
            </w:tcMar>
            <w:vAlign w:val="center"/>
          </w:tcPr>
          <w:p w14:paraId="19030000">
            <w:pPr>
              <w:pStyle w:val="Style_2"/>
              <w:widowControl w:val="0"/>
              <w:spacing w:after="0" w:before="0" w:line="240" w:lineRule="auto"/>
              <w:ind/>
              <w:jc w:val="center"/>
              <w:rPr>
                <w:rFonts w:ascii="Times New Roman" w:hAnsi="Times New Roman"/>
              </w:rPr>
            </w:pPr>
            <w:r>
              <w:rPr>
                <w:sz w:val="20"/>
              </w:rPr>
              <w:t>12,75</w:t>
            </w:r>
          </w:p>
        </w:tc>
        <w:tc>
          <w:tcPr>
            <w:tcW w:type="dxa" w:w="905"/>
            <w:tcMar>
              <w:top w:type="dxa" w:w="0"/>
              <w:left w:type="dxa" w:w="108"/>
              <w:bottom w:type="dxa" w:w="0"/>
              <w:right w:type="dxa" w:w="108"/>
            </w:tcMar>
            <w:vAlign w:val="center"/>
          </w:tcPr>
          <w:p w14:paraId="1A030000">
            <w:pPr>
              <w:pStyle w:val="Style_2"/>
              <w:widowControl w:val="0"/>
              <w:spacing w:after="0" w:before="0" w:line="240" w:lineRule="auto"/>
              <w:ind/>
              <w:jc w:val="center"/>
              <w:rPr>
                <w:rFonts w:ascii="Times New Roman" w:hAnsi="Times New Roman"/>
              </w:rPr>
            </w:pPr>
            <w:r>
              <w:rPr>
                <w:sz w:val="20"/>
              </w:rPr>
              <w:t>13,06</w:t>
            </w:r>
          </w:p>
        </w:tc>
        <w:tc>
          <w:tcPr>
            <w:tcW w:type="dxa" w:w="905"/>
            <w:tcMar>
              <w:top w:type="dxa" w:w="0"/>
              <w:left w:type="dxa" w:w="108"/>
              <w:bottom w:type="dxa" w:w="0"/>
              <w:right w:type="dxa" w:w="108"/>
            </w:tcMar>
            <w:vAlign w:val="center"/>
          </w:tcPr>
          <w:p w14:paraId="1B030000">
            <w:pPr>
              <w:pStyle w:val="Style_2"/>
              <w:widowControl w:val="0"/>
              <w:spacing w:after="0" w:before="0" w:line="240" w:lineRule="auto"/>
              <w:ind/>
              <w:jc w:val="center"/>
              <w:rPr>
                <w:rFonts w:ascii="Times New Roman" w:hAnsi="Times New Roman"/>
              </w:rPr>
            </w:pPr>
            <w:r>
              <w:rPr>
                <w:sz w:val="20"/>
              </w:rPr>
              <w:t>13,38</w:t>
            </w:r>
          </w:p>
        </w:tc>
        <w:tc>
          <w:tcPr>
            <w:tcW w:type="dxa" w:w="603"/>
            <w:tcMar>
              <w:top w:type="dxa" w:w="0"/>
              <w:left w:type="dxa" w:w="108"/>
              <w:bottom w:type="dxa" w:w="0"/>
              <w:right w:type="dxa" w:w="108"/>
            </w:tcMar>
            <w:vAlign w:val="center"/>
          </w:tcPr>
          <w:p w14:paraId="1C030000">
            <w:pPr>
              <w:pStyle w:val="Style_2"/>
              <w:widowControl w:val="0"/>
              <w:spacing w:after="0" w:before="0" w:line="240" w:lineRule="auto"/>
              <w:ind w:firstLine="709" w:left="0" w:right="0"/>
              <w:jc w:val="center"/>
              <w:rPr>
                <w:rFonts w:ascii="Times New Roman" w:hAnsi="Times New Roman"/>
              </w:rPr>
            </w:pPr>
          </w:p>
        </w:tc>
        <w:tc>
          <w:tcPr>
            <w:tcW w:type="dxa" w:w="907"/>
            <w:tcMar>
              <w:top w:type="dxa" w:w="0"/>
              <w:left w:type="dxa" w:w="108"/>
              <w:bottom w:type="dxa" w:w="0"/>
              <w:right w:type="dxa" w:w="108"/>
            </w:tcMar>
            <w:vAlign w:val="center"/>
          </w:tcPr>
          <w:p w14:paraId="1D030000">
            <w:pPr>
              <w:pStyle w:val="Style_2"/>
              <w:widowControl w:val="0"/>
              <w:spacing w:after="0" w:before="0" w:line="240" w:lineRule="auto"/>
              <w:ind/>
              <w:jc w:val="center"/>
              <w:rPr>
                <w:rFonts w:ascii="Times New Roman" w:hAnsi="Times New Roman"/>
              </w:rPr>
            </w:pPr>
            <w:r>
              <w:rPr>
                <w:sz w:val="20"/>
              </w:rPr>
              <w:t>38,43</w:t>
            </w:r>
          </w:p>
        </w:tc>
        <w:tc>
          <w:tcPr>
            <w:tcW w:type="dxa" w:w="903"/>
            <w:tcMar>
              <w:top w:type="dxa" w:w="0"/>
              <w:left w:type="dxa" w:w="108"/>
              <w:bottom w:type="dxa" w:w="0"/>
              <w:right w:type="dxa" w:w="108"/>
            </w:tcMar>
            <w:vAlign w:val="center"/>
          </w:tcPr>
          <w:p w14:paraId="1E030000">
            <w:pPr>
              <w:pStyle w:val="Style_2"/>
              <w:widowControl w:val="0"/>
              <w:spacing w:after="0" w:before="0" w:line="240" w:lineRule="auto"/>
              <w:ind/>
              <w:jc w:val="center"/>
              <w:rPr>
                <w:rFonts w:ascii="Times New Roman" w:hAnsi="Times New Roman"/>
              </w:rPr>
            </w:pPr>
            <w:r>
              <w:rPr>
                <w:sz w:val="20"/>
              </w:rPr>
              <w:t>40,07</w:t>
            </w:r>
          </w:p>
        </w:tc>
        <w:tc>
          <w:tcPr>
            <w:tcW w:type="dxa" w:w="902"/>
            <w:tcMar>
              <w:top w:type="dxa" w:w="0"/>
              <w:left w:type="dxa" w:w="108"/>
              <w:bottom w:type="dxa" w:w="0"/>
              <w:right w:type="dxa" w:w="108"/>
            </w:tcMar>
            <w:vAlign w:val="center"/>
          </w:tcPr>
          <w:p w14:paraId="1F030000">
            <w:pPr>
              <w:pStyle w:val="Style_2"/>
              <w:widowControl w:val="0"/>
              <w:spacing w:after="0" w:before="0" w:line="240" w:lineRule="auto"/>
              <w:ind/>
              <w:jc w:val="center"/>
              <w:rPr>
                <w:rFonts w:ascii="Times New Roman" w:hAnsi="Times New Roman"/>
              </w:rPr>
            </w:pPr>
            <w:r>
              <w:rPr>
                <w:sz w:val="20"/>
              </w:rPr>
              <w:t>41,67</w:t>
            </w:r>
          </w:p>
        </w:tc>
      </w:tr>
      <w:tr>
        <w:trPr>
          <w:trHeight w:hRule="atLeast" w:val="211"/>
        </w:trPr>
        <w:tc>
          <w:tcPr>
            <w:tcW w:type="dxa" w:w="3461"/>
            <w:tcMar>
              <w:top w:type="dxa" w:w="0"/>
              <w:left w:type="dxa" w:w="108"/>
              <w:bottom w:type="dxa" w:w="0"/>
              <w:right w:type="dxa" w:w="108"/>
            </w:tcMar>
            <w:vAlign w:val="center"/>
          </w:tcPr>
          <w:p w14:paraId="20030000">
            <w:pPr>
              <w:pStyle w:val="Style_2"/>
              <w:widowControl w:val="0"/>
              <w:spacing w:after="0" w:before="0" w:line="240" w:lineRule="auto"/>
              <w:ind/>
              <w:jc w:val="both"/>
              <w:rPr>
                <w:rFonts w:ascii="Times New Roman" w:hAnsi="Times New Roman"/>
              </w:rPr>
            </w:pPr>
            <w:r>
              <w:rPr>
                <w:sz w:val="20"/>
              </w:rPr>
              <w:t>ООО «ЭСИ»</w:t>
            </w:r>
          </w:p>
        </w:tc>
        <w:tc>
          <w:tcPr>
            <w:tcW w:type="dxa" w:w="602"/>
            <w:tcMar>
              <w:top w:type="dxa" w:w="0"/>
              <w:left w:type="dxa" w:w="108"/>
              <w:bottom w:type="dxa" w:w="0"/>
              <w:right w:type="dxa" w:w="108"/>
            </w:tcMar>
            <w:vAlign w:val="center"/>
          </w:tcPr>
          <w:p w14:paraId="21030000">
            <w:pPr>
              <w:pStyle w:val="Style_2"/>
              <w:widowControl w:val="0"/>
              <w:spacing w:after="0" w:before="0" w:line="240" w:lineRule="auto"/>
              <w:ind/>
              <w:jc w:val="center"/>
              <w:rPr>
                <w:rFonts w:ascii="Times New Roman" w:hAnsi="Times New Roman"/>
              </w:rPr>
            </w:pPr>
          </w:p>
        </w:tc>
        <w:tc>
          <w:tcPr>
            <w:tcW w:type="dxa" w:w="904"/>
            <w:tcMar>
              <w:top w:type="dxa" w:w="0"/>
              <w:left w:type="dxa" w:w="108"/>
              <w:bottom w:type="dxa" w:w="0"/>
              <w:right w:type="dxa" w:w="108"/>
            </w:tcMar>
            <w:vAlign w:val="center"/>
          </w:tcPr>
          <w:p w14:paraId="22030000">
            <w:pPr>
              <w:pStyle w:val="Style_2"/>
              <w:widowControl w:val="0"/>
              <w:spacing w:after="0" w:before="0" w:line="240" w:lineRule="auto"/>
              <w:ind/>
              <w:jc w:val="center"/>
              <w:rPr>
                <w:rFonts w:ascii="Times New Roman" w:hAnsi="Times New Roman"/>
              </w:rPr>
            </w:pPr>
          </w:p>
        </w:tc>
        <w:tc>
          <w:tcPr>
            <w:tcW w:type="dxa" w:w="905"/>
            <w:tcMar>
              <w:top w:type="dxa" w:w="0"/>
              <w:left w:type="dxa" w:w="108"/>
              <w:bottom w:type="dxa" w:w="0"/>
              <w:right w:type="dxa" w:w="108"/>
            </w:tcMar>
            <w:vAlign w:val="center"/>
          </w:tcPr>
          <w:p w14:paraId="23030000">
            <w:pPr>
              <w:pStyle w:val="Style_2"/>
              <w:widowControl w:val="0"/>
              <w:spacing w:after="0" w:before="0" w:line="240" w:lineRule="auto"/>
              <w:ind/>
              <w:jc w:val="center"/>
              <w:rPr>
                <w:rFonts w:ascii="Times New Roman" w:hAnsi="Times New Roman"/>
              </w:rPr>
            </w:pPr>
          </w:p>
        </w:tc>
        <w:tc>
          <w:tcPr>
            <w:tcW w:type="dxa" w:w="905"/>
            <w:tcMar>
              <w:top w:type="dxa" w:w="0"/>
              <w:left w:type="dxa" w:w="108"/>
              <w:bottom w:type="dxa" w:w="0"/>
              <w:right w:type="dxa" w:w="108"/>
            </w:tcMar>
            <w:vAlign w:val="center"/>
          </w:tcPr>
          <w:p w14:paraId="24030000">
            <w:pPr>
              <w:pStyle w:val="Style_2"/>
              <w:widowControl w:val="0"/>
              <w:spacing w:after="0" w:before="0" w:line="240" w:lineRule="auto"/>
              <w:ind/>
              <w:jc w:val="center"/>
              <w:rPr>
                <w:rFonts w:ascii="Times New Roman" w:hAnsi="Times New Roman"/>
              </w:rPr>
            </w:pPr>
            <w:r>
              <w:rPr>
                <w:sz w:val="20"/>
              </w:rPr>
              <w:t>13,55</w:t>
            </w:r>
          </w:p>
        </w:tc>
        <w:tc>
          <w:tcPr>
            <w:tcW w:type="dxa" w:w="603"/>
            <w:tcMar>
              <w:top w:type="dxa" w:w="0"/>
              <w:left w:type="dxa" w:w="108"/>
              <w:bottom w:type="dxa" w:w="0"/>
              <w:right w:type="dxa" w:w="108"/>
            </w:tcMar>
            <w:vAlign w:val="center"/>
          </w:tcPr>
          <w:p w14:paraId="25030000">
            <w:pPr>
              <w:pStyle w:val="Style_2"/>
              <w:widowControl w:val="0"/>
              <w:spacing w:after="0" w:before="0" w:line="240" w:lineRule="auto"/>
              <w:ind w:firstLine="709" w:left="0" w:right="0"/>
              <w:jc w:val="center"/>
              <w:rPr>
                <w:rFonts w:ascii="Times New Roman" w:hAnsi="Times New Roman"/>
              </w:rPr>
            </w:pPr>
          </w:p>
        </w:tc>
        <w:tc>
          <w:tcPr>
            <w:tcW w:type="dxa" w:w="907"/>
            <w:tcMar>
              <w:top w:type="dxa" w:w="0"/>
              <w:left w:type="dxa" w:w="108"/>
              <w:bottom w:type="dxa" w:w="0"/>
              <w:right w:type="dxa" w:w="108"/>
            </w:tcMar>
            <w:vAlign w:val="center"/>
          </w:tcPr>
          <w:p w14:paraId="26030000">
            <w:pPr>
              <w:pStyle w:val="Style_2"/>
              <w:widowControl w:val="0"/>
              <w:spacing w:after="0" w:before="0" w:line="240" w:lineRule="auto"/>
              <w:ind/>
              <w:jc w:val="center"/>
              <w:rPr>
                <w:rFonts w:ascii="Times New Roman" w:hAnsi="Times New Roman"/>
              </w:rPr>
            </w:pPr>
          </w:p>
        </w:tc>
        <w:tc>
          <w:tcPr>
            <w:tcW w:type="dxa" w:w="903"/>
            <w:tcMar>
              <w:top w:type="dxa" w:w="0"/>
              <w:left w:type="dxa" w:w="108"/>
              <w:bottom w:type="dxa" w:w="0"/>
              <w:right w:type="dxa" w:w="108"/>
            </w:tcMar>
            <w:vAlign w:val="center"/>
          </w:tcPr>
          <w:p w14:paraId="27030000">
            <w:pPr>
              <w:pStyle w:val="Style_2"/>
              <w:widowControl w:val="0"/>
              <w:spacing w:after="0" w:before="0" w:line="240" w:lineRule="auto"/>
              <w:ind/>
              <w:jc w:val="center"/>
              <w:rPr>
                <w:rFonts w:ascii="Times New Roman" w:hAnsi="Times New Roman"/>
              </w:rPr>
            </w:pPr>
          </w:p>
        </w:tc>
        <w:tc>
          <w:tcPr>
            <w:tcW w:type="dxa" w:w="902"/>
            <w:tcMar>
              <w:top w:type="dxa" w:w="0"/>
              <w:left w:type="dxa" w:w="108"/>
              <w:bottom w:type="dxa" w:w="0"/>
              <w:right w:type="dxa" w:w="108"/>
            </w:tcMar>
            <w:vAlign w:val="center"/>
          </w:tcPr>
          <w:p w14:paraId="28030000">
            <w:pPr>
              <w:pStyle w:val="Style_2"/>
              <w:widowControl w:val="0"/>
              <w:spacing w:after="0" w:before="0" w:line="240" w:lineRule="auto"/>
              <w:ind/>
              <w:jc w:val="center"/>
              <w:rPr>
                <w:rFonts w:ascii="Times New Roman" w:hAnsi="Times New Roman"/>
              </w:rPr>
            </w:pPr>
            <w:r>
              <w:rPr>
                <w:sz w:val="20"/>
              </w:rPr>
              <w:t>39,66</w:t>
            </w:r>
          </w:p>
        </w:tc>
      </w:tr>
      <w:tr>
        <w:trPr>
          <w:trHeight w:hRule="atLeast" w:val="214"/>
        </w:trPr>
        <w:tc>
          <w:tcPr>
            <w:tcW w:type="dxa" w:w="3461"/>
            <w:tcMar>
              <w:top w:type="dxa" w:w="0"/>
              <w:left w:type="dxa" w:w="108"/>
              <w:bottom w:type="dxa" w:w="0"/>
              <w:right w:type="dxa" w:w="108"/>
            </w:tcMar>
            <w:vAlign w:val="center"/>
          </w:tcPr>
          <w:p w14:paraId="29030000">
            <w:pPr>
              <w:pStyle w:val="Style_2"/>
              <w:widowControl w:val="0"/>
              <w:spacing w:after="0" w:before="0" w:line="240" w:lineRule="auto"/>
              <w:ind/>
              <w:jc w:val="both"/>
              <w:rPr>
                <w:rFonts w:ascii="Times New Roman" w:hAnsi="Times New Roman"/>
              </w:rPr>
            </w:pPr>
            <w:r>
              <w:rPr>
                <w:sz w:val="20"/>
              </w:rPr>
              <w:t>ООО «Оссора»</w:t>
            </w:r>
          </w:p>
        </w:tc>
        <w:tc>
          <w:tcPr>
            <w:tcW w:type="dxa" w:w="602"/>
            <w:tcMar>
              <w:top w:type="dxa" w:w="0"/>
              <w:left w:type="dxa" w:w="108"/>
              <w:bottom w:type="dxa" w:w="0"/>
              <w:right w:type="dxa" w:w="108"/>
            </w:tcMar>
            <w:vAlign w:val="center"/>
          </w:tcPr>
          <w:p w14:paraId="2A030000">
            <w:pPr>
              <w:pStyle w:val="Style_2"/>
              <w:widowControl w:val="0"/>
              <w:spacing w:after="0" w:before="0" w:line="240" w:lineRule="auto"/>
              <w:ind/>
              <w:jc w:val="center"/>
              <w:rPr>
                <w:rFonts w:ascii="Times New Roman" w:hAnsi="Times New Roman"/>
              </w:rPr>
            </w:pPr>
          </w:p>
        </w:tc>
        <w:tc>
          <w:tcPr>
            <w:tcW w:type="dxa" w:w="904"/>
            <w:tcMar>
              <w:top w:type="dxa" w:w="0"/>
              <w:left w:type="dxa" w:w="108"/>
              <w:bottom w:type="dxa" w:w="0"/>
              <w:right w:type="dxa" w:w="108"/>
            </w:tcMar>
            <w:vAlign w:val="center"/>
          </w:tcPr>
          <w:p w14:paraId="2B030000">
            <w:pPr>
              <w:pStyle w:val="Style_2"/>
              <w:widowControl w:val="0"/>
              <w:spacing w:after="0" w:before="0" w:line="240" w:lineRule="auto"/>
              <w:ind/>
              <w:jc w:val="center"/>
              <w:rPr>
                <w:rFonts w:ascii="Times New Roman" w:hAnsi="Times New Roman"/>
              </w:rPr>
            </w:pPr>
          </w:p>
        </w:tc>
        <w:tc>
          <w:tcPr>
            <w:tcW w:type="dxa" w:w="905"/>
            <w:tcMar>
              <w:top w:type="dxa" w:w="0"/>
              <w:left w:type="dxa" w:w="108"/>
              <w:bottom w:type="dxa" w:w="0"/>
              <w:right w:type="dxa" w:w="108"/>
            </w:tcMar>
            <w:vAlign w:val="center"/>
          </w:tcPr>
          <w:p w14:paraId="2C030000">
            <w:pPr>
              <w:pStyle w:val="Style_2"/>
              <w:widowControl w:val="0"/>
              <w:spacing w:after="0" w:before="0" w:line="240" w:lineRule="auto"/>
              <w:ind/>
              <w:jc w:val="center"/>
              <w:rPr>
                <w:rFonts w:ascii="Times New Roman" w:hAnsi="Times New Roman"/>
              </w:rPr>
            </w:pPr>
          </w:p>
        </w:tc>
        <w:tc>
          <w:tcPr>
            <w:tcW w:type="dxa" w:w="905"/>
            <w:tcMar>
              <w:top w:type="dxa" w:w="0"/>
              <w:left w:type="dxa" w:w="108"/>
              <w:bottom w:type="dxa" w:w="0"/>
              <w:right w:type="dxa" w:w="108"/>
            </w:tcMar>
            <w:vAlign w:val="center"/>
          </w:tcPr>
          <w:p w14:paraId="2D030000">
            <w:pPr>
              <w:pStyle w:val="Style_2"/>
              <w:widowControl w:val="0"/>
              <w:spacing w:after="0" w:before="0" w:line="240" w:lineRule="auto"/>
              <w:ind/>
              <w:jc w:val="center"/>
              <w:rPr>
                <w:rFonts w:ascii="Times New Roman" w:hAnsi="Times New Roman"/>
              </w:rPr>
            </w:pPr>
            <w:r>
              <w:rPr>
                <w:sz w:val="20"/>
              </w:rPr>
              <w:t>14,67</w:t>
            </w:r>
          </w:p>
        </w:tc>
        <w:tc>
          <w:tcPr>
            <w:tcW w:type="dxa" w:w="603"/>
            <w:tcMar>
              <w:top w:type="dxa" w:w="0"/>
              <w:left w:type="dxa" w:w="108"/>
              <w:bottom w:type="dxa" w:w="0"/>
              <w:right w:type="dxa" w:w="108"/>
            </w:tcMar>
            <w:vAlign w:val="center"/>
          </w:tcPr>
          <w:p w14:paraId="2E030000">
            <w:pPr>
              <w:pStyle w:val="Style_2"/>
              <w:widowControl w:val="0"/>
              <w:spacing w:after="0" w:before="0" w:line="240" w:lineRule="auto"/>
              <w:ind w:firstLine="709" w:left="0" w:right="0"/>
              <w:jc w:val="center"/>
              <w:rPr>
                <w:rFonts w:ascii="Times New Roman" w:hAnsi="Times New Roman"/>
              </w:rPr>
            </w:pPr>
          </w:p>
        </w:tc>
        <w:tc>
          <w:tcPr>
            <w:tcW w:type="dxa" w:w="907"/>
            <w:tcMar>
              <w:top w:type="dxa" w:w="0"/>
              <w:left w:type="dxa" w:w="108"/>
              <w:bottom w:type="dxa" w:w="0"/>
              <w:right w:type="dxa" w:w="108"/>
            </w:tcMar>
            <w:vAlign w:val="center"/>
          </w:tcPr>
          <w:p w14:paraId="2F030000">
            <w:pPr>
              <w:pStyle w:val="Style_2"/>
              <w:widowControl w:val="0"/>
              <w:spacing w:after="0" w:before="0" w:line="240" w:lineRule="auto"/>
              <w:ind/>
              <w:jc w:val="center"/>
              <w:rPr>
                <w:rFonts w:ascii="Times New Roman" w:hAnsi="Times New Roman"/>
              </w:rPr>
            </w:pPr>
          </w:p>
        </w:tc>
        <w:tc>
          <w:tcPr>
            <w:tcW w:type="dxa" w:w="903"/>
            <w:tcMar>
              <w:top w:type="dxa" w:w="0"/>
              <w:left w:type="dxa" w:w="108"/>
              <w:bottom w:type="dxa" w:w="0"/>
              <w:right w:type="dxa" w:w="108"/>
            </w:tcMar>
            <w:vAlign w:val="center"/>
          </w:tcPr>
          <w:p w14:paraId="30030000">
            <w:pPr>
              <w:pStyle w:val="Style_2"/>
              <w:widowControl w:val="0"/>
              <w:spacing w:after="0" w:before="0" w:line="240" w:lineRule="auto"/>
              <w:ind/>
              <w:jc w:val="center"/>
              <w:rPr>
                <w:rFonts w:ascii="Times New Roman" w:hAnsi="Times New Roman"/>
              </w:rPr>
            </w:pPr>
          </w:p>
        </w:tc>
        <w:tc>
          <w:tcPr>
            <w:tcW w:type="dxa" w:w="902"/>
            <w:tcMar>
              <w:top w:type="dxa" w:w="0"/>
              <w:left w:type="dxa" w:w="108"/>
              <w:bottom w:type="dxa" w:w="0"/>
              <w:right w:type="dxa" w:w="108"/>
            </w:tcMar>
            <w:vAlign w:val="center"/>
          </w:tcPr>
          <w:p w14:paraId="31030000">
            <w:pPr>
              <w:pStyle w:val="Style_2"/>
              <w:widowControl w:val="0"/>
              <w:spacing w:after="0" w:before="0" w:line="240" w:lineRule="auto"/>
              <w:ind/>
              <w:jc w:val="center"/>
              <w:rPr>
                <w:rFonts w:ascii="Times New Roman" w:hAnsi="Times New Roman"/>
              </w:rPr>
            </w:pPr>
            <w:r>
              <w:rPr>
                <w:sz w:val="20"/>
              </w:rPr>
              <w:t>43,33</w:t>
            </w:r>
          </w:p>
        </w:tc>
      </w:tr>
      <w:tr>
        <w:trPr>
          <w:trHeight w:hRule="atLeast" w:val="135"/>
        </w:trPr>
        <w:tc>
          <w:tcPr>
            <w:tcW w:type="dxa" w:w="3461"/>
            <w:tcMar>
              <w:top w:type="dxa" w:w="0"/>
              <w:left w:type="dxa" w:w="108"/>
              <w:bottom w:type="dxa" w:w="0"/>
              <w:right w:type="dxa" w:w="108"/>
            </w:tcMar>
            <w:vAlign w:val="center"/>
          </w:tcPr>
          <w:p w14:paraId="32030000">
            <w:pPr>
              <w:pStyle w:val="Style_2"/>
              <w:widowControl w:val="0"/>
              <w:spacing w:after="0" w:before="0" w:line="240" w:lineRule="auto"/>
              <w:ind/>
              <w:jc w:val="left"/>
              <w:rPr>
                <w:rFonts w:ascii="Times New Roman" w:hAnsi="Times New Roman"/>
              </w:rPr>
            </w:pPr>
            <w:r>
              <w:rPr>
                <w:sz w:val="20"/>
              </w:rPr>
              <w:t>ООО «Колхоз Ударник»</w:t>
            </w:r>
          </w:p>
        </w:tc>
        <w:tc>
          <w:tcPr>
            <w:tcW w:type="dxa" w:w="602"/>
            <w:tcMar>
              <w:top w:type="dxa" w:w="0"/>
              <w:left w:type="dxa" w:w="108"/>
              <w:bottom w:type="dxa" w:w="0"/>
              <w:right w:type="dxa" w:w="108"/>
            </w:tcMar>
            <w:vAlign w:val="center"/>
          </w:tcPr>
          <w:p w14:paraId="33030000">
            <w:pPr>
              <w:pStyle w:val="Style_2"/>
              <w:widowControl w:val="0"/>
              <w:spacing w:after="0" w:before="0" w:line="240" w:lineRule="auto"/>
              <w:ind/>
              <w:jc w:val="center"/>
              <w:rPr>
                <w:rFonts w:ascii="Times New Roman" w:hAnsi="Times New Roman"/>
              </w:rPr>
            </w:pPr>
          </w:p>
        </w:tc>
        <w:tc>
          <w:tcPr>
            <w:tcW w:type="dxa" w:w="904"/>
            <w:tcMar>
              <w:top w:type="dxa" w:w="0"/>
              <w:left w:type="dxa" w:w="108"/>
              <w:bottom w:type="dxa" w:w="0"/>
              <w:right w:type="dxa" w:w="108"/>
            </w:tcMar>
            <w:vAlign w:val="center"/>
          </w:tcPr>
          <w:p w14:paraId="34030000">
            <w:pPr>
              <w:pStyle w:val="Style_2"/>
              <w:widowControl w:val="0"/>
              <w:spacing w:after="0" w:before="0" w:line="240" w:lineRule="auto"/>
              <w:ind/>
              <w:jc w:val="center"/>
              <w:rPr>
                <w:rFonts w:ascii="Times New Roman" w:hAnsi="Times New Roman"/>
              </w:rPr>
            </w:pPr>
          </w:p>
        </w:tc>
        <w:tc>
          <w:tcPr>
            <w:tcW w:type="dxa" w:w="905"/>
            <w:tcMar>
              <w:top w:type="dxa" w:w="0"/>
              <w:left w:type="dxa" w:w="108"/>
              <w:bottom w:type="dxa" w:w="0"/>
              <w:right w:type="dxa" w:w="108"/>
            </w:tcMar>
            <w:vAlign w:val="center"/>
          </w:tcPr>
          <w:p w14:paraId="35030000">
            <w:pPr>
              <w:pStyle w:val="Style_2"/>
              <w:widowControl w:val="0"/>
              <w:spacing w:after="0" w:before="0" w:line="240" w:lineRule="auto"/>
              <w:ind/>
              <w:jc w:val="center"/>
              <w:rPr>
                <w:rFonts w:ascii="Times New Roman" w:hAnsi="Times New Roman"/>
              </w:rPr>
            </w:pPr>
          </w:p>
        </w:tc>
        <w:tc>
          <w:tcPr>
            <w:tcW w:type="dxa" w:w="905"/>
            <w:tcMar>
              <w:top w:type="dxa" w:w="0"/>
              <w:left w:type="dxa" w:w="108"/>
              <w:bottom w:type="dxa" w:w="0"/>
              <w:right w:type="dxa" w:w="108"/>
            </w:tcMar>
            <w:vAlign w:val="center"/>
          </w:tcPr>
          <w:p w14:paraId="36030000">
            <w:pPr>
              <w:pStyle w:val="Style_2"/>
              <w:widowControl w:val="0"/>
              <w:spacing w:after="0" w:before="0" w:line="240" w:lineRule="auto"/>
              <w:ind/>
              <w:jc w:val="center"/>
              <w:rPr>
                <w:rFonts w:ascii="Times New Roman" w:hAnsi="Times New Roman"/>
              </w:rPr>
            </w:pPr>
            <w:r>
              <w:rPr>
                <w:sz w:val="20"/>
              </w:rPr>
              <w:t>10,87</w:t>
            </w:r>
          </w:p>
        </w:tc>
        <w:tc>
          <w:tcPr>
            <w:tcW w:type="dxa" w:w="603"/>
            <w:tcMar>
              <w:top w:type="dxa" w:w="0"/>
              <w:left w:type="dxa" w:w="108"/>
              <w:bottom w:type="dxa" w:w="0"/>
              <w:right w:type="dxa" w:w="108"/>
            </w:tcMar>
            <w:vAlign w:val="center"/>
          </w:tcPr>
          <w:p w14:paraId="37030000">
            <w:pPr>
              <w:pStyle w:val="Style_2"/>
              <w:widowControl w:val="0"/>
              <w:spacing w:after="0" w:before="0" w:line="240" w:lineRule="auto"/>
              <w:ind w:firstLine="709" w:left="0" w:right="0"/>
              <w:jc w:val="center"/>
              <w:rPr>
                <w:rFonts w:ascii="Times New Roman" w:hAnsi="Times New Roman"/>
              </w:rPr>
            </w:pPr>
          </w:p>
        </w:tc>
        <w:tc>
          <w:tcPr>
            <w:tcW w:type="dxa" w:w="907"/>
            <w:tcMar>
              <w:top w:type="dxa" w:w="0"/>
              <w:left w:type="dxa" w:w="108"/>
              <w:bottom w:type="dxa" w:w="0"/>
              <w:right w:type="dxa" w:w="108"/>
            </w:tcMar>
            <w:vAlign w:val="center"/>
          </w:tcPr>
          <w:p w14:paraId="38030000">
            <w:pPr>
              <w:pStyle w:val="Style_2"/>
              <w:widowControl w:val="0"/>
              <w:spacing w:after="0" w:before="0" w:line="240" w:lineRule="auto"/>
              <w:ind/>
              <w:jc w:val="center"/>
              <w:rPr>
                <w:rFonts w:ascii="Times New Roman" w:hAnsi="Times New Roman"/>
              </w:rPr>
            </w:pPr>
          </w:p>
        </w:tc>
        <w:tc>
          <w:tcPr>
            <w:tcW w:type="dxa" w:w="903"/>
            <w:tcMar>
              <w:top w:type="dxa" w:w="0"/>
              <w:left w:type="dxa" w:w="108"/>
              <w:bottom w:type="dxa" w:w="0"/>
              <w:right w:type="dxa" w:w="108"/>
            </w:tcMar>
            <w:vAlign w:val="center"/>
          </w:tcPr>
          <w:p w14:paraId="39030000">
            <w:pPr>
              <w:pStyle w:val="Style_2"/>
              <w:widowControl w:val="0"/>
              <w:spacing w:after="0" w:before="0" w:line="240" w:lineRule="auto"/>
              <w:ind/>
              <w:jc w:val="center"/>
              <w:rPr>
                <w:rFonts w:ascii="Times New Roman" w:hAnsi="Times New Roman"/>
              </w:rPr>
            </w:pPr>
          </w:p>
        </w:tc>
        <w:tc>
          <w:tcPr>
            <w:tcW w:type="dxa" w:w="902"/>
            <w:tcMar>
              <w:top w:type="dxa" w:w="0"/>
              <w:left w:type="dxa" w:w="108"/>
              <w:bottom w:type="dxa" w:w="0"/>
              <w:right w:type="dxa" w:w="108"/>
            </w:tcMar>
            <w:vAlign w:val="center"/>
          </w:tcPr>
          <w:p w14:paraId="3A030000">
            <w:pPr>
              <w:pStyle w:val="Style_2"/>
              <w:widowControl w:val="0"/>
              <w:spacing w:after="0" w:before="0" w:line="240" w:lineRule="auto"/>
              <w:ind/>
              <w:jc w:val="center"/>
              <w:rPr>
                <w:rFonts w:ascii="Times New Roman" w:hAnsi="Times New Roman"/>
              </w:rPr>
            </w:pPr>
            <w:r>
              <w:rPr>
                <w:sz w:val="20"/>
              </w:rPr>
              <w:t>36,49</w:t>
            </w:r>
          </w:p>
        </w:tc>
      </w:tr>
      <w:tr>
        <w:trPr>
          <w:trHeight w:hRule="atLeast" w:val="164"/>
        </w:trPr>
        <w:tc>
          <w:tcPr>
            <w:tcW w:type="dxa" w:w="3461"/>
            <w:tcMar>
              <w:top w:type="dxa" w:w="0"/>
              <w:left w:type="dxa" w:w="108"/>
              <w:bottom w:type="dxa" w:w="0"/>
              <w:right w:type="dxa" w:w="108"/>
            </w:tcMar>
            <w:vAlign w:val="center"/>
          </w:tcPr>
          <w:p w14:paraId="3B030000">
            <w:pPr>
              <w:pStyle w:val="Style_2"/>
              <w:widowControl w:val="0"/>
              <w:spacing w:after="0" w:before="0" w:line="240" w:lineRule="auto"/>
              <w:ind/>
              <w:jc w:val="both"/>
              <w:rPr>
                <w:rFonts w:ascii="Times New Roman" w:hAnsi="Times New Roman"/>
              </w:rPr>
            </w:pPr>
            <w:r>
              <w:rPr>
                <w:sz w:val="20"/>
              </w:rPr>
              <w:t>АО «Корякэнерго»</w:t>
            </w:r>
          </w:p>
        </w:tc>
        <w:tc>
          <w:tcPr>
            <w:tcW w:type="dxa" w:w="602"/>
            <w:tcMar>
              <w:top w:type="dxa" w:w="0"/>
              <w:left w:type="dxa" w:w="108"/>
              <w:bottom w:type="dxa" w:w="0"/>
              <w:right w:type="dxa" w:w="108"/>
            </w:tcMar>
            <w:vAlign w:val="center"/>
          </w:tcPr>
          <w:p w14:paraId="3C030000">
            <w:pPr>
              <w:pStyle w:val="Style_2"/>
              <w:widowControl w:val="0"/>
              <w:spacing w:after="0" w:before="0" w:line="240" w:lineRule="auto"/>
              <w:ind/>
              <w:jc w:val="center"/>
              <w:rPr>
                <w:rFonts w:ascii="Times New Roman" w:hAnsi="Times New Roman"/>
              </w:rPr>
            </w:pPr>
          </w:p>
        </w:tc>
        <w:tc>
          <w:tcPr>
            <w:tcW w:type="dxa" w:w="904"/>
            <w:tcMar>
              <w:top w:type="dxa" w:w="0"/>
              <w:left w:type="dxa" w:w="108"/>
              <w:bottom w:type="dxa" w:w="0"/>
              <w:right w:type="dxa" w:w="108"/>
            </w:tcMar>
            <w:vAlign w:val="center"/>
          </w:tcPr>
          <w:p w14:paraId="3D030000">
            <w:pPr>
              <w:pStyle w:val="Style_2"/>
              <w:widowControl w:val="0"/>
              <w:spacing w:after="0" w:before="0" w:line="240" w:lineRule="auto"/>
              <w:ind/>
              <w:jc w:val="center"/>
              <w:rPr>
                <w:rFonts w:ascii="Times New Roman" w:hAnsi="Times New Roman"/>
              </w:rPr>
            </w:pPr>
          </w:p>
        </w:tc>
        <w:tc>
          <w:tcPr>
            <w:tcW w:type="dxa" w:w="905"/>
            <w:tcMar>
              <w:top w:type="dxa" w:w="0"/>
              <w:left w:type="dxa" w:w="108"/>
              <w:bottom w:type="dxa" w:w="0"/>
              <w:right w:type="dxa" w:w="108"/>
            </w:tcMar>
            <w:vAlign w:val="center"/>
          </w:tcPr>
          <w:p w14:paraId="3E030000">
            <w:pPr>
              <w:pStyle w:val="Style_2"/>
              <w:widowControl w:val="0"/>
              <w:spacing w:after="0" w:before="0" w:line="240" w:lineRule="auto"/>
              <w:ind/>
              <w:jc w:val="center"/>
              <w:rPr>
                <w:rFonts w:ascii="Times New Roman" w:hAnsi="Times New Roman"/>
              </w:rPr>
            </w:pPr>
          </w:p>
        </w:tc>
        <w:tc>
          <w:tcPr>
            <w:tcW w:type="dxa" w:w="905"/>
            <w:tcMar>
              <w:top w:type="dxa" w:w="0"/>
              <w:left w:type="dxa" w:w="108"/>
              <w:bottom w:type="dxa" w:w="0"/>
              <w:right w:type="dxa" w:w="108"/>
            </w:tcMar>
            <w:vAlign w:val="center"/>
          </w:tcPr>
          <w:p w14:paraId="3F030000">
            <w:pPr>
              <w:pStyle w:val="Style_2"/>
              <w:widowControl w:val="0"/>
              <w:spacing w:after="0" w:before="0" w:line="240" w:lineRule="auto"/>
              <w:ind/>
              <w:jc w:val="center"/>
              <w:rPr>
                <w:rFonts w:ascii="Times New Roman" w:hAnsi="Times New Roman"/>
              </w:rPr>
            </w:pPr>
            <w:r>
              <w:rPr>
                <w:sz w:val="20"/>
              </w:rPr>
              <w:t>11,74</w:t>
            </w:r>
          </w:p>
        </w:tc>
        <w:tc>
          <w:tcPr>
            <w:tcW w:type="dxa" w:w="603"/>
            <w:tcMar>
              <w:top w:type="dxa" w:w="0"/>
              <w:left w:type="dxa" w:w="108"/>
              <w:bottom w:type="dxa" w:w="0"/>
              <w:right w:type="dxa" w:w="108"/>
            </w:tcMar>
            <w:vAlign w:val="center"/>
          </w:tcPr>
          <w:p w14:paraId="40030000">
            <w:pPr>
              <w:pStyle w:val="Style_2"/>
              <w:widowControl w:val="0"/>
              <w:spacing w:after="0" w:before="0" w:line="240" w:lineRule="auto"/>
              <w:ind w:firstLine="709" w:left="0" w:right="0"/>
              <w:jc w:val="center"/>
              <w:rPr>
                <w:rFonts w:ascii="Times New Roman" w:hAnsi="Times New Roman"/>
              </w:rPr>
            </w:pPr>
          </w:p>
        </w:tc>
        <w:tc>
          <w:tcPr>
            <w:tcW w:type="dxa" w:w="907"/>
            <w:tcMar>
              <w:top w:type="dxa" w:w="0"/>
              <w:left w:type="dxa" w:w="108"/>
              <w:bottom w:type="dxa" w:w="0"/>
              <w:right w:type="dxa" w:w="108"/>
            </w:tcMar>
            <w:vAlign w:val="center"/>
          </w:tcPr>
          <w:p w14:paraId="41030000">
            <w:pPr>
              <w:pStyle w:val="Style_2"/>
              <w:widowControl w:val="0"/>
              <w:spacing w:after="0" w:before="0" w:line="240" w:lineRule="auto"/>
              <w:ind/>
              <w:jc w:val="center"/>
              <w:rPr>
                <w:rFonts w:ascii="Times New Roman" w:hAnsi="Times New Roman"/>
              </w:rPr>
            </w:pPr>
          </w:p>
        </w:tc>
        <w:tc>
          <w:tcPr>
            <w:tcW w:type="dxa" w:w="903"/>
            <w:tcMar>
              <w:top w:type="dxa" w:w="0"/>
              <w:left w:type="dxa" w:w="108"/>
              <w:bottom w:type="dxa" w:w="0"/>
              <w:right w:type="dxa" w:w="108"/>
            </w:tcMar>
            <w:vAlign w:val="center"/>
          </w:tcPr>
          <w:p w14:paraId="42030000">
            <w:pPr>
              <w:pStyle w:val="Style_2"/>
              <w:widowControl w:val="0"/>
              <w:spacing w:after="0" w:before="0" w:line="240" w:lineRule="auto"/>
              <w:ind/>
              <w:jc w:val="center"/>
              <w:rPr>
                <w:rFonts w:ascii="Times New Roman" w:hAnsi="Times New Roman"/>
              </w:rPr>
            </w:pPr>
          </w:p>
        </w:tc>
        <w:tc>
          <w:tcPr>
            <w:tcW w:type="dxa" w:w="902"/>
            <w:tcMar>
              <w:top w:type="dxa" w:w="0"/>
              <w:left w:type="dxa" w:w="108"/>
              <w:bottom w:type="dxa" w:w="0"/>
              <w:right w:type="dxa" w:w="108"/>
            </w:tcMar>
            <w:vAlign w:val="center"/>
          </w:tcPr>
          <w:p w14:paraId="43030000">
            <w:pPr>
              <w:pStyle w:val="Style_2"/>
              <w:widowControl w:val="0"/>
              <w:spacing w:after="0" w:before="0" w:line="240" w:lineRule="auto"/>
              <w:ind/>
              <w:jc w:val="center"/>
              <w:rPr>
                <w:rFonts w:ascii="Times New Roman" w:hAnsi="Times New Roman"/>
              </w:rPr>
            </w:pPr>
            <w:r>
              <w:rPr>
                <w:sz w:val="20"/>
              </w:rPr>
              <w:t>39,56</w:t>
            </w:r>
          </w:p>
        </w:tc>
      </w:tr>
      <w:tr>
        <w:trPr>
          <w:trHeight w:hRule="atLeast" w:val="168"/>
        </w:trPr>
        <w:tc>
          <w:tcPr>
            <w:tcW w:type="dxa" w:w="3461"/>
            <w:tcMar>
              <w:top w:type="dxa" w:w="0"/>
              <w:left w:type="dxa" w:w="108"/>
              <w:bottom w:type="dxa" w:w="0"/>
              <w:right w:type="dxa" w:w="108"/>
            </w:tcMar>
            <w:vAlign w:val="center"/>
          </w:tcPr>
          <w:p w14:paraId="44030000">
            <w:pPr>
              <w:pStyle w:val="Style_2"/>
              <w:widowControl w:val="0"/>
              <w:spacing w:after="0" w:before="0" w:line="240" w:lineRule="auto"/>
              <w:ind/>
              <w:jc w:val="both"/>
              <w:rPr>
                <w:rFonts w:ascii="Times New Roman" w:hAnsi="Times New Roman"/>
              </w:rPr>
            </w:pPr>
            <w:r>
              <w:rPr>
                <w:sz w:val="20"/>
              </w:rPr>
              <w:t>ПАО «Камчатскэнерго» (Озерновский энергоузел)</w:t>
            </w:r>
          </w:p>
        </w:tc>
        <w:tc>
          <w:tcPr>
            <w:tcW w:type="dxa" w:w="602"/>
            <w:tcMar>
              <w:top w:type="dxa" w:w="0"/>
              <w:left w:type="dxa" w:w="108"/>
              <w:bottom w:type="dxa" w:w="0"/>
              <w:right w:type="dxa" w:w="108"/>
            </w:tcMar>
            <w:vAlign w:val="center"/>
          </w:tcPr>
          <w:p w14:paraId="45030000">
            <w:pPr>
              <w:pStyle w:val="Style_2"/>
              <w:widowControl w:val="0"/>
              <w:spacing w:after="0" w:before="0" w:line="240" w:lineRule="auto"/>
              <w:ind/>
              <w:jc w:val="center"/>
              <w:rPr>
                <w:rFonts w:ascii="Times New Roman" w:hAnsi="Times New Roman"/>
              </w:rPr>
            </w:pPr>
          </w:p>
        </w:tc>
        <w:tc>
          <w:tcPr>
            <w:tcW w:type="dxa" w:w="904"/>
            <w:tcMar>
              <w:top w:type="dxa" w:w="0"/>
              <w:left w:type="dxa" w:w="108"/>
              <w:bottom w:type="dxa" w:w="0"/>
              <w:right w:type="dxa" w:w="108"/>
            </w:tcMar>
            <w:vAlign w:val="center"/>
          </w:tcPr>
          <w:p w14:paraId="46030000">
            <w:pPr>
              <w:pStyle w:val="Style_2"/>
              <w:widowControl w:val="0"/>
              <w:spacing w:after="0" w:before="0" w:line="240" w:lineRule="auto"/>
              <w:ind/>
              <w:jc w:val="center"/>
              <w:rPr>
                <w:rFonts w:ascii="Times New Roman" w:hAnsi="Times New Roman"/>
              </w:rPr>
            </w:pPr>
            <w:r>
              <w:rPr>
                <w:sz w:val="20"/>
              </w:rPr>
              <w:t>9,18</w:t>
            </w:r>
          </w:p>
        </w:tc>
        <w:tc>
          <w:tcPr>
            <w:tcW w:type="dxa" w:w="905"/>
            <w:tcMar>
              <w:top w:type="dxa" w:w="0"/>
              <w:left w:type="dxa" w:w="108"/>
              <w:bottom w:type="dxa" w:w="0"/>
              <w:right w:type="dxa" w:w="108"/>
            </w:tcMar>
            <w:vAlign w:val="center"/>
          </w:tcPr>
          <w:p w14:paraId="47030000">
            <w:pPr>
              <w:pStyle w:val="Style_2"/>
              <w:widowControl w:val="0"/>
              <w:spacing w:after="0" w:before="0" w:line="240" w:lineRule="auto"/>
              <w:ind/>
              <w:jc w:val="center"/>
              <w:rPr>
                <w:rFonts w:ascii="Times New Roman" w:hAnsi="Times New Roman"/>
              </w:rPr>
            </w:pPr>
            <w:r>
              <w:rPr>
                <w:sz w:val="20"/>
              </w:rPr>
              <w:t>9,41</w:t>
            </w:r>
          </w:p>
        </w:tc>
        <w:tc>
          <w:tcPr>
            <w:tcW w:type="dxa" w:w="905"/>
            <w:tcMar>
              <w:top w:type="dxa" w:w="0"/>
              <w:left w:type="dxa" w:w="108"/>
              <w:bottom w:type="dxa" w:w="0"/>
              <w:right w:type="dxa" w:w="108"/>
            </w:tcMar>
            <w:vAlign w:val="center"/>
          </w:tcPr>
          <w:p w14:paraId="48030000">
            <w:pPr>
              <w:pStyle w:val="Style_2"/>
              <w:widowControl w:val="0"/>
              <w:spacing w:after="0" w:before="0" w:line="240" w:lineRule="auto"/>
              <w:ind/>
              <w:jc w:val="center"/>
              <w:rPr>
                <w:rFonts w:ascii="Times New Roman" w:hAnsi="Times New Roman"/>
              </w:rPr>
            </w:pPr>
            <w:r>
              <w:rPr>
                <w:sz w:val="20"/>
              </w:rPr>
              <w:t>9,62</w:t>
            </w:r>
          </w:p>
        </w:tc>
        <w:tc>
          <w:tcPr>
            <w:tcW w:type="dxa" w:w="603"/>
            <w:tcMar>
              <w:top w:type="dxa" w:w="0"/>
              <w:left w:type="dxa" w:w="108"/>
              <w:bottom w:type="dxa" w:w="0"/>
              <w:right w:type="dxa" w:w="108"/>
            </w:tcMar>
            <w:vAlign w:val="center"/>
          </w:tcPr>
          <w:p w14:paraId="49030000">
            <w:pPr>
              <w:pStyle w:val="Style_2"/>
              <w:widowControl w:val="0"/>
              <w:spacing w:after="0" w:before="0" w:line="240" w:lineRule="auto"/>
              <w:ind w:firstLine="709" w:left="0" w:right="0"/>
              <w:jc w:val="center"/>
              <w:rPr>
                <w:rFonts w:ascii="Times New Roman" w:hAnsi="Times New Roman"/>
              </w:rPr>
            </w:pPr>
          </w:p>
        </w:tc>
        <w:tc>
          <w:tcPr>
            <w:tcW w:type="dxa" w:w="907"/>
            <w:tcMar>
              <w:top w:type="dxa" w:w="0"/>
              <w:left w:type="dxa" w:w="108"/>
              <w:bottom w:type="dxa" w:w="0"/>
              <w:right w:type="dxa" w:w="108"/>
            </w:tcMar>
            <w:vAlign w:val="center"/>
          </w:tcPr>
          <w:p w14:paraId="4A030000">
            <w:pPr>
              <w:pStyle w:val="Style_2"/>
              <w:widowControl w:val="0"/>
              <w:spacing w:after="0" w:before="0" w:line="240" w:lineRule="auto"/>
              <w:ind/>
              <w:jc w:val="center"/>
              <w:rPr>
                <w:rFonts w:ascii="Times New Roman" w:hAnsi="Times New Roman"/>
              </w:rPr>
            </w:pPr>
            <w:r>
              <w:rPr>
                <w:sz w:val="20"/>
              </w:rPr>
              <w:t>24,14</w:t>
            </w:r>
          </w:p>
        </w:tc>
        <w:tc>
          <w:tcPr>
            <w:tcW w:type="dxa" w:w="903"/>
            <w:tcMar>
              <w:top w:type="dxa" w:w="0"/>
              <w:left w:type="dxa" w:w="108"/>
              <w:bottom w:type="dxa" w:w="0"/>
              <w:right w:type="dxa" w:w="108"/>
            </w:tcMar>
            <w:vAlign w:val="center"/>
          </w:tcPr>
          <w:p w14:paraId="4B030000">
            <w:pPr>
              <w:pStyle w:val="Style_2"/>
              <w:widowControl w:val="0"/>
              <w:spacing w:after="0" w:before="0" w:line="240" w:lineRule="auto"/>
              <w:ind/>
              <w:jc w:val="center"/>
              <w:rPr>
                <w:rFonts w:ascii="Times New Roman" w:hAnsi="Times New Roman"/>
              </w:rPr>
            </w:pPr>
            <w:r>
              <w:rPr>
                <w:sz w:val="20"/>
              </w:rPr>
              <w:t>23,28</w:t>
            </w:r>
          </w:p>
        </w:tc>
        <w:tc>
          <w:tcPr>
            <w:tcW w:type="dxa" w:w="902"/>
            <w:tcMar>
              <w:top w:type="dxa" w:w="0"/>
              <w:left w:type="dxa" w:w="108"/>
              <w:bottom w:type="dxa" w:w="0"/>
              <w:right w:type="dxa" w:w="108"/>
            </w:tcMar>
            <w:vAlign w:val="center"/>
          </w:tcPr>
          <w:p w14:paraId="4C030000">
            <w:pPr>
              <w:pStyle w:val="Style_2"/>
              <w:widowControl w:val="0"/>
              <w:spacing w:after="0" w:before="0" w:line="240" w:lineRule="auto"/>
              <w:ind/>
              <w:jc w:val="center"/>
              <w:rPr>
                <w:rFonts w:ascii="Times New Roman" w:hAnsi="Times New Roman"/>
              </w:rPr>
            </w:pPr>
            <w:r>
              <w:rPr>
                <w:sz w:val="20"/>
              </w:rPr>
              <w:t>24,59</w:t>
            </w:r>
          </w:p>
        </w:tc>
      </w:tr>
    </w:tbl>
    <w:p w14:paraId="4D030000">
      <w:pPr>
        <w:pStyle w:val="Style_2"/>
        <w:spacing w:after="0" w:before="60" w:line="240" w:lineRule="auto"/>
        <w:ind w:firstLine="709" w:left="0" w:right="0"/>
        <w:jc w:val="both"/>
        <w:rPr>
          <w:rFonts w:ascii="Times New Roman" w:hAnsi="Times New Roman"/>
          <w:sz w:val="24"/>
        </w:rPr>
      </w:pPr>
    </w:p>
    <w:p w14:paraId="4E030000">
      <w:pPr>
        <w:pStyle w:val="Style_2"/>
        <w:spacing w:after="0" w:before="0" w:line="240" w:lineRule="auto"/>
        <w:ind w:firstLine="709" w:left="0" w:right="0"/>
        <w:jc w:val="both"/>
        <w:rPr>
          <w:rFonts w:ascii="Times New Roman" w:hAnsi="Times New Roman"/>
        </w:rPr>
      </w:pPr>
      <w:r>
        <w:rPr>
          <w:sz w:val="24"/>
        </w:rPr>
        <w:t>8) потребители электрической энергии (мощности), относящиеся к организациям топливно-энергетического комплекса, в отношении которых поэтапно в течение 3 лет сокращается разница между ценами (тарифами) на электрическую энергию (мощность) и базовыми уровнями цен (тарифов) на электрическую энергию (мощность):</w:t>
      </w:r>
    </w:p>
    <w:p w14:paraId="4F030000">
      <w:pPr>
        <w:pStyle w:val="Style_2"/>
        <w:widowControl w:val="0"/>
        <w:spacing w:after="0" w:before="0" w:line="240" w:lineRule="auto"/>
        <w:ind w:firstLine="0" w:left="1069" w:right="0"/>
        <w:contextualSpacing w:val="1"/>
        <w:jc w:val="right"/>
        <w:rPr>
          <w:rFonts w:ascii="Times New Roman" w:hAnsi="Times New Roman"/>
        </w:rPr>
      </w:pPr>
      <w:r>
        <w:rPr>
          <w:sz w:val="24"/>
        </w:rPr>
        <w:t>руб./кВтч (без НДС)</w:t>
      </w:r>
    </w:p>
    <w:tbl>
      <w:tblPr>
        <w:tblStyle w:val="Style_6"/>
        <w:tblInd w:type="dxa" w:w="113"/>
        <w:tblLayout w:type="fixed"/>
        <w:tblCellMar>
          <w:top w:type="dxa" w:w="0"/>
          <w:left w:type="dxa" w:w="108"/>
          <w:bottom w:type="dxa" w:w="0"/>
          <w:right w:type="dxa" w:w="108"/>
        </w:tblCellMar>
      </w:tblPr>
      <w:tblGrid>
        <w:gridCol w:w="3158"/>
        <w:gridCol w:w="750"/>
        <w:gridCol w:w="904"/>
        <w:gridCol w:w="906"/>
        <w:gridCol w:w="906"/>
        <w:gridCol w:w="753"/>
        <w:gridCol w:w="910"/>
        <w:gridCol w:w="900"/>
        <w:gridCol w:w="906"/>
      </w:tblGrid>
      <w:tr>
        <w:trPr>
          <w:trHeight w:hRule="atLeast" w:val="204"/>
          <w:tblHeader/>
        </w:trPr>
        <w:tc>
          <w:tcPr>
            <w:tcW w:type="dxa" w:w="3158"/>
            <w:vMerge w:val="restart"/>
            <w:tcMar>
              <w:top w:type="dxa" w:w="0"/>
              <w:left w:type="dxa" w:w="108"/>
              <w:bottom w:type="dxa" w:w="0"/>
              <w:right w:type="dxa" w:w="108"/>
            </w:tcMar>
            <w:vAlign w:val="center"/>
          </w:tcPr>
          <w:p w14:paraId="50030000">
            <w:pPr>
              <w:pStyle w:val="Style_2"/>
              <w:widowControl w:val="0"/>
              <w:spacing w:after="0" w:before="0" w:line="240" w:lineRule="auto"/>
              <w:ind/>
              <w:jc w:val="center"/>
              <w:rPr>
                <w:rFonts w:ascii="Times New Roman" w:hAnsi="Times New Roman"/>
                <w:sz w:val="24"/>
              </w:rPr>
            </w:pPr>
            <w:r>
              <w:rPr>
                <w:sz w:val="20"/>
              </w:rPr>
              <w:t>Энергоснабжающая организация</w:t>
            </w:r>
          </w:p>
        </w:tc>
        <w:tc>
          <w:tcPr>
            <w:tcW w:type="dxa" w:w="3466"/>
            <w:gridSpan w:val="4"/>
            <w:tcMar>
              <w:top w:type="dxa" w:w="0"/>
              <w:left w:type="dxa" w:w="108"/>
              <w:bottom w:type="dxa" w:w="0"/>
              <w:right w:type="dxa" w:w="108"/>
            </w:tcMar>
            <w:vAlign w:val="center"/>
          </w:tcPr>
          <w:p w14:paraId="51030000">
            <w:pPr>
              <w:pStyle w:val="Style_2"/>
              <w:widowControl w:val="0"/>
              <w:spacing w:after="0" w:before="0" w:line="240" w:lineRule="auto"/>
              <w:ind w:firstLine="709" w:left="0" w:right="0"/>
              <w:jc w:val="both"/>
              <w:rPr>
                <w:rFonts w:ascii="Times New Roman" w:hAnsi="Times New Roman"/>
                <w:sz w:val="24"/>
              </w:rPr>
            </w:pPr>
            <w:r>
              <w:rPr>
                <w:sz w:val="20"/>
              </w:rPr>
              <w:t>1 полугодие 2024 года</w:t>
            </w:r>
          </w:p>
        </w:tc>
        <w:tc>
          <w:tcPr>
            <w:tcW w:type="dxa" w:w="3469"/>
            <w:gridSpan w:val="4"/>
            <w:tcMar>
              <w:top w:type="dxa" w:w="0"/>
              <w:left w:type="dxa" w:w="108"/>
              <w:bottom w:type="dxa" w:w="0"/>
              <w:right w:type="dxa" w:w="108"/>
            </w:tcMar>
            <w:vAlign w:val="center"/>
          </w:tcPr>
          <w:p w14:paraId="52030000">
            <w:pPr>
              <w:pStyle w:val="Style_2"/>
              <w:widowControl w:val="0"/>
              <w:spacing w:after="0" w:before="0" w:line="240" w:lineRule="auto"/>
              <w:ind w:firstLine="709" w:left="0" w:right="0"/>
              <w:jc w:val="both"/>
              <w:rPr>
                <w:rFonts w:ascii="Times New Roman" w:hAnsi="Times New Roman"/>
                <w:sz w:val="24"/>
              </w:rPr>
            </w:pPr>
            <w:r>
              <w:rPr>
                <w:sz w:val="20"/>
              </w:rPr>
              <w:t>2</w:t>
            </w:r>
            <w:r>
              <w:rPr>
                <w:sz w:val="20"/>
              </w:rPr>
              <w:t xml:space="preserve"> полугодие 202</w:t>
            </w:r>
            <w:r>
              <w:rPr>
                <w:sz w:val="20"/>
              </w:rPr>
              <w:t>4</w:t>
            </w:r>
            <w:r>
              <w:rPr>
                <w:sz w:val="20"/>
              </w:rPr>
              <w:t xml:space="preserve"> года</w:t>
            </w:r>
          </w:p>
        </w:tc>
      </w:tr>
      <w:tr>
        <w:trPr>
          <w:trHeight w:hRule="atLeast" w:val="288"/>
          <w:tblHeader/>
        </w:trPr>
        <w:tc>
          <w:tcPr>
            <w:tcW w:type="dxa" w:w="3158"/>
            <w:gridSpan w:val="1"/>
            <w:vMerge w:val="continue"/>
            <w:tcMar>
              <w:top w:type="dxa" w:w="0"/>
              <w:left w:type="dxa" w:w="108"/>
              <w:bottom w:type="dxa" w:w="0"/>
              <w:right w:type="dxa" w:w="108"/>
            </w:tcMar>
            <w:vAlign w:val="center"/>
          </w:tcPr>
          <w:p/>
        </w:tc>
        <w:tc>
          <w:tcPr>
            <w:tcW w:type="dxa" w:w="750"/>
            <w:tcMar>
              <w:top w:type="dxa" w:w="0"/>
              <w:left w:type="dxa" w:w="108"/>
              <w:bottom w:type="dxa" w:w="0"/>
              <w:right w:type="dxa" w:w="108"/>
            </w:tcMar>
            <w:vAlign w:val="center"/>
          </w:tcPr>
          <w:p w14:paraId="53030000">
            <w:pPr>
              <w:pStyle w:val="Style_2"/>
              <w:widowControl w:val="0"/>
              <w:spacing w:after="0" w:before="0" w:line="240" w:lineRule="auto"/>
              <w:ind/>
              <w:jc w:val="center"/>
              <w:rPr>
                <w:rFonts w:ascii="Times New Roman" w:hAnsi="Times New Roman"/>
                <w:sz w:val="24"/>
              </w:rPr>
            </w:pPr>
            <w:r>
              <w:rPr>
                <w:sz w:val="20"/>
              </w:rPr>
              <w:t>ВН</w:t>
            </w:r>
          </w:p>
        </w:tc>
        <w:tc>
          <w:tcPr>
            <w:tcW w:type="dxa" w:w="904"/>
            <w:tcMar>
              <w:top w:type="dxa" w:w="0"/>
              <w:left w:type="dxa" w:w="108"/>
              <w:bottom w:type="dxa" w:w="0"/>
              <w:right w:type="dxa" w:w="108"/>
            </w:tcMar>
            <w:vAlign w:val="center"/>
          </w:tcPr>
          <w:p w14:paraId="54030000">
            <w:pPr>
              <w:pStyle w:val="Style_2"/>
              <w:widowControl w:val="0"/>
              <w:spacing w:after="0" w:before="0" w:line="240" w:lineRule="auto"/>
              <w:ind/>
              <w:jc w:val="center"/>
              <w:rPr>
                <w:rFonts w:ascii="Times New Roman" w:hAnsi="Times New Roman"/>
                <w:sz w:val="24"/>
              </w:rPr>
            </w:pPr>
            <w:r>
              <w:rPr>
                <w:sz w:val="20"/>
              </w:rPr>
              <w:t>СН-1</w:t>
            </w:r>
          </w:p>
        </w:tc>
        <w:tc>
          <w:tcPr>
            <w:tcW w:type="dxa" w:w="906"/>
            <w:tcMar>
              <w:top w:type="dxa" w:w="0"/>
              <w:left w:type="dxa" w:w="108"/>
              <w:bottom w:type="dxa" w:w="0"/>
              <w:right w:type="dxa" w:w="108"/>
            </w:tcMar>
            <w:vAlign w:val="center"/>
          </w:tcPr>
          <w:p w14:paraId="55030000">
            <w:pPr>
              <w:pStyle w:val="Style_2"/>
              <w:widowControl w:val="0"/>
              <w:spacing w:after="0" w:before="0" w:line="240" w:lineRule="auto"/>
              <w:ind/>
              <w:jc w:val="center"/>
              <w:rPr>
                <w:rFonts w:ascii="Times New Roman" w:hAnsi="Times New Roman"/>
                <w:sz w:val="24"/>
              </w:rPr>
            </w:pPr>
            <w:r>
              <w:rPr>
                <w:sz w:val="20"/>
              </w:rPr>
              <w:t>СН-II</w:t>
            </w:r>
          </w:p>
        </w:tc>
        <w:tc>
          <w:tcPr>
            <w:tcW w:type="dxa" w:w="906"/>
            <w:tcMar>
              <w:top w:type="dxa" w:w="0"/>
              <w:left w:type="dxa" w:w="108"/>
              <w:bottom w:type="dxa" w:w="0"/>
              <w:right w:type="dxa" w:w="108"/>
            </w:tcMar>
            <w:vAlign w:val="center"/>
          </w:tcPr>
          <w:p w14:paraId="56030000">
            <w:pPr>
              <w:pStyle w:val="Style_2"/>
              <w:widowControl w:val="0"/>
              <w:spacing w:after="0" w:before="0" w:line="240" w:lineRule="auto"/>
              <w:ind/>
              <w:jc w:val="center"/>
              <w:rPr>
                <w:rFonts w:ascii="Times New Roman" w:hAnsi="Times New Roman"/>
                <w:sz w:val="24"/>
              </w:rPr>
            </w:pPr>
            <w:r>
              <w:rPr>
                <w:sz w:val="20"/>
              </w:rPr>
              <w:t>НН</w:t>
            </w:r>
          </w:p>
        </w:tc>
        <w:tc>
          <w:tcPr>
            <w:tcW w:type="dxa" w:w="753"/>
            <w:tcMar>
              <w:top w:type="dxa" w:w="0"/>
              <w:left w:type="dxa" w:w="108"/>
              <w:bottom w:type="dxa" w:w="0"/>
              <w:right w:type="dxa" w:w="108"/>
            </w:tcMar>
            <w:vAlign w:val="center"/>
          </w:tcPr>
          <w:p w14:paraId="57030000">
            <w:pPr>
              <w:pStyle w:val="Style_2"/>
              <w:widowControl w:val="0"/>
              <w:spacing w:after="0" w:before="0" w:line="240" w:lineRule="auto"/>
              <w:ind/>
              <w:jc w:val="center"/>
              <w:rPr>
                <w:rFonts w:ascii="Times New Roman" w:hAnsi="Times New Roman"/>
                <w:sz w:val="24"/>
              </w:rPr>
            </w:pPr>
            <w:r>
              <w:rPr>
                <w:sz w:val="20"/>
              </w:rPr>
              <w:t>ВН</w:t>
            </w:r>
          </w:p>
        </w:tc>
        <w:tc>
          <w:tcPr>
            <w:tcW w:type="dxa" w:w="910"/>
            <w:tcMar>
              <w:top w:type="dxa" w:w="0"/>
              <w:left w:type="dxa" w:w="108"/>
              <w:bottom w:type="dxa" w:w="0"/>
              <w:right w:type="dxa" w:w="108"/>
            </w:tcMar>
            <w:vAlign w:val="center"/>
          </w:tcPr>
          <w:p w14:paraId="58030000">
            <w:pPr>
              <w:pStyle w:val="Style_2"/>
              <w:widowControl w:val="0"/>
              <w:spacing w:after="0" w:before="0" w:line="240" w:lineRule="auto"/>
              <w:ind/>
              <w:jc w:val="center"/>
              <w:rPr>
                <w:rFonts w:ascii="Times New Roman" w:hAnsi="Times New Roman"/>
                <w:sz w:val="24"/>
              </w:rPr>
            </w:pPr>
            <w:r>
              <w:rPr>
                <w:sz w:val="20"/>
              </w:rPr>
              <w:t>СН-1</w:t>
            </w:r>
          </w:p>
        </w:tc>
        <w:tc>
          <w:tcPr>
            <w:tcW w:type="dxa" w:w="900"/>
            <w:tcMar>
              <w:top w:type="dxa" w:w="0"/>
              <w:left w:type="dxa" w:w="108"/>
              <w:bottom w:type="dxa" w:w="0"/>
              <w:right w:type="dxa" w:w="108"/>
            </w:tcMar>
            <w:vAlign w:val="center"/>
          </w:tcPr>
          <w:p w14:paraId="59030000">
            <w:pPr>
              <w:pStyle w:val="Style_2"/>
              <w:widowControl w:val="0"/>
              <w:spacing w:after="0" w:before="0" w:line="240" w:lineRule="auto"/>
              <w:ind/>
              <w:jc w:val="center"/>
              <w:rPr>
                <w:rFonts w:ascii="Times New Roman" w:hAnsi="Times New Roman"/>
                <w:sz w:val="24"/>
              </w:rPr>
            </w:pPr>
            <w:r>
              <w:rPr>
                <w:sz w:val="20"/>
              </w:rPr>
              <w:t>СН-II</w:t>
            </w:r>
          </w:p>
        </w:tc>
        <w:tc>
          <w:tcPr>
            <w:tcW w:type="dxa" w:w="906"/>
            <w:tcMar>
              <w:top w:type="dxa" w:w="0"/>
              <w:left w:type="dxa" w:w="108"/>
              <w:bottom w:type="dxa" w:w="0"/>
              <w:right w:type="dxa" w:w="108"/>
            </w:tcMar>
            <w:vAlign w:val="center"/>
          </w:tcPr>
          <w:p w14:paraId="5A030000">
            <w:pPr>
              <w:pStyle w:val="Style_2"/>
              <w:widowControl w:val="0"/>
              <w:spacing w:after="0" w:before="0" w:line="240" w:lineRule="auto"/>
              <w:ind/>
              <w:jc w:val="center"/>
              <w:rPr>
                <w:rFonts w:ascii="Times New Roman" w:hAnsi="Times New Roman"/>
                <w:sz w:val="24"/>
              </w:rPr>
            </w:pPr>
            <w:r>
              <w:rPr>
                <w:sz w:val="20"/>
              </w:rPr>
              <w:t>НН</w:t>
            </w:r>
          </w:p>
        </w:tc>
      </w:tr>
      <w:tr>
        <w:trPr>
          <w:trHeight w:hRule="atLeast" w:val="430"/>
        </w:trPr>
        <w:tc>
          <w:tcPr>
            <w:tcW w:type="dxa" w:w="3158"/>
            <w:tcMar>
              <w:top w:type="dxa" w:w="0"/>
              <w:left w:type="dxa" w:w="108"/>
              <w:bottom w:type="dxa" w:w="0"/>
              <w:right w:type="dxa" w:w="108"/>
            </w:tcMar>
            <w:vAlign w:val="center"/>
          </w:tcPr>
          <w:p w14:paraId="5B030000">
            <w:pPr>
              <w:pStyle w:val="Style_2"/>
              <w:widowControl w:val="0"/>
              <w:spacing w:after="0" w:before="0" w:line="240" w:lineRule="auto"/>
              <w:ind/>
              <w:jc w:val="left"/>
              <w:rPr>
                <w:rFonts w:ascii="Times New Roman" w:hAnsi="Times New Roman"/>
                <w:sz w:val="24"/>
              </w:rPr>
            </w:pPr>
            <w:r>
              <w:rPr>
                <w:sz w:val="20"/>
              </w:rPr>
              <w:t>ПАО «Камчатскэнерго» (Центральный энергоузел)</w:t>
            </w:r>
          </w:p>
        </w:tc>
        <w:tc>
          <w:tcPr>
            <w:tcW w:type="dxa" w:w="750"/>
            <w:tcMar>
              <w:top w:type="dxa" w:w="0"/>
              <w:left w:type="dxa" w:w="108"/>
              <w:bottom w:type="dxa" w:w="0"/>
              <w:right w:type="dxa" w:w="108"/>
            </w:tcMar>
            <w:vAlign w:val="center"/>
          </w:tcPr>
          <w:p w14:paraId="5C030000">
            <w:pPr>
              <w:pStyle w:val="Style_2"/>
              <w:widowControl w:val="0"/>
              <w:spacing w:after="0" w:before="0" w:line="240" w:lineRule="auto"/>
              <w:ind/>
              <w:jc w:val="center"/>
              <w:rPr>
                <w:rFonts w:ascii="Times New Roman" w:hAnsi="Times New Roman"/>
                <w:sz w:val="24"/>
              </w:rPr>
            </w:pPr>
            <w:r>
              <w:rPr>
                <w:sz w:val="20"/>
              </w:rPr>
              <w:t>7</w:t>
            </w:r>
            <w:r>
              <w:rPr>
                <w:sz w:val="20"/>
              </w:rPr>
              <w:t>,</w:t>
            </w:r>
            <w:r>
              <w:rPr>
                <w:sz w:val="20"/>
              </w:rPr>
              <w:t>27</w:t>
            </w:r>
          </w:p>
        </w:tc>
        <w:tc>
          <w:tcPr>
            <w:tcW w:type="dxa" w:w="904"/>
            <w:tcMar>
              <w:top w:type="dxa" w:w="0"/>
              <w:left w:type="dxa" w:w="108"/>
              <w:bottom w:type="dxa" w:w="0"/>
              <w:right w:type="dxa" w:w="108"/>
            </w:tcMar>
            <w:vAlign w:val="center"/>
          </w:tcPr>
          <w:p w14:paraId="5D030000">
            <w:pPr>
              <w:pStyle w:val="Style_2"/>
              <w:widowControl w:val="0"/>
              <w:spacing w:after="0" w:before="0" w:line="240" w:lineRule="auto"/>
              <w:ind/>
              <w:jc w:val="center"/>
              <w:rPr>
                <w:rFonts w:ascii="Times New Roman" w:hAnsi="Times New Roman"/>
                <w:sz w:val="24"/>
              </w:rPr>
            </w:pPr>
            <w:r>
              <w:rPr>
                <w:sz w:val="20"/>
              </w:rPr>
              <w:t>8,12</w:t>
            </w:r>
          </w:p>
        </w:tc>
        <w:tc>
          <w:tcPr>
            <w:tcW w:type="dxa" w:w="906"/>
            <w:tcMar>
              <w:top w:type="dxa" w:w="0"/>
              <w:left w:type="dxa" w:w="108"/>
              <w:bottom w:type="dxa" w:w="0"/>
              <w:right w:type="dxa" w:w="108"/>
            </w:tcMar>
            <w:vAlign w:val="center"/>
          </w:tcPr>
          <w:p w14:paraId="5E030000">
            <w:pPr>
              <w:pStyle w:val="Style_2"/>
              <w:widowControl w:val="0"/>
              <w:spacing w:after="0" w:before="0" w:line="240" w:lineRule="auto"/>
              <w:ind/>
              <w:jc w:val="center"/>
              <w:rPr>
                <w:rFonts w:ascii="Times New Roman" w:hAnsi="Times New Roman"/>
                <w:sz w:val="24"/>
              </w:rPr>
            </w:pPr>
            <w:r>
              <w:rPr>
                <w:sz w:val="20"/>
              </w:rPr>
              <w:t>8,59</w:t>
            </w:r>
          </w:p>
        </w:tc>
        <w:tc>
          <w:tcPr>
            <w:tcW w:type="dxa" w:w="906"/>
            <w:tcMar>
              <w:top w:type="dxa" w:w="0"/>
              <w:left w:type="dxa" w:w="108"/>
              <w:bottom w:type="dxa" w:w="0"/>
              <w:right w:type="dxa" w:w="108"/>
            </w:tcMar>
            <w:vAlign w:val="center"/>
          </w:tcPr>
          <w:p w14:paraId="5F030000">
            <w:pPr>
              <w:pStyle w:val="Style_2"/>
              <w:widowControl w:val="0"/>
              <w:spacing w:after="0" w:before="0" w:line="240" w:lineRule="auto"/>
              <w:ind/>
              <w:jc w:val="center"/>
              <w:rPr>
                <w:rFonts w:ascii="Times New Roman" w:hAnsi="Times New Roman"/>
                <w:sz w:val="24"/>
              </w:rPr>
            </w:pPr>
            <w:r>
              <w:rPr>
                <w:sz w:val="20"/>
              </w:rPr>
              <w:t>10,33</w:t>
            </w:r>
          </w:p>
        </w:tc>
        <w:tc>
          <w:tcPr>
            <w:tcW w:type="dxa" w:w="753"/>
            <w:tcMar>
              <w:top w:type="dxa" w:w="0"/>
              <w:left w:type="dxa" w:w="108"/>
              <w:bottom w:type="dxa" w:w="0"/>
              <w:right w:type="dxa" w:w="108"/>
            </w:tcMar>
            <w:vAlign w:val="center"/>
          </w:tcPr>
          <w:p w14:paraId="60030000">
            <w:pPr>
              <w:pStyle w:val="Style_2"/>
              <w:widowControl w:val="0"/>
              <w:spacing w:after="0" w:before="0" w:line="240" w:lineRule="auto"/>
              <w:ind/>
              <w:jc w:val="center"/>
              <w:rPr>
                <w:rFonts w:ascii="Times New Roman" w:hAnsi="Times New Roman"/>
                <w:sz w:val="24"/>
              </w:rPr>
            </w:pPr>
            <w:r>
              <w:rPr>
                <w:sz w:val="20"/>
              </w:rPr>
              <w:t>12,53</w:t>
            </w:r>
          </w:p>
        </w:tc>
        <w:tc>
          <w:tcPr>
            <w:tcW w:type="dxa" w:w="910"/>
            <w:tcMar>
              <w:top w:type="dxa" w:w="0"/>
              <w:left w:type="dxa" w:w="108"/>
              <w:bottom w:type="dxa" w:w="0"/>
              <w:right w:type="dxa" w:w="108"/>
            </w:tcMar>
            <w:vAlign w:val="center"/>
          </w:tcPr>
          <w:p w14:paraId="61030000">
            <w:pPr>
              <w:pStyle w:val="Style_2"/>
              <w:widowControl w:val="0"/>
              <w:spacing w:after="0" w:before="0" w:line="240" w:lineRule="auto"/>
              <w:ind/>
              <w:jc w:val="center"/>
              <w:rPr>
                <w:rFonts w:ascii="Times New Roman" w:hAnsi="Times New Roman"/>
                <w:sz w:val="24"/>
              </w:rPr>
            </w:pPr>
            <w:r>
              <w:rPr>
                <w:sz w:val="20"/>
              </w:rPr>
              <w:t>15,95</w:t>
            </w:r>
          </w:p>
        </w:tc>
        <w:tc>
          <w:tcPr>
            <w:tcW w:type="dxa" w:w="900"/>
            <w:tcMar>
              <w:top w:type="dxa" w:w="0"/>
              <w:left w:type="dxa" w:w="108"/>
              <w:bottom w:type="dxa" w:w="0"/>
              <w:right w:type="dxa" w:w="108"/>
            </w:tcMar>
            <w:vAlign w:val="center"/>
          </w:tcPr>
          <w:p w14:paraId="62030000">
            <w:pPr>
              <w:pStyle w:val="Style_2"/>
              <w:widowControl w:val="0"/>
              <w:spacing w:after="0" w:before="0" w:line="240" w:lineRule="auto"/>
              <w:ind/>
              <w:jc w:val="center"/>
              <w:rPr>
                <w:rFonts w:ascii="Times New Roman" w:hAnsi="Times New Roman"/>
                <w:sz w:val="24"/>
              </w:rPr>
            </w:pPr>
            <w:r>
              <w:rPr>
                <w:sz w:val="20"/>
              </w:rPr>
              <w:t>16,22</w:t>
            </w:r>
          </w:p>
        </w:tc>
        <w:tc>
          <w:tcPr>
            <w:tcW w:type="dxa" w:w="906"/>
            <w:tcMar>
              <w:top w:type="dxa" w:w="0"/>
              <w:left w:type="dxa" w:w="108"/>
              <w:bottom w:type="dxa" w:w="0"/>
              <w:right w:type="dxa" w:w="108"/>
            </w:tcMar>
            <w:vAlign w:val="center"/>
          </w:tcPr>
          <w:p w14:paraId="63030000">
            <w:pPr>
              <w:pStyle w:val="Style_2"/>
              <w:widowControl w:val="0"/>
              <w:spacing w:after="0" w:before="0" w:line="240" w:lineRule="auto"/>
              <w:ind/>
              <w:jc w:val="center"/>
              <w:rPr>
                <w:rFonts w:ascii="Times New Roman" w:hAnsi="Times New Roman"/>
                <w:sz w:val="24"/>
              </w:rPr>
            </w:pPr>
            <w:r>
              <w:rPr>
                <w:sz w:val="20"/>
              </w:rPr>
              <w:t>18,02</w:t>
            </w:r>
          </w:p>
        </w:tc>
      </w:tr>
      <w:tr>
        <w:trPr>
          <w:trHeight w:hRule="atLeast" w:val="430"/>
        </w:trPr>
        <w:tc>
          <w:tcPr>
            <w:tcW w:type="dxa" w:w="3158"/>
            <w:tcMar>
              <w:top w:type="dxa" w:w="0"/>
              <w:left w:type="dxa" w:w="108"/>
              <w:bottom w:type="dxa" w:w="0"/>
              <w:right w:type="dxa" w:w="108"/>
            </w:tcMar>
            <w:vAlign w:val="center"/>
          </w:tcPr>
          <w:p w14:paraId="64030000">
            <w:pPr>
              <w:pStyle w:val="Style_2"/>
              <w:widowControl w:val="0"/>
              <w:spacing w:after="0" w:before="0" w:line="240" w:lineRule="auto"/>
              <w:ind/>
              <w:jc w:val="left"/>
              <w:rPr>
                <w:rFonts w:ascii="Times New Roman" w:hAnsi="Times New Roman"/>
                <w:sz w:val="24"/>
              </w:rPr>
            </w:pPr>
            <w:r>
              <w:rPr>
                <w:sz w:val="20"/>
              </w:rPr>
              <w:t>АО «ЮЭСК»</w:t>
            </w:r>
          </w:p>
        </w:tc>
        <w:tc>
          <w:tcPr>
            <w:tcW w:type="dxa" w:w="750"/>
            <w:tcMar>
              <w:top w:type="dxa" w:w="0"/>
              <w:left w:type="dxa" w:w="108"/>
              <w:bottom w:type="dxa" w:w="0"/>
              <w:right w:type="dxa" w:w="108"/>
            </w:tcMar>
            <w:vAlign w:val="center"/>
          </w:tcPr>
          <w:p w14:paraId="65030000">
            <w:pPr>
              <w:pStyle w:val="Style_2"/>
              <w:widowControl w:val="0"/>
              <w:spacing w:after="0" w:before="0" w:line="240" w:lineRule="auto"/>
              <w:ind/>
              <w:jc w:val="center"/>
              <w:rPr>
                <w:rFonts w:ascii="Times New Roman" w:hAnsi="Times New Roman"/>
                <w:sz w:val="24"/>
              </w:rPr>
            </w:pPr>
          </w:p>
        </w:tc>
        <w:tc>
          <w:tcPr>
            <w:tcW w:type="dxa" w:w="904"/>
            <w:tcMar>
              <w:top w:type="dxa" w:w="0"/>
              <w:left w:type="dxa" w:w="108"/>
              <w:bottom w:type="dxa" w:w="0"/>
              <w:right w:type="dxa" w:w="108"/>
            </w:tcMar>
            <w:vAlign w:val="center"/>
          </w:tcPr>
          <w:p w14:paraId="66030000">
            <w:pPr>
              <w:pStyle w:val="Style_2"/>
              <w:widowControl w:val="0"/>
              <w:spacing w:after="0" w:before="0" w:line="240" w:lineRule="auto"/>
              <w:ind/>
              <w:jc w:val="center"/>
              <w:rPr>
                <w:rFonts w:ascii="Times New Roman" w:hAnsi="Times New Roman"/>
                <w:sz w:val="24"/>
              </w:rPr>
            </w:pPr>
            <w:r>
              <w:rPr>
                <w:sz w:val="20"/>
              </w:rPr>
              <w:t>20,57</w:t>
            </w:r>
          </w:p>
        </w:tc>
        <w:tc>
          <w:tcPr>
            <w:tcW w:type="dxa" w:w="906"/>
            <w:tcMar>
              <w:top w:type="dxa" w:w="0"/>
              <w:left w:type="dxa" w:w="108"/>
              <w:bottom w:type="dxa" w:w="0"/>
              <w:right w:type="dxa" w:w="108"/>
            </w:tcMar>
            <w:vAlign w:val="center"/>
          </w:tcPr>
          <w:p w14:paraId="67030000">
            <w:pPr>
              <w:pStyle w:val="Style_2"/>
              <w:widowControl w:val="0"/>
              <w:spacing w:after="0" w:before="0" w:line="240" w:lineRule="auto"/>
              <w:ind/>
              <w:jc w:val="center"/>
              <w:rPr>
                <w:rFonts w:ascii="Times New Roman" w:hAnsi="Times New Roman"/>
                <w:sz w:val="24"/>
              </w:rPr>
            </w:pPr>
            <w:r>
              <w:rPr>
                <w:sz w:val="20"/>
              </w:rPr>
              <w:t>20,96</w:t>
            </w:r>
          </w:p>
        </w:tc>
        <w:tc>
          <w:tcPr>
            <w:tcW w:type="dxa" w:w="906"/>
            <w:tcMar>
              <w:top w:type="dxa" w:w="0"/>
              <w:left w:type="dxa" w:w="108"/>
              <w:bottom w:type="dxa" w:w="0"/>
              <w:right w:type="dxa" w:w="108"/>
            </w:tcMar>
            <w:vAlign w:val="center"/>
          </w:tcPr>
          <w:p w14:paraId="68030000">
            <w:pPr>
              <w:pStyle w:val="Style_2"/>
              <w:widowControl w:val="0"/>
              <w:spacing w:after="0" w:before="0" w:line="240" w:lineRule="auto"/>
              <w:ind/>
              <w:jc w:val="center"/>
              <w:rPr>
                <w:rFonts w:ascii="Times New Roman" w:hAnsi="Times New Roman"/>
                <w:sz w:val="24"/>
              </w:rPr>
            </w:pPr>
            <w:r>
              <w:rPr>
                <w:sz w:val="20"/>
              </w:rPr>
              <w:t>21,36</w:t>
            </w:r>
          </w:p>
        </w:tc>
        <w:tc>
          <w:tcPr>
            <w:tcW w:type="dxa" w:w="753"/>
            <w:tcMar>
              <w:top w:type="dxa" w:w="0"/>
              <w:left w:type="dxa" w:w="108"/>
              <w:bottom w:type="dxa" w:w="0"/>
              <w:right w:type="dxa" w:w="108"/>
            </w:tcMar>
            <w:vAlign w:val="center"/>
          </w:tcPr>
          <w:p w14:paraId="69030000">
            <w:pPr>
              <w:pStyle w:val="Style_2"/>
              <w:widowControl w:val="0"/>
              <w:spacing w:after="0" w:before="0" w:line="240" w:lineRule="auto"/>
              <w:ind/>
              <w:jc w:val="center"/>
              <w:rPr>
                <w:rFonts w:ascii="Times New Roman" w:hAnsi="Times New Roman"/>
                <w:sz w:val="24"/>
              </w:rPr>
            </w:pPr>
          </w:p>
        </w:tc>
        <w:tc>
          <w:tcPr>
            <w:tcW w:type="dxa" w:w="910"/>
            <w:tcMar>
              <w:top w:type="dxa" w:w="0"/>
              <w:left w:type="dxa" w:w="108"/>
              <w:bottom w:type="dxa" w:w="0"/>
              <w:right w:type="dxa" w:w="108"/>
            </w:tcMar>
            <w:vAlign w:val="center"/>
          </w:tcPr>
          <w:p w14:paraId="6A030000">
            <w:pPr>
              <w:pStyle w:val="Style_2"/>
              <w:widowControl w:val="0"/>
              <w:spacing w:after="0" w:before="0" w:line="240" w:lineRule="auto"/>
              <w:ind/>
              <w:jc w:val="center"/>
              <w:rPr>
                <w:rFonts w:ascii="Times New Roman" w:hAnsi="Times New Roman"/>
                <w:sz w:val="24"/>
              </w:rPr>
            </w:pPr>
            <w:r>
              <w:rPr>
                <w:sz w:val="20"/>
              </w:rPr>
              <w:t>40,43</w:t>
            </w:r>
          </w:p>
        </w:tc>
        <w:tc>
          <w:tcPr>
            <w:tcW w:type="dxa" w:w="900"/>
            <w:tcMar>
              <w:top w:type="dxa" w:w="0"/>
              <w:left w:type="dxa" w:w="108"/>
              <w:bottom w:type="dxa" w:w="0"/>
              <w:right w:type="dxa" w:w="108"/>
            </w:tcMar>
            <w:vAlign w:val="center"/>
          </w:tcPr>
          <w:p w14:paraId="6B030000">
            <w:pPr>
              <w:pStyle w:val="Style_2"/>
              <w:widowControl w:val="0"/>
              <w:spacing w:after="0" w:before="0" w:line="240" w:lineRule="auto"/>
              <w:ind/>
              <w:jc w:val="center"/>
              <w:rPr>
                <w:rFonts w:ascii="Times New Roman" w:hAnsi="Times New Roman"/>
                <w:sz w:val="24"/>
              </w:rPr>
            </w:pPr>
            <w:r>
              <w:rPr>
                <w:sz w:val="20"/>
              </w:rPr>
              <w:t>55,18</w:t>
            </w:r>
          </w:p>
        </w:tc>
        <w:tc>
          <w:tcPr>
            <w:tcW w:type="dxa" w:w="906"/>
            <w:tcMar>
              <w:top w:type="dxa" w:w="0"/>
              <w:left w:type="dxa" w:w="108"/>
              <w:bottom w:type="dxa" w:w="0"/>
              <w:right w:type="dxa" w:w="108"/>
            </w:tcMar>
            <w:vAlign w:val="center"/>
          </w:tcPr>
          <w:p w14:paraId="6C030000">
            <w:pPr>
              <w:pStyle w:val="Style_2"/>
              <w:widowControl w:val="0"/>
              <w:spacing w:after="0" w:before="0" w:line="240" w:lineRule="auto"/>
              <w:ind/>
              <w:jc w:val="center"/>
              <w:rPr>
                <w:rFonts w:ascii="Times New Roman" w:hAnsi="Times New Roman"/>
                <w:sz w:val="24"/>
              </w:rPr>
            </w:pPr>
            <w:r>
              <w:rPr>
                <w:sz w:val="20"/>
              </w:rPr>
              <w:t>67,95</w:t>
            </w:r>
          </w:p>
        </w:tc>
      </w:tr>
      <w:tr>
        <w:trPr>
          <w:trHeight w:hRule="atLeast" w:val="193"/>
        </w:trPr>
        <w:tc>
          <w:tcPr>
            <w:tcW w:type="dxa" w:w="3158"/>
            <w:tcMar>
              <w:top w:type="dxa" w:w="0"/>
              <w:left w:type="dxa" w:w="108"/>
              <w:bottom w:type="dxa" w:w="0"/>
              <w:right w:type="dxa" w:w="108"/>
            </w:tcMar>
            <w:vAlign w:val="center"/>
          </w:tcPr>
          <w:p w14:paraId="6D030000">
            <w:pPr>
              <w:pStyle w:val="Style_2"/>
              <w:widowControl w:val="0"/>
              <w:spacing w:after="0" w:before="0" w:line="240" w:lineRule="auto"/>
              <w:ind/>
              <w:jc w:val="left"/>
              <w:rPr>
                <w:rFonts w:ascii="Times New Roman" w:hAnsi="Times New Roman"/>
                <w:sz w:val="24"/>
              </w:rPr>
            </w:pPr>
            <w:bookmarkStart w:id="5" w:name="_GoBack_Копия_2"/>
            <w:bookmarkEnd w:id="5"/>
            <w:r>
              <w:rPr>
                <w:sz w:val="20"/>
              </w:rPr>
              <w:t>ПАО «Камчатскэнерго» (Озерновский энергоузел)</w:t>
            </w:r>
          </w:p>
        </w:tc>
        <w:tc>
          <w:tcPr>
            <w:tcW w:type="dxa" w:w="750"/>
            <w:tcMar>
              <w:top w:type="dxa" w:w="0"/>
              <w:left w:type="dxa" w:w="108"/>
              <w:bottom w:type="dxa" w:w="0"/>
              <w:right w:type="dxa" w:w="108"/>
            </w:tcMar>
            <w:vAlign w:val="center"/>
          </w:tcPr>
          <w:p w14:paraId="6E030000">
            <w:pPr>
              <w:pStyle w:val="Style_2"/>
              <w:widowControl w:val="0"/>
              <w:spacing w:after="0" w:before="0" w:line="240" w:lineRule="auto"/>
              <w:ind/>
              <w:jc w:val="center"/>
              <w:rPr>
                <w:rFonts w:ascii="Times New Roman" w:hAnsi="Times New Roman"/>
                <w:sz w:val="24"/>
              </w:rPr>
            </w:pPr>
          </w:p>
        </w:tc>
        <w:tc>
          <w:tcPr>
            <w:tcW w:type="dxa" w:w="904"/>
            <w:tcMar>
              <w:top w:type="dxa" w:w="0"/>
              <w:left w:type="dxa" w:w="108"/>
              <w:bottom w:type="dxa" w:w="0"/>
              <w:right w:type="dxa" w:w="108"/>
            </w:tcMar>
            <w:vAlign w:val="center"/>
          </w:tcPr>
          <w:p w14:paraId="6F030000">
            <w:pPr>
              <w:pStyle w:val="Style_2"/>
              <w:widowControl w:val="0"/>
              <w:spacing w:after="0" w:before="0" w:line="240" w:lineRule="auto"/>
              <w:ind/>
              <w:jc w:val="center"/>
              <w:rPr>
                <w:rFonts w:ascii="Times New Roman" w:hAnsi="Times New Roman"/>
                <w:sz w:val="24"/>
              </w:rPr>
            </w:pPr>
          </w:p>
        </w:tc>
        <w:tc>
          <w:tcPr>
            <w:tcW w:type="dxa" w:w="906"/>
            <w:tcMar>
              <w:top w:type="dxa" w:w="0"/>
              <w:left w:type="dxa" w:w="108"/>
              <w:bottom w:type="dxa" w:w="0"/>
              <w:right w:type="dxa" w:w="108"/>
            </w:tcMar>
            <w:vAlign w:val="center"/>
          </w:tcPr>
          <w:p w14:paraId="70030000">
            <w:pPr>
              <w:pStyle w:val="Style_2"/>
              <w:widowControl w:val="0"/>
              <w:spacing w:after="0" w:before="0" w:line="240" w:lineRule="auto"/>
              <w:ind/>
              <w:jc w:val="center"/>
              <w:rPr>
                <w:rFonts w:ascii="Times New Roman" w:hAnsi="Times New Roman"/>
                <w:sz w:val="24"/>
              </w:rPr>
            </w:pPr>
            <w:r>
              <w:rPr>
                <w:sz w:val="20"/>
              </w:rPr>
              <w:t>13,35</w:t>
            </w:r>
          </w:p>
        </w:tc>
        <w:tc>
          <w:tcPr>
            <w:tcW w:type="dxa" w:w="906"/>
            <w:tcMar>
              <w:top w:type="dxa" w:w="0"/>
              <w:left w:type="dxa" w:w="108"/>
              <w:bottom w:type="dxa" w:w="0"/>
              <w:right w:type="dxa" w:w="108"/>
            </w:tcMar>
            <w:vAlign w:val="center"/>
          </w:tcPr>
          <w:p w14:paraId="71030000">
            <w:pPr>
              <w:pStyle w:val="Style_2"/>
              <w:widowControl w:val="0"/>
              <w:spacing w:after="0" w:before="0" w:line="240" w:lineRule="auto"/>
              <w:ind/>
              <w:jc w:val="center"/>
              <w:rPr>
                <w:rFonts w:ascii="Times New Roman" w:hAnsi="Times New Roman"/>
                <w:sz w:val="24"/>
              </w:rPr>
            </w:pPr>
            <w:r>
              <w:rPr>
                <w:sz w:val="20"/>
              </w:rPr>
              <w:t>13,53</w:t>
            </w:r>
          </w:p>
        </w:tc>
        <w:tc>
          <w:tcPr>
            <w:tcW w:type="dxa" w:w="753"/>
            <w:tcMar>
              <w:top w:type="dxa" w:w="0"/>
              <w:left w:type="dxa" w:w="108"/>
              <w:bottom w:type="dxa" w:w="0"/>
              <w:right w:type="dxa" w:w="108"/>
            </w:tcMar>
            <w:vAlign w:val="center"/>
          </w:tcPr>
          <w:p w14:paraId="72030000">
            <w:pPr>
              <w:pStyle w:val="Style_2"/>
              <w:widowControl w:val="0"/>
              <w:spacing w:after="0" w:before="0" w:line="240" w:lineRule="auto"/>
              <w:ind/>
              <w:jc w:val="center"/>
              <w:rPr>
                <w:rFonts w:ascii="Times New Roman" w:hAnsi="Times New Roman"/>
                <w:sz w:val="24"/>
              </w:rPr>
            </w:pPr>
          </w:p>
        </w:tc>
        <w:tc>
          <w:tcPr>
            <w:tcW w:type="dxa" w:w="910"/>
            <w:tcMar>
              <w:top w:type="dxa" w:w="0"/>
              <w:left w:type="dxa" w:w="108"/>
              <w:bottom w:type="dxa" w:w="0"/>
              <w:right w:type="dxa" w:w="108"/>
            </w:tcMar>
            <w:vAlign w:val="center"/>
          </w:tcPr>
          <w:p w14:paraId="73030000">
            <w:pPr>
              <w:pStyle w:val="Style_2"/>
              <w:widowControl w:val="0"/>
              <w:spacing w:after="0" w:before="0" w:line="240" w:lineRule="auto"/>
              <w:ind/>
              <w:jc w:val="center"/>
              <w:rPr>
                <w:rFonts w:ascii="Times New Roman" w:hAnsi="Times New Roman"/>
                <w:sz w:val="24"/>
              </w:rPr>
            </w:pPr>
          </w:p>
        </w:tc>
        <w:tc>
          <w:tcPr>
            <w:tcW w:type="dxa" w:w="900"/>
            <w:tcMar>
              <w:top w:type="dxa" w:w="0"/>
              <w:left w:type="dxa" w:w="108"/>
              <w:bottom w:type="dxa" w:w="0"/>
              <w:right w:type="dxa" w:w="108"/>
            </w:tcMar>
            <w:vAlign w:val="center"/>
          </w:tcPr>
          <w:p w14:paraId="74030000">
            <w:pPr>
              <w:pStyle w:val="Style_2"/>
              <w:widowControl w:val="0"/>
              <w:spacing w:after="0" w:before="0" w:line="240" w:lineRule="auto"/>
              <w:ind/>
              <w:jc w:val="center"/>
              <w:rPr>
                <w:rFonts w:ascii="Times New Roman" w:hAnsi="Times New Roman"/>
                <w:sz w:val="24"/>
              </w:rPr>
            </w:pPr>
          </w:p>
        </w:tc>
        <w:tc>
          <w:tcPr>
            <w:tcW w:type="dxa" w:w="906"/>
            <w:tcMar>
              <w:top w:type="dxa" w:w="0"/>
              <w:left w:type="dxa" w:w="108"/>
              <w:bottom w:type="dxa" w:w="0"/>
              <w:right w:type="dxa" w:w="108"/>
            </w:tcMar>
            <w:vAlign w:val="center"/>
          </w:tcPr>
          <w:p w14:paraId="75030000">
            <w:pPr>
              <w:pStyle w:val="Style_2"/>
              <w:widowControl w:val="0"/>
              <w:spacing w:after="0" w:before="0" w:line="240" w:lineRule="auto"/>
              <w:ind/>
              <w:jc w:val="center"/>
              <w:rPr>
                <w:rFonts w:ascii="Times New Roman" w:hAnsi="Times New Roman"/>
                <w:sz w:val="24"/>
              </w:rPr>
            </w:pPr>
            <w:r>
              <w:rPr>
                <w:sz w:val="20"/>
              </w:rPr>
              <w:t>31,37</w:t>
            </w:r>
          </w:p>
        </w:tc>
      </w:tr>
    </w:tbl>
    <w:p w14:paraId="76030000">
      <w:pPr>
        <w:pStyle w:val="Style_2"/>
        <w:spacing w:after="0" w:before="0" w:line="240" w:lineRule="auto"/>
        <w:ind w:firstLine="709" w:left="0" w:right="0"/>
        <w:jc w:val="both"/>
        <w:rPr>
          <w:rFonts w:ascii="Times New Roman" w:hAnsi="Times New Roman"/>
          <w:sz w:val="24"/>
        </w:rPr>
      </w:pPr>
    </w:p>
    <w:p w14:paraId="77030000">
      <w:pPr>
        <w:pStyle w:val="Style_2"/>
        <w:spacing w:after="0" w:before="0" w:line="240" w:lineRule="auto"/>
        <w:ind w:firstLine="539" w:left="0" w:right="0"/>
        <w:jc w:val="both"/>
        <w:rPr>
          <w:rFonts w:ascii="Times New Roman" w:hAnsi="Times New Roman"/>
        </w:rPr>
      </w:pPr>
      <w:r>
        <w:rPr>
          <w:sz w:val="24"/>
        </w:rPr>
        <w:t>9) потребители электрической энергии (мощности), осуществляющие деятельность в области добычи, производства, использования и обращения драгоценных металлов и драгоценных камней, в отношении которых поэтапно в течение 3 лет сокращается разница между ценами (тарифами) на электрическую энергию (мощность) и базовыми уровнями цен (тарифов) на электрическую энергию (мощность):</w:t>
      </w:r>
    </w:p>
    <w:p w14:paraId="78030000">
      <w:pPr>
        <w:pStyle w:val="Style_2"/>
        <w:widowControl w:val="0"/>
        <w:spacing w:after="0" w:before="0" w:line="240" w:lineRule="auto"/>
        <w:ind w:firstLine="0" w:left="1069" w:right="0"/>
        <w:contextualSpacing w:val="1"/>
        <w:jc w:val="right"/>
        <w:rPr>
          <w:rFonts w:ascii="Times New Roman" w:hAnsi="Times New Roman"/>
        </w:rPr>
      </w:pPr>
      <w:r>
        <w:rPr>
          <w:sz w:val="24"/>
        </w:rPr>
        <w:t>руб./кВтч (без НДС)</w:t>
      </w:r>
    </w:p>
    <w:tbl>
      <w:tblPr>
        <w:tblStyle w:val="Style_6"/>
        <w:tblInd w:type="dxa" w:w="113"/>
        <w:tblLayout w:type="fixed"/>
        <w:tblCellMar>
          <w:top w:type="dxa" w:w="0"/>
          <w:left w:type="dxa" w:w="108"/>
          <w:bottom w:type="dxa" w:w="0"/>
          <w:right w:type="dxa" w:w="108"/>
        </w:tblCellMar>
      </w:tblPr>
      <w:tblGrid>
        <w:gridCol w:w="3762"/>
        <w:gridCol w:w="752"/>
        <w:gridCol w:w="753"/>
        <w:gridCol w:w="905"/>
        <w:gridCol w:w="907"/>
        <w:gridCol w:w="601"/>
        <w:gridCol w:w="756"/>
        <w:gridCol w:w="902"/>
        <w:gridCol w:w="755"/>
      </w:tblGrid>
      <w:tr>
        <w:trPr>
          <w:trHeight w:hRule="atLeast" w:val="281"/>
        </w:trPr>
        <w:tc>
          <w:tcPr>
            <w:tcW w:type="dxa" w:w="3762"/>
            <w:vMerge w:val="restart"/>
            <w:tcMar>
              <w:top w:type="dxa" w:w="0"/>
              <w:left w:type="dxa" w:w="108"/>
              <w:bottom w:type="dxa" w:w="0"/>
              <w:right w:type="dxa" w:w="108"/>
            </w:tcMar>
            <w:vAlign w:val="center"/>
          </w:tcPr>
          <w:p w14:paraId="79030000">
            <w:pPr>
              <w:pStyle w:val="Style_2"/>
              <w:widowControl w:val="0"/>
              <w:spacing w:after="0" w:before="0" w:line="240" w:lineRule="auto"/>
              <w:ind/>
              <w:jc w:val="center"/>
              <w:rPr>
                <w:rFonts w:ascii="Times New Roman" w:hAnsi="Times New Roman"/>
                <w:sz w:val="28"/>
              </w:rPr>
            </w:pPr>
            <w:r>
              <w:rPr>
                <w:sz w:val="20"/>
              </w:rPr>
              <w:t>Энергоснабжающая организация</w:t>
            </w:r>
          </w:p>
        </w:tc>
        <w:tc>
          <w:tcPr>
            <w:tcW w:type="dxa" w:w="3316"/>
            <w:gridSpan w:val="4"/>
            <w:tcMar>
              <w:top w:type="dxa" w:w="0"/>
              <w:left w:type="dxa" w:w="108"/>
              <w:bottom w:type="dxa" w:w="0"/>
              <w:right w:type="dxa" w:w="108"/>
            </w:tcMar>
            <w:vAlign w:val="center"/>
          </w:tcPr>
          <w:p w14:paraId="7A030000">
            <w:pPr>
              <w:pStyle w:val="Style_2"/>
              <w:widowControl w:val="0"/>
              <w:spacing w:after="0" w:before="0" w:line="240" w:lineRule="auto"/>
              <w:ind/>
              <w:jc w:val="center"/>
              <w:rPr>
                <w:rFonts w:ascii="Times New Roman" w:hAnsi="Times New Roman"/>
                <w:sz w:val="28"/>
              </w:rPr>
            </w:pPr>
            <w:r>
              <w:rPr>
                <w:sz w:val="20"/>
              </w:rPr>
              <w:t>1 полугодие 2024 года</w:t>
            </w:r>
          </w:p>
        </w:tc>
        <w:tc>
          <w:tcPr>
            <w:tcW w:type="dxa" w:w="3014"/>
            <w:gridSpan w:val="4"/>
            <w:tcMar>
              <w:top w:type="dxa" w:w="0"/>
              <w:left w:type="dxa" w:w="108"/>
              <w:bottom w:type="dxa" w:w="0"/>
              <w:right w:type="dxa" w:w="108"/>
            </w:tcMar>
            <w:vAlign w:val="center"/>
          </w:tcPr>
          <w:p w14:paraId="7B030000">
            <w:pPr>
              <w:pStyle w:val="Style_2"/>
              <w:widowControl w:val="0"/>
              <w:spacing w:after="0" w:before="0" w:line="240" w:lineRule="auto"/>
              <w:ind/>
              <w:jc w:val="center"/>
              <w:rPr>
                <w:rFonts w:ascii="Times New Roman" w:hAnsi="Times New Roman"/>
                <w:sz w:val="28"/>
              </w:rPr>
            </w:pPr>
            <w:r>
              <w:rPr>
                <w:sz w:val="20"/>
              </w:rPr>
              <w:t>2</w:t>
            </w:r>
            <w:r>
              <w:rPr>
                <w:sz w:val="20"/>
              </w:rPr>
              <w:t xml:space="preserve"> полугодие 202</w:t>
            </w:r>
            <w:r>
              <w:rPr>
                <w:sz w:val="20"/>
              </w:rPr>
              <w:t>4</w:t>
            </w:r>
            <w:r>
              <w:rPr>
                <w:sz w:val="20"/>
              </w:rPr>
              <w:t xml:space="preserve"> года</w:t>
            </w:r>
          </w:p>
        </w:tc>
      </w:tr>
      <w:tr>
        <w:trPr>
          <w:trHeight w:hRule="atLeast" w:val="397"/>
        </w:trPr>
        <w:tc>
          <w:tcPr>
            <w:tcW w:type="dxa" w:w="3762"/>
            <w:gridSpan w:val="1"/>
            <w:vMerge w:val="continue"/>
            <w:tcMar>
              <w:top w:type="dxa" w:w="0"/>
              <w:left w:type="dxa" w:w="108"/>
              <w:bottom w:type="dxa" w:w="0"/>
              <w:right w:type="dxa" w:w="108"/>
            </w:tcMar>
            <w:vAlign w:val="center"/>
          </w:tcPr>
          <w:p/>
        </w:tc>
        <w:tc>
          <w:tcPr>
            <w:tcW w:type="dxa" w:w="752"/>
            <w:tcMar>
              <w:top w:type="dxa" w:w="0"/>
              <w:left w:type="dxa" w:w="108"/>
              <w:bottom w:type="dxa" w:w="0"/>
              <w:right w:type="dxa" w:w="108"/>
            </w:tcMar>
            <w:vAlign w:val="center"/>
          </w:tcPr>
          <w:p w14:paraId="7C030000">
            <w:pPr>
              <w:pStyle w:val="Style_2"/>
              <w:widowControl w:val="0"/>
              <w:spacing w:after="0" w:before="0" w:line="240" w:lineRule="auto"/>
              <w:ind/>
              <w:jc w:val="center"/>
              <w:rPr>
                <w:rFonts w:ascii="Times New Roman" w:hAnsi="Times New Roman"/>
                <w:sz w:val="28"/>
              </w:rPr>
            </w:pPr>
            <w:r>
              <w:rPr>
                <w:sz w:val="20"/>
              </w:rPr>
              <w:t>ВН</w:t>
            </w:r>
          </w:p>
        </w:tc>
        <w:tc>
          <w:tcPr>
            <w:tcW w:type="dxa" w:w="753"/>
            <w:tcMar>
              <w:top w:type="dxa" w:w="0"/>
              <w:left w:type="dxa" w:w="108"/>
              <w:bottom w:type="dxa" w:w="0"/>
              <w:right w:type="dxa" w:w="108"/>
            </w:tcMar>
            <w:vAlign w:val="center"/>
          </w:tcPr>
          <w:p w14:paraId="7D030000">
            <w:pPr>
              <w:pStyle w:val="Style_2"/>
              <w:widowControl w:val="0"/>
              <w:spacing w:after="0" w:before="0" w:line="240" w:lineRule="auto"/>
              <w:ind/>
              <w:jc w:val="center"/>
              <w:rPr>
                <w:rFonts w:ascii="Times New Roman" w:hAnsi="Times New Roman"/>
                <w:sz w:val="28"/>
              </w:rPr>
            </w:pPr>
            <w:r>
              <w:rPr>
                <w:sz w:val="20"/>
              </w:rPr>
              <w:t>СН-1</w:t>
            </w:r>
          </w:p>
        </w:tc>
        <w:tc>
          <w:tcPr>
            <w:tcW w:type="dxa" w:w="905"/>
            <w:tcMar>
              <w:top w:type="dxa" w:w="0"/>
              <w:left w:type="dxa" w:w="108"/>
              <w:bottom w:type="dxa" w:w="0"/>
              <w:right w:type="dxa" w:w="108"/>
            </w:tcMar>
            <w:vAlign w:val="center"/>
          </w:tcPr>
          <w:p w14:paraId="7E030000">
            <w:pPr>
              <w:pStyle w:val="Style_2"/>
              <w:widowControl w:val="0"/>
              <w:spacing w:after="0" w:before="0" w:line="240" w:lineRule="auto"/>
              <w:ind/>
              <w:jc w:val="center"/>
              <w:rPr>
                <w:rFonts w:ascii="Times New Roman" w:hAnsi="Times New Roman"/>
                <w:sz w:val="28"/>
              </w:rPr>
            </w:pPr>
            <w:r>
              <w:rPr>
                <w:sz w:val="20"/>
              </w:rPr>
              <w:t>СН-II</w:t>
            </w:r>
          </w:p>
        </w:tc>
        <w:tc>
          <w:tcPr>
            <w:tcW w:type="dxa" w:w="907"/>
            <w:tcMar>
              <w:top w:type="dxa" w:w="0"/>
              <w:left w:type="dxa" w:w="108"/>
              <w:bottom w:type="dxa" w:w="0"/>
              <w:right w:type="dxa" w:w="108"/>
            </w:tcMar>
            <w:vAlign w:val="center"/>
          </w:tcPr>
          <w:p w14:paraId="7F030000">
            <w:pPr>
              <w:pStyle w:val="Style_2"/>
              <w:widowControl w:val="0"/>
              <w:spacing w:after="0" w:before="0" w:line="240" w:lineRule="auto"/>
              <w:ind/>
              <w:jc w:val="center"/>
              <w:rPr>
                <w:rFonts w:ascii="Times New Roman" w:hAnsi="Times New Roman"/>
                <w:sz w:val="28"/>
              </w:rPr>
            </w:pPr>
            <w:r>
              <w:rPr>
                <w:sz w:val="20"/>
              </w:rPr>
              <w:t>НН</w:t>
            </w:r>
          </w:p>
        </w:tc>
        <w:tc>
          <w:tcPr>
            <w:tcW w:type="dxa" w:w="601"/>
            <w:tcMar>
              <w:top w:type="dxa" w:w="0"/>
              <w:left w:type="dxa" w:w="108"/>
              <w:bottom w:type="dxa" w:w="0"/>
              <w:right w:type="dxa" w:w="108"/>
            </w:tcMar>
            <w:vAlign w:val="center"/>
          </w:tcPr>
          <w:p w14:paraId="80030000">
            <w:pPr>
              <w:pStyle w:val="Style_2"/>
              <w:widowControl w:val="0"/>
              <w:spacing w:after="0" w:before="0" w:line="240" w:lineRule="auto"/>
              <w:ind/>
              <w:jc w:val="center"/>
              <w:rPr>
                <w:rFonts w:ascii="Times New Roman" w:hAnsi="Times New Roman"/>
                <w:sz w:val="28"/>
              </w:rPr>
            </w:pPr>
            <w:r>
              <w:rPr>
                <w:sz w:val="20"/>
              </w:rPr>
              <w:t>ВН</w:t>
            </w:r>
          </w:p>
        </w:tc>
        <w:tc>
          <w:tcPr>
            <w:tcW w:type="dxa" w:w="756"/>
            <w:tcMar>
              <w:top w:type="dxa" w:w="0"/>
              <w:left w:type="dxa" w:w="108"/>
              <w:bottom w:type="dxa" w:w="0"/>
              <w:right w:type="dxa" w:w="108"/>
            </w:tcMar>
            <w:vAlign w:val="center"/>
          </w:tcPr>
          <w:p w14:paraId="81030000">
            <w:pPr>
              <w:pStyle w:val="Style_2"/>
              <w:widowControl w:val="0"/>
              <w:spacing w:after="0" w:before="0" w:line="240" w:lineRule="auto"/>
              <w:ind/>
              <w:jc w:val="center"/>
              <w:rPr>
                <w:rFonts w:ascii="Times New Roman" w:hAnsi="Times New Roman"/>
                <w:sz w:val="28"/>
              </w:rPr>
            </w:pPr>
            <w:r>
              <w:rPr>
                <w:sz w:val="20"/>
              </w:rPr>
              <w:t>СН-1</w:t>
            </w:r>
          </w:p>
        </w:tc>
        <w:tc>
          <w:tcPr>
            <w:tcW w:type="dxa" w:w="902"/>
            <w:tcMar>
              <w:top w:type="dxa" w:w="0"/>
              <w:left w:type="dxa" w:w="108"/>
              <w:bottom w:type="dxa" w:w="0"/>
              <w:right w:type="dxa" w:w="108"/>
            </w:tcMar>
            <w:vAlign w:val="center"/>
          </w:tcPr>
          <w:p w14:paraId="82030000">
            <w:pPr>
              <w:pStyle w:val="Style_2"/>
              <w:widowControl w:val="0"/>
              <w:spacing w:after="0" w:before="0" w:line="240" w:lineRule="auto"/>
              <w:ind/>
              <w:jc w:val="center"/>
              <w:rPr>
                <w:rFonts w:ascii="Times New Roman" w:hAnsi="Times New Roman"/>
                <w:sz w:val="28"/>
              </w:rPr>
            </w:pPr>
            <w:r>
              <w:rPr>
                <w:sz w:val="20"/>
              </w:rPr>
              <w:t>СН-II</w:t>
            </w:r>
          </w:p>
        </w:tc>
        <w:tc>
          <w:tcPr>
            <w:tcW w:type="dxa" w:w="755"/>
            <w:tcMar>
              <w:top w:type="dxa" w:w="0"/>
              <w:left w:type="dxa" w:w="108"/>
              <w:bottom w:type="dxa" w:w="0"/>
              <w:right w:type="dxa" w:w="108"/>
            </w:tcMar>
            <w:vAlign w:val="center"/>
          </w:tcPr>
          <w:p w14:paraId="83030000">
            <w:pPr>
              <w:pStyle w:val="Style_2"/>
              <w:widowControl w:val="0"/>
              <w:spacing w:after="0" w:before="0" w:line="240" w:lineRule="auto"/>
              <w:ind/>
              <w:jc w:val="center"/>
              <w:rPr>
                <w:rFonts w:ascii="Times New Roman" w:hAnsi="Times New Roman"/>
                <w:sz w:val="28"/>
              </w:rPr>
            </w:pPr>
            <w:r>
              <w:rPr>
                <w:sz w:val="20"/>
              </w:rPr>
              <w:t>НН</w:t>
            </w:r>
          </w:p>
        </w:tc>
      </w:tr>
      <w:tr>
        <w:trPr>
          <w:trHeight w:hRule="atLeast" w:val="451"/>
        </w:trPr>
        <w:tc>
          <w:tcPr>
            <w:tcW w:type="dxa" w:w="3762"/>
            <w:tcMar>
              <w:top w:type="dxa" w:w="0"/>
              <w:left w:type="dxa" w:w="108"/>
              <w:bottom w:type="dxa" w:w="0"/>
              <w:right w:type="dxa" w:w="108"/>
            </w:tcMar>
            <w:vAlign w:val="center"/>
          </w:tcPr>
          <w:p w14:paraId="84030000">
            <w:pPr>
              <w:pStyle w:val="Style_2"/>
              <w:widowControl w:val="0"/>
              <w:spacing w:after="0" w:before="0" w:line="240" w:lineRule="auto"/>
              <w:ind/>
              <w:jc w:val="left"/>
              <w:rPr>
                <w:rFonts w:ascii="Times New Roman" w:hAnsi="Times New Roman"/>
                <w:sz w:val="28"/>
              </w:rPr>
            </w:pPr>
            <w:r>
              <w:rPr>
                <w:sz w:val="20"/>
              </w:rPr>
              <w:t>ПАО «Камчатскэнерго» (Центральный энергоузел)</w:t>
            </w:r>
          </w:p>
        </w:tc>
        <w:tc>
          <w:tcPr>
            <w:tcW w:type="dxa" w:w="752"/>
            <w:tcMar>
              <w:top w:type="dxa" w:w="0"/>
              <w:left w:type="dxa" w:w="108"/>
              <w:bottom w:type="dxa" w:w="0"/>
              <w:right w:type="dxa" w:w="108"/>
            </w:tcMar>
            <w:vAlign w:val="center"/>
          </w:tcPr>
          <w:p w14:paraId="85030000">
            <w:pPr>
              <w:pStyle w:val="Style_2"/>
              <w:widowControl w:val="0"/>
              <w:spacing w:after="0" w:before="0" w:line="240" w:lineRule="auto"/>
              <w:ind/>
              <w:jc w:val="center"/>
              <w:rPr>
                <w:rFonts w:ascii="Times New Roman" w:hAnsi="Times New Roman"/>
                <w:sz w:val="28"/>
              </w:rPr>
            </w:pPr>
          </w:p>
        </w:tc>
        <w:tc>
          <w:tcPr>
            <w:tcW w:type="dxa" w:w="753"/>
            <w:tcMar>
              <w:top w:type="dxa" w:w="0"/>
              <w:left w:type="dxa" w:w="108"/>
              <w:bottom w:type="dxa" w:w="0"/>
              <w:right w:type="dxa" w:w="108"/>
            </w:tcMar>
            <w:vAlign w:val="center"/>
          </w:tcPr>
          <w:p w14:paraId="86030000">
            <w:pPr>
              <w:pStyle w:val="Style_2"/>
              <w:widowControl w:val="0"/>
              <w:spacing w:after="0" w:before="0" w:line="240" w:lineRule="auto"/>
              <w:ind/>
              <w:jc w:val="center"/>
              <w:rPr>
                <w:rFonts w:ascii="Times New Roman" w:hAnsi="Times New Roman"/>
                <w:sz w:val="28"/>
              </w:rPr>
            </w:pPr>
          </w:p>
        </w:tc>
        <w:tc>
          <w:tcPr>
            <w:tcW w:type="dxa" w:w="905"/>
            <w:tcMar>
              <w:top w:type="dxa" w:w="0"/>
              <w:left w:type="dxa" w:w="108"/>
              <w:bottom w:type="dxa" w:w="0"/>
              <w:right w:type="dxa" w:w="108"/>
            </w:tcMar>
            <w:vAlign w:val="center"/>
          </w:tcPr>
          <w:p w14:paraId="87030000">
            <w:pPr>
              <w:pStyle w:val="Style_2"/>
              <w:widowControl w:val="0"/>
              <w:spacing w:after="0" w:before="0" w:line="240" w:lineRule="auto"/>
              <w:ind/>
              <w:jc w:val="center"/>
              <w:rPr>
                <w:rFonts w:ascii="Times New Roman" w:hAnsi="Times New Roman"/>
                <w:sz w:val="28"/>
              </w:rPr>
            </w:pPr>
            <w:r>
              <w:rPr>
                <w:sz w:val="20"/>
              </w:rPr>
              <w:t>8,59</w:t>
            </w:r>
          </w:p>
        </w:tc>
        <w:tc>
          <w:tcPr>
            <w:tcW w:type="dxa" w:w="907"/>
            <w:tcMar>
              <w:top w:type="dxa" w:w="0"/>
              <w:left w:type="dxa" w:w="108"/>
              <w:bottom w:type="dxa" w:w="0"/>
              <w:right w:type="dxa" w:w="108"/>
            </w:tcMar>
            <w:vAlign w:val="center"/>
          </w:tcPr>
          <w:p w14:paraId="88030000">
            <w:pPr>
              <w:pStyle w:val="Style_2"/>
              <w:widowControl w:val="0"/>
              <w:spacing w:after="0" w:before="0" w:line="240" w:lineRule="auto"/>
              <w:ind/>
              <w:jc w:val="center"/>
              <w:rPr>
                <w:rFonts w:ascii="Times New Roman" w:hAnsi="Times New Roman"/>
                <w:sz w:val="28"/>
              </w:rPr>
            </w:pPr>
            <w:r>
              <w:rPr>
                <w:sz w:val="20"/>
              </w:rPr>
              <w:t>10,33</w:t>
            </w:r>
          </w:p>
        </w:tc>
        <w:tc>
          <w:tcPr>
            <w:tcW w:type="dxa" w:w="601"/>
            <w:tcMar>
              <w:top w:type="dxa" w:w="0"/>
              <w:left w:type="dxa" w:w="108"/>
              <w:bottom w:type="dxa" w:w="0"/>
              <w:right w:type="dxa" w:w="108"/>
            </w:tcMar>
            <w:vAlign w:val="center"/>
          </w:tcPr>
          <w:p w14:paraId="89030000">
            <w:pPr>
              <w:pStyle w:val="Style_2"/>
              <w:widowControl w:val="0"/>
              <w:spacing w:after="0" w:before="0" w:line="240" w:lineRule="auto"/>
              <w:ind/>
              <w:jc w:val="center"/>
              <w:rPr>
                <w:rFonts w:ascii="Times New Roman" w:hAnsi="Times New Roman"/>
                <w:sz w:val="28"/>
              </w:rPr>
            </w:pPr>
          </w:p>
        </w:tc>
        <w:tc>
          <w:tcPr>
            <w:tcW w:type="dxa" w:w="756"/>
            <w:tcMar>
              <w:top w:type="dxa" w:w="0"/>
              <w:left w:type="dxa" w:w="108"/>
              <w:bottom w:type="dxa" w:w="0"/>
              <w:right w:type="dxa" w:w="108"/>
            </w:tcMar>
            <w:vAlign w:val="center"/>
          </w:tcPr>
          <w:p w14:paraId="8A030000">
            <w:pPr>
              <w:pStyle w:val="Style_2"/>
              <w:widowControl w:val="0"/>
              <w:spacing w:after="0" w:before="0" w:line="240" w:lineRule="auto"/>
              <w:ind/>
              <w:jc w:val="center"/>
              <w:rPr>
                <w:rFonts w:ascii="Times New Roman" w:hAnsi="Times New Roman"/>
                <w:sz w:val="28"/>
              </w:rPr>
            </w:pPr>
          </w:p>
        </w:tc>
        <w:tc>
          <w:tcPr>
            <w:tcW w:type="dxa" w:w="902"/>
            <w:tcMar>
              <w:top w:type="dxa" w:w="0"/>
              <w:left w:type="dxa" w:w="108"/>
              <w:bottom w:type="dxa" w:w="0"/>
              <w:right w:type="dxa" w:w="108"/>
            </w:tcMar>
            <w:vAlign w:val="center"/>
          </w:tcPr>
          <w:p w14:paraId="8B030000">
            <w:pPr>
              <w:pStyle w:val="Style_2"/>
              <w:widowControl w:val="0"/>
              <w:spacing w:after="0" w:before="0" w:line="240" w:lineRule="auto"/>
              <w:ind/>
              <w:jc w:val="center"/>
              <w:rPr>
                <w:rFonts w:ascii="Times New Roman" w:hAnsi="Times New Roman"/>
                <w:sz w:val="28"/>
              </w:rPr>
            </w:pPr>
            <w:r>
              <w:rPr>
                <w:sz w:val="20"/>
              </w:rPr>
              <w:t>16,07</w:t>
            </w:r>
          </w:p>
        </w:tc>
        <w:tc>
          <w:tcPr>
            <w:tcW w:type="dxa" w:w="755"/>
            <w:tcMar>
              <w:top w:type="dxa" w:w="0"/>
              <w:left w:type="dxa" w:w="108"/>
              <w:bottom w:type="dxa" w:w="0"/>
              <w:right w:type="dxa" w:w="108"/>
            </w:tcMar>
            <w:vAlign w:val="center"/>
          </w:tcPr>
          <w:p w14:paraId="8C030000">
            <w:pPr>
              <w:pStyle w:val="Style_2"/>
              <w:widowControl w:val="0"/>
              <w:spacing w:after="0" w:before="0" w:line="240" w:lineRule="auto"/>
              <w:ind/>
              <w:jc w:val="center"/>
              <w:rPr>
                <w:rFonts w:ascii="Times New Roman" w:hAnsi="Times New Roman"/>
                <w:sz w:val="28"/>
              </w:rPr>
            </w:pPr>
            <w:r>
              <w:rPr>
                <w:sz w:val="20"/>
              </w:rPr>
              <w:t>18,40</w:t>
            </w:r>
          </w:p>
        </w:tc>
      </w:tr>
      <w:tr>
        <w:trPr>
          <w:trHeight w:hRule="atLeast" w:val="276"/>
        </w:trPr>
        <w:tc>
          <w:tcPr>
            <w:tcW w:type="dxa" w:w="3762"/>
            <w:tcMar>
              <w:top w:type="dxa" w:w="0"/>
              <w:left w:type="dxa" w:w="108"/>
              <w:bottom w:type="dxa" w:w="0"/>
              <w:right w:type="dxa" w:w="108"/>
            </w:tcMar>
            <w:vAlign w:val="center"/>
          </w:tcPr>
          <w:p w14:paraId="8D030000">
            <w:pPr>
              <w:pStyle w:val="Style_2"/>
              <w:widowControl w:val="0"/>
              <w:spacing w:after="0" w:before="0" w:line="240" w:lineRule="auto"/>
              <w:ind/>
              <w:jc w:val="left"/>
              <w:rPr>
                <w:rFonts w:ascii="Times New Roman" w:hAnsi="Times New Roman"/>
                <w:sz w:val="28"/>
              </w:rPr>
            </w:pPr>
            <w:r>
              <w:rPr>
                <w:sz w:val="20"/>
              </w:rPr>
              <w:t>АО «ЮЭСК»</w:t>
            </w:r>
          </w:p>
        </w:tc>
        <w:tc>
          <w:tcPr>
            <w:tcW w:type="dxa" w:w="752"/>
            <w:tcMar>
              <w:top w:type="dxa" w:w="0"/>
              <w:left w:type="dxa" w:w="108"/>
              <w:bottom w:type="dxa" w:w="0"/>
              <w:right w:type="dxa" w:w="108"/>
            </w:tcMar>
            <w:vAlign w:val="center"/>
          </w:tcPr>
          <w:p w14:paraId="8E030000">
            <w:pPr>
              <w:pStyle w:val="Style_2"/>
              <w:widowControl w:val="0"/>
              <w:spacing w:after="0" w:before="0" w:line="240" w:lineRule="auto"/>
              <w:ind/>
              <w:jc w:val="center"/>
              <w:rPr>
                <w:rFonts w:ascii="Times New Roman" w:hAnsi="Times New Roman"/>
                <w:sz w:val="28"/>
              </w:rPr>
            </w:pPr>
          </w:p>
        </w:tc>
        <w:tc>
          <w:tcPr>
            <w:tcW w:type="dxa" w:w="753"/>
            <w:tcMar>
              <w:top w:type="dxa" w:w="0"/>
              <w:left w:type="dxa" w:w="108"/>
              <w:bottom w:type="dxa" w:w="0"/>
              <w:right w:type="dxa" w:w="108"/>
            </w:tcMar>
            <w:vAlign w:val="center"/>
          </w:tcPr>
          <w:p w14:paraId="8F030000">
            <w:pPr>
              <w:pStyle w:val="Style_2"/>
              <w:widowControl w:val="0"/>
              <w:spacing w:after="0" w:before="0" w:line="240" w:lineRule="auto"/>
              <w:ind/>
              <w:jc w:val="center"/>
              <w:rPr>
                <w:rFonts w:ascii="Times New Roman" w:hAnsi="Times New Roman"/>
                <w:sz w:val="28"/>
              </w:rPr>
            </w:pPr>
            <w:r>
              <w:rPr>
                <w:sz w:val="20"/>
              </w:rPr>
              <w:t>20,57</w:t>
            </w:r>
          </w:p>
        </w:tc>
        <w:tc>
          <w:tcPr>
            <w:tcW w:type="dxa" w:w="905"/>
            <w:tcMar>
              <w:top w:type="dxa" w:w="0"/>
              <w:left w:type="dxa" w:w="108"/>
              <w:bottom w:type="dxa" w:w="0"/>
              <w:right w:type="dxa" w:w="108"/>
            </w:tcMar>
            <w:vAlign w:val="center"/>
          </w:tcPr>
          <w:p w14:paraId="90030000">
            <w:pPr>
              <w:pStyle w:val="Style_2"/>
              <w:widowControl w:val="0"/>
              <w:spacing w:after="0" w:before="0" w:line="240" w:lineRule="auto"/>
              <w:ind/>
              <w:jc w:val="center"/>
              <w:rPr>
                <w:rFonts w:ascii="Times New Roman" w:hAnsi="Times New Roman"/>
                <w:sz w:val="28"/>
              </w:rPr>
            </w:pPr>
            <w:r>
              <w:rPr>
                <w:sz w:val="20"/>
              </w:rPr>
              <w:t>20,96</w:t>
            </w:r>
          </w:p>
        </w:tc>
        <w:tc>
          <w:tcPr>
            <w:tcW w:type="dxa" w:w="907"/>
            <w:tcMar>
              <w:top w:type="dxa" w:w="0"/>
              <w:left w:type="dxa" w:w="108"/>
              <w:bottom w:type="dxa" w:w="0"/>
              <w:right w:type="dxa" w:w="108"/>
            </w:tcMar>
            <w:vAlign w:val="center"/>
          </w:tcPr>
          <w:p w14:paraId="91030000">
            <w:pPr>
              <w:pStyle w:val="Style_2"/>
              <w:widowControl w:val="0"/>
              <w:spacing w:after="0" w:before="0" w:line="240" w:lineRule="auto"/>
              <w:ind/>
              <w:jc w:val="center"/>
              <w:rPr>
                <w:rFonts w:ascii="Times New Roman" w:hAnsi="Times New Roman"/>
                <w:sz w:val="28"/>
              </w:rPr>
            </w:pPr>
            <w:r>
              <w:rPr>
                <w:sz w:val="20"/>
              </w:rPr>
              <w:t>21,36</w:t>
            </w:r>
          </w:p>
        </w:tc>
        <w:tc>
          <w:tcPr>
            <w:tcW w:type="dxa" w:w="601"/>
            <w:tcMar>
              <w:top w:type="dxa" w:w="0"/>
              <w:left w:type="dxa" w:w="108"/>
              <w:bottom w:type="dxa" w:w="0"/>
              <w:right w:type="dxa" w:w="108"/>
            </w:tcMar>
            <w:vAlign w:val="center"/>
          </w:tcPr>
          <w:p w14:paraId="92030000">
            <w:pPr>
              <w:pStyle w:val="Style_2"/>
              <w:widowControl w:val="0"/>
              <w:spacing w:after="0" w:before="0" w:line="240" w:lineRule="auto"/>
              <w:ind/>
              <w:jc w:val="center"/>
              <w:rPr>
                <w:rFonts w:ascii="Times New Roman" w:hAnsi="Times New Roman"/>
                <w:sz w:val="28"/>
              </w:rPr>
            </w:pPr>
          </w:p>
        </w:tc>
        <w:tc>
          <w:tcPr>
            <w:tcW w:type="dxa" w:w="756"/>
            <w:tcMar>
              <w:top w:type="dxa" w:w="0"/>
              <w:left w:type="dxa" w:w="108"/>
              <w:bottom w:type="dxa" w:w="0"/>
              <w:right w:type="dxa" w:w="108"/>
            </w:tcMar>
            <w:vAlign w:val="center"/>
          </w:tcPr>
          <w:p w14:paraId="93030000">
            <w:pPr>
              <w:pStyle w:val="Style_2"/>
              <w:widowControl w:val="0"/>
              <w:spacing w:after="0" w:before="0" w:line="240" w:lineRule="auto"/>
              <w:ind/>
              <w:jc w:val="center"/>
              <w:rPr>
                <w:rFonts w:ascii="Times New Roman" w:hAnsi="Times New Roman"/>
                <w:sz w:val="28"/>
              </w:rPr>
            </w:pPr>
            <w:r>
              <w:rPr>
                <w:sz w:val="20"/>
              </w:rPr>
              <w:t>52,37</w:t>
            </w:r>
          </w:p>
        </w:tc>
        <w:tc>
          <w:tcPr>
            <w:tcW w:type="dxa" w:w="902"/>
            <w:tcMar>
              <w:top w:type="dxa" w:w="0"/>
              <w:left w:type="dxa" w:w="108"/>
              <w:bottom w:type="dxa" w:w="0"/>
              <w:right w:type="dxa" w:w="108"/>
            </w:tcMar>
            <w:vAlign w:val="center"/>
          </w:tcPr>
          <w:p w14:paraId="94030000">
            <w:pPr>
              <w:pStyle w:val="Style_2"/>
              <w:widowControl w:val="0"/>
              <w:spacing w:after="0" w:before="0" w:line="240" w:lineRule="auto"/>
              <w:ind/>
              <w:jc w:val="center"/>
              <w:rPr>
                <w:rFonts w:ascii="Times New Roman" w:hAnsi="Times New Roman"/>
                <w:sz w:val="28"/>
              </w:rPr>
            </w:pPr>
            <w:r>
              <w:rPr>
                <w:sz w:val="20"/>
              </w:rPr>
              <w:t>59,52</w:t>
            </w:r>
          </w:p>
        </w:tc>
        <w:tc>
          <w:tcPr>
            <w:tcW w:type="dxa" w:w="755"/>
            <w:tcMar>
              <w:top w:type="dxa" w:w="0"/>
              <w:left w:type="dxa" w:w="108"/>
              <w:bottom w:type="dxa" w:w="0"/>
              <w:right w:type="dxa" w:w="108"/>
            </w:tcMar>
            <w:vAlign w:val="center"/>
          </w:tcPr>
          <w:p w14:paraId="95030000">
            <w:pPr>
              <w:pStyle w:val="Style_2"/>
              <w:widowControl w:val="0"/>
              <w:spacing w:after="0" w:before="0" w:line="240" w:lineRule="auto"/>
              <w:ind/>
              <w:jc w:val="center"/>
              <w:rPr>
                <w:rFonts w:ascii="Times New Roman" w:hAnsi="Times New Roman"/>
                <w:sz w:val="28"/>
              </w:rPr>
            </w:pPr>
            <w:r>
              <w:rPr>
                <w:sz w:val="20"/>
              </w:rPr>
              <w:t>53,67</w:t>
            </w:r>
          </w:p>
        </w:tc>
      </w:tr>
      <w:tr>
        <w:trPr>
          <w:trHeight w:hRule="atLeast" w:val="266"/>
        </w:trPr>
        <w:tc>
          <w:tcPr>
            <w:tcW w:type="dxa" w:w="3762"/>
            <w:tcMar>
              <w:top w:type="dxa" w:w="0"/>
              <w:left w:type="dxa" w:w="108"/>
              <w:bottom w:type="dxa" w:w="0"/>
              <w:right w:type="dxa" w:w="108"/>
            </w:tcMar>
            <w:vAlign w:val="center"/>
          </w:tcPr>
          <w:p w14:paraId="96030000">
            <w:pPr>
              <w:pStyle w:val="Style_2"/>
              <w:widowControl w:val="0"/>
              <w:spacing w:after="0" w:before="0" w:line="240" w:lineRule="auto"/>
              <w:ind/>
              <w:jc w:val="left"/>
              <w:rPr>
                <w:rFonts w:ascii="Times New Roman" w:hAnsi="Times New Roman"/>
                <w:sz w:val="28"/>
              </w:rPr>
            </w:pPr>
            <w:r>
              <w:rPr>
                <w:sz w:val="20"/>
              </w:rPr>
              <w:t>ПАО «Камчатскэнерго» (Озерновский энергоузел)</w:t>
            </w:r>
          </w:p>
        </w:tc>
        <w:tc>
          <w:tcPr>
            <w:tcW w:type="dxa" w:w="752"/>
            <w:tcMar>
              <w:top w:type="dxa" w:w="0"/>
              <w:left w:type="dxa" w:w="108"/>
              <w:bottom w:type="dxa" w:w="0"/>
              <w:right w:type="dxa" w:w="108"/>
            </w:tcMar>
            <w:vAlign w:val="center"/>
          </w:tcPr>
          <w:p w14:paraId="97030000">
            <w:pPr>
              <w:pStyle w:val="Style_2"/>
              <w:widowControl w:val="0"/>
              <w:spacing w:after="0" w:before="0" w:line="240" w:lineRule="auto"/>
              <w:ind/>
              <w:jc w:val="center"/>
              <w:rPr>
                <w:rFonts w:ascii="Times New Roman" w:hAnsi="Times New Roman"/>
                <w:sz w:val="28"/>
              </w:rPr>
            </w:pPr>
          </w:p>
        </w:tc>
        <w:tc>
          <w:tcPr>
            <w:tcW w:type="dxa" w:w="753"/>
            <w:tcMar>
              <w:top w:type="dxa" w:w="0"/>
              <w:left w:type="dxa" w:w="108"/>
              <w:bottom w:type="dxa" w:w="0"/>
              <w:right w:type="dxa" w:w="108"/>
            </w:tcMar>
            <w:vAlign w:val="center"/>
          </w:tcPr>
          <w:p w14:paraId="98030000">
            <w:pPr>
              <w:pStyle w:val="Style_2"/>
              <w:widowControl w:val="0"/>
              <w:spacing w:after="0" w:before="0" w:line="240" w:lineRule="auto"/>
              <w:ind/>
              <w:jc w:val="center"/>
              <w:rPr>
                <w:rFonts w:ascii="Times New Roman" w:hAnsi="Times New Roman"/>
                <w:sz w:val="28"/>
              </w:rPr>
            </w:pPr>
          </w:p>
        </w:tc>
        <w:tc>
          <w:tcPr>
            <w:tcW w:type="dxa" w:w="905"/>
            <w:tcMar>
              <w:top w:type="dxa" w:w="0"/>
              <w:left w:type="dxa" w:w="108"/>
              <w:bottom w:type="dxa" w:w="0"/>
              <w:right w:type="dxa" w:w="108"/>
            </w:tcMar>
            <w:vAlign w:val="center"/>
          </w:tcPr>
          <w:p w14:paraId="99030000">
            <w:pPr>
              <w:pStyle w:val="Style_2"/>
              <w:widowControl w:val="0"/>
              <w:spacing w:after="0" w:before="0" w:line="240" w:lineRule="auto"/>
              <w:ind/>
              <w:jc w:val="center"/>
              <w:rPr>
                <w:rFonts w:ascii="Times New Roman" w:hAnsi="Times New Roman"/>
                <w:sz w:val="28"/>
              </w:rPr>
            </w:pPr>
          </w:p>
        </w:tc>
        <w:tc>
          <w:tcPr>
            <w:tcW w:type="dxa" w:w="907"/>
            <w:tcMar>
              <w:top w:type="dxa" w:w="0"/>
              <w:left w:type="dxa" w:w="108"/>
              <w:bottom w:type="dxa" w:w="0"/>
              <w:right w:type="dxa" w:w="108"/>
            </w:tcMar>
            <w:vAlign w:val="center"/>
          </w:tcPr>
          <w:p w14:paraId="9A030000">
            <w:pPr>
              <w:pStyle w:val="Style_2"/>
              <w:widowControl w:val="0"/>
              <w:spacing w:after="0" w:before="0" w:line="240" w:lineRule="auto"/>
              <w:ind/>
              <w:jc w:val="center"/>
              <w:rPr>
                <w:rFonts w:ascii="Times New Roman" w:hAnsi="Times New Roman"/>
                <w:sz w:val="28"/>
              </w:rPr>
            </w:pPr>
            <w:r>
              <w:rPr>
                <w:sz w:val="20"/>
              </w:rPr>
              <w:t>13,53</w:t>
            </w:r>
          </w:p>
        </w:tc>
        <w:tc>
          <w:tcPr>
            <w:tcW w:type="dxa" w:w="601"/>
            <w:tcMar>
              <w:top w:type="dxa" w:w="0"/>
              <w:left w:type="dxa" w:w="108"/>
              <w:bottom w:type="dxa" w:w="0"/>
              <w:right w:type="dxa" w:w="108"/>
            </w:tcMar>
            <w:vAlign w:val="center"/>
          </w:tcPr>
          <w:p w14:paraId="9B030000">
            <w:pPr>
              <w:pStyle w:val="Style_2"/>
              <w:widowControl w:val="0"/>
              <w:spacing w:after="0" w:before="0" w:line="240" w:lineRule="auto"/>
              <w:ind/>
              <w:jc w:val="center"/>
              <w:rPr>
                <w:rFonts w:ascii="Times New Roman" w:hAnsi="Times New Roman"/>
                <w:sz w:val="28"/>
              </w:rPr>
            </w:pPr>
          </w:p>
        </w:tc>
        <w:tc>
          <w:tcPr>
            <w:tcW w:type="dxa" w:w="756"/>
            <w:tcMar>
              <w:top w:type="dxa" w:w="0"/>
              <w:left w:type="dxa" w:w="108"/>
              <w:bottom w:type="dxa" w:w="0"/>
              <w:right w:type="dxa" w:w="108"/>
            </w:tcMar>
            <w:vAlign w:val="center"/>
          </w:tcPr>
          <w:p w14:paraId="9C030000">
            <w:pPr>
              <w:pStyle w:val="Style_2"/>
              <w:widowControl w:val="0"/>
              <w:spacing w:after="0" w:before="0" w:line="240" w:lineRule="auto"/>
              <w:ind/>
              <w:jc w:val="center"/>
              <w:rPr>
                <w:rFonts w:ascii="Times New Roman" w:hAnsi="Times New Roman"/>
                <w:sz w:val="28"/>
              </w:rPr>
            </w:pPr>
          </w:p>
        </w:tc>
        <w:tc>
          <w:tcPr>
            <w:tcW w:type="dxa" w:w="902"/>
            <w:tcMar>
              <w:top w:type="dxa" w:w="0"/>
              <w:left w:type="dxa" w:w="108"/>
              <w:bottom w:type="dxa" w:w="0"/>
              <w:right w:type="dxa" w:w="108"/>
            </w:tcMar>
            <w:vAlign w:val="center"/>
          </w:tcPr>
          <w:p w14:paraId="9D030000">
            <w:pPr>
              <w:pStyle w:val="Style_2"/>
              <w:widowControl w:val="0"/>
              <w:spacing w:after="0" w:before="0" w:line="240" w:lineRule="auto"/>
              <w:ind/>
              <w:jc w:val="center"/>
              <w:rPr>
                <w:rFonts w:ascii="Times New Roman" w:hAnsi="Times New Roman"/>
                <w:sz w:val="28"/>
              </w:rPr>
            </w:pPr>
          </w:p>
        </w:tc>
        <w:tc>
          <w:tcPr>
            <w:tcW w:type="dxa" w:w="755"/>
            <w:tcMar>
              <w:top w:type="dxa" w:w="0"/>
              <w:left w:type="dxa" w:w="108"/>
              <w:bottom w:type="dxa" w:w="0"/>
              <w:right w:type="dxa" w:w="108"/>
            </w:tcMar>
            <w:vAlign w:val="center"/>
          </w:tcPr>
          <w:p w14:paraId="9E030000">
            <w:pPr>
              <w:pStyle w:val="Style_2"/>
              <w:widowControl w:val="0"/>
              <w:spacing w:after="0" w:before="0" w:line="240" w:lineRule="auto"/>
              <w:ind/>
              <w:jc w:val="center"/>
              <w:rPr>
                <w:rFonts w:ascii="Times New Roman" w:hAnsi="Times New Roman"/>
                <w:sz w:val="28"/>
              </w:rPr>
            </w:pPr>
            <w:r>
              <w:rPr>
                <w:sz w:val="20"/>
              </w:rPr>
              <w:t>31,37</w:t>
            </w:r>
          </w:p>
        </w:tc>
      </w:tr>
    </w:tbl>
    <w:p w14:paraId="9F030000">
      <w:pPr>
        <w:pStyle w:val="Style_2"/>
        <w:spacing w:after="0" w:before="0" w:line="240" w:lineRule="auto"/>
        <w:ind w:firstLine="539" w:left="0" w:right="0"/>
        <w:jc w:val="both"/>
        <w:rPr>
          <w:rFonts w:ascii="Times New Roman" w:hAnsi="Times New Roman"/>
          <w:sz w:val="24"/>
        </w:rPr>
      </w:pPr>
    </w:p>
    <w:p w14:paraId="A0030000">
      <w:pPr>
        <w:pStyle w:val="Style_2"/>
        <w:spacing w:after="0" w:before="0" w:line="240" w:lineRule="auto"/>
        <w:ind w:firstLine="709" w:left="0" w:right="0"/>
        <w:jc w:val="both"/>
        <w:rPr>
          <w:rFonts w:ascii="Times New Roman" w:hAnsi="Times New Roman"/>
        </w:rPr>
      </w:pPr>
      <w:r>
        <w:rPr>
          <w:sz w:val="24"/>
        </w:rPr>
        <w:t>Для потребителей, не попавших ни в одну из групп, определенных Критериями определения потребителей, с 01 января 2022 года применяется экономически обоснованный тариф, определенный для энергоснабжающей организации на соответствующей территории:</w:t>
      </w:r>
    </w:p>
    <w:p w14:paraId="A1030000">
      <w:pPr>
        <w:pStyle w:val="Style_2"/>
        <w:widowControl w:val="0"/>
        <w:spacing w:after="0" w:before="0" w:line="240" w:lineRule="auto"/>
        <w:ind w:firstLine="0" w:left="1069" w:right="0"/>
        <w:contextualSpacing w:val="1"/>
        <w:jc w:val="right"/>
        <w:rPr>
          <w:rFonts w:ascii="Times New Roman" w:hAnsi="Times New Roman"/>
        </w:rPr>
      </w:pPr>
      <w:r>
        <w:rPr>
          <w:sz w:val="24"/>
        </w:rPr>
        <w:t>руб./кВтч (без НДС)</w:t>
      </w:r>
    </w:p>
    <w:tbl>
      <w:tblPr>
        <w:tblStyle w:val="Style_6"/>
        <w:tblInd w:type="dxa" w:w="113"/>
        <w:tblLayout w:type="fixed"/>
        <w:tblCellMar>
          <w:top w:type="dxa" w:w="0"/>
          <w:left w:type="dxa" w:w="108"/>
          <w:bottom w:type="dxa" w:w="0"/>
          <w:right w:type="dxa" w:w="108"/>
        </w:tblCellMar>
      </w:tblPr>
      <w:tblGrid>
        <w:gridCol w:w="3008"/>
        <w:gridCol w:w="753"/>
        <w:gridCol w:w="904"/>
        <w:gridCol w:w="905"/>
        <w:gridCol w:w="907"/>
        <w:gridCol w:w="904"/>
        <w:gridCol w:w="907"/>
        <w:gridCol w:w="903"/>
        <w:gridCol w:w="902"/>
      </w:tblGrid>
      <w:tr>
        <w:trPr>
          <w:trHeight w:hRule="atLeast" w:val="283"/>
        </w:trPr>
        <w:tc>
          <w:tcPr>
            <w:tcW w:type="dxa" w:w="3008"/>
            <w:vMerge w:val="restart"/>
            <w:tcMar>
              <w:top w:type="dxa" w:w="0"/>
              <w:left w:type="dxa" w:w="108"/>
              <w:bottom w:type="dxa" w:w="0"/>
              <w:right w:type="dxa" w:w="108"/>
            </w:tcMar>
            <w:vAlign w:val="center"/>
          </w:tcPr>
          <w:p w14:paraId="A2030000">
            <w:pPr>
              <w:pStyle w:val="Style_2"/>
              <w:widowControl w:val="0"/>
              <w:spacing w:after="0" w:before="0" w:line="240" w:lineRule="auto"/>
              <w:ind/>
              <w:jc w:val="center"/>
              <w:rPr>
                <w:rFonts w:ascii="Times New Roman" w:hAnsi="Times New Roman"/>
                <w:b w:val="0"/>
                <w:sz w:val="20"/>
              </w:rPr>
            </w:pPr>
            <w:r>
              <w:rPr>
                <w:b w:val="0"/>
                <w:sz w:val="20"/>
              </w:rPr>
              <w:t>Энергоснабжающая организация</w:t>
            </w:r>
          </w:p>
        </w:tc>
        <w:tc>
          <w:tcPr>
            <w:tcW w:type="dxa" w:w="3469"/>
            <w:gridSpan w:val="4"/>
            <w:tcMar>
              <w:top w:type="dxa" w:w="0"/>
              <w:left w:type="dxa" w:w="108"/>
              <w:bottom w:type="dxa" w:w="0"/>
              <w:right w:type="dxa" w:w="108"/>
            </w:tcMar>
            <w:vAlign w:val="center"/>
          </w:tcPr>
          <w:p w14:paraId="A3030000">
            <w:pPr>
              <w:pStyle w:val="Style_2"/>
              <w:widowControl w:val="0"/>
              <w:spacing w:after="0" w:before="0" w:line="240" w:lineRule="auto"/>
              <w:ind w:firstLine="709" w:left="0" w:right="0"/>
              <w:jc w:val="both"/>
              <w:rPr>
                <w:rFonts w:ascii="Times New Roman" w:hAnsi="Times New Roman"/>
                <w:b w:val="0"/>
                <w:sz w:val="20"/>
              </w:rPr>
            </w:pPr>
            <w:r>
              <w:rPr>
                <w:b w:val="0"/>
                <w:sz w:val="20"/>
              </w:rPr>
              <w:t>1 полугодие 202</w:t>
            </w:r>
            <w:r>
              <w:rPr>
                <w:b w:val="0"/>
                <w:sz w:val="20"/>
              </w:rPr>
              <w:t xml:space="preserve">4 </w:t>
            </w:r>
            <w:r>
              <w:rPr>
                <w:b w:val="0"/>
                <w:sz w:val="20"/>
              </w:rPr>
              <w:t>года</w:t>
            </w:r>
          </w:p>
        </w:tc>
        <w:tc>
          <w:tcPr>
            <w:tcW w:type="dxa" w:w="3616"/>
            <w:gridSpan w:val="4"/>
            <w:tcMar>
              <w:top w:type="dxa" w:w="0"/>
              <w:left w:type="dxa" w:w="108"/>
              <w:bottom w:type="dxa" w:w="0"/>
              <w:right w:type="dxa" w:w="108"/>
            </w:tcMar>
            <w:vAlign w:val="center"/>
          </w:tcPr>
          <w:p w14:paraId="A4030000">
            <w:pPr>
              <w:pStyle w:val="Style_2"/>
              <w:widowControl w:val="0"/>
              <w:spacing w:after="0" w:before="0" w:line="240" w:lineRule="auto"/>
              <w:ind w:firstLine="709" w:left="0" w:right="0"/>
              <w:jc w:val="both"/>
              <w:rPr>
                <w:rFonts w:ascii="Times New Roman" w:hAnsi="Times New Roman"/>
                <w:b w:val="0"/>
                <w:sz w:val="20"/>
              </w:rPr>
            </w:pPr>
            <w:r>
              <w:rPr>
                <w:b w:val="0"/>
                <w:sz w:val="20"/>
              </w:rPr>
              <w:t>2</w:t>
            </w:r>
            <w:r>
              <w:rPr>
                <w:b w:val="0"/>
                <w:sz w:val="20"/>
              </w:rPr>
              <w:t xml:space="preserve"> полугодие 202</w:t>
            </w:r>
            <w:r>
              <w:rPr>
                <w:b w:val="0"/>
                <w:sz w:val="20"/>
              </w:rPr>
              <w:t>4</w:t>
            </w:r>
            <w:r>
              <w:rPr>
                <w:b w:val="0"/>
                <w:sz w:val="20"/>
              </w:rPr>
              <w:t xml:space="preserve"> года</w:t>
            </w:r>
          </w:p>
        </w:tc>
      </w:tr>
      <w:tr>
        <w:trPr>
          <w:trHeight w:hRule="atLeast" w:val="261"/>
        </w:trPr>
        <w:tc>
          <w:tcPr>
            <w:tcW w:type="dxa" w:w="3008"/>
            <w:gridSpan w:val="1"/>
            <w:vMerge w:val="continue"/>
            <w:tcMar>
              <w:top w:type="dxa" w:w="0"/>
              <w:left w:type="dxa" w:w="108"/>
              <w:bottom w:type="dxa" w:w="0"/>
              <w:right w:type="dxa" w:w="108"/>
            </w:tcMar>
            <w:vAlign w:val="center"/>
          </w:tcPr>
          <w:p/>
        </w:tc>
        <w:tc>
          <w:tcPr>
            <w:tcW w:type="dxa" w:w="753"/>
            <w:tcMar>
              <w:top w:type="dxa" w:w="0"/>
              <w:left w:type="dxa" w:w="108"/>
              <w:bottom w:type="dxa" w:w="0"/>
              <w:right w:type="dxa" w:w="108"/>
            </w:tcMar>
            <w:vAlign w:val="center"/>
          </w:tcPr>
          <w:p w14:paraId="A5030000">
            <w:pPr>
              <w:pStyle w:val="Style_2"/>
              <w:widowControl w:val="0"/>
              <w:spacing w:after="0" w:before="0" w:line="240" w:lineRule="auto"/>
              <w:ind/>
              <w:jc w:val="center"/>
              <w:rPr>
                <w:rFonts w:ascii="Times New Roman" w:hAnsi="Times New Roman"/>
                <w:b w:val="0"/>
                <w:sz w:val="20"/>
              </w:rPr>
            </w:pPr>
            <w:r>
              <w:rPr>
                <w:b w:val="0"/>
                <w:sz w:val="20"/>
              </w:rPr>
              <w:t>ВН</w:t>
            </w:r>
          </w:p>
        </w:tc>
        <w:tc>
          <w:tcPr>
            <w:tcW w:type="dxa" w:w="904"/>
            <w:tcMar>
              <w:top w:type="dxa" w:w="0"/>
              <w:left w:type="dxa" w:w="108"/>
              <w:bottom w:type="dxa" w:w="0"/>
              <w:right w:type="dxa" w:w="108"/>
            </w:tcMar>
            <w:vAlign w:val="center"/>
          </w:tcPr>
          <w:p w14:paraId="A6030000">
            <w:pPr>
              <w:pStyle w:val="Style_2"/>
              <w:widowControl w:val="0"/>
              <w:spacing w:after="0" w:before="0" w:line="240" w:lineRule="auto"/>
              <w:ind/>
              <w:jc w:val="center"/>
              <w:rPr>
                <w:rFonts w:ascii="Times New Roman" w:hAnsi="Times New Roman"/>
                <w:b w:val="0"/>
                <w:sz w:val="20"/>
              </w:rPr>
            </w:pPr>
            <w:r>
              <w:rPr>
                <w:b w:val="0"/>
                <w:sz w:val="20"/>
              </w:rPr>
              <w:t>СН-1</w:t>
            </w:r>
          </w:p>
        </w:tc>
        <w:tc>
          <w:tcPr>
            <w:tcW w:type="dxa" w:w="905"/>
            <w:tcMar>
              <w:top w:type="dxa" w:w="0"/>
              <w:left w:type="dxa" w:w="108"/>
              <w:bottom w:type="dxa" w:w="0"/>
              <w:right w:type="dxa" w:w="108"/>
            </w:tcMar>
            <w:vAlign w:val="center"/>
          </w:tcPr>
          <w:p w14:paraId="A7030000">
            <w:pPr>
              <w:pStyle w:val="Style_2"/>
              <w:widowControl w:val="0"/>
              <w:spacing w:after="0" w:before="0" w:line="240" w:lineRule="auto"/>
              <w:ind/>
              <w:jc w:val="center"/>
              <w:rPr>
                <w:rFonts w:ascii="Times New Roman" w:hAnsi="Times New Roman"/>
                <w:b w:val="0"/>
                <w:sz w:val="20"/>
              </w:rPr>
            </w:pPr>
            <w:r>
              <w:rPr>
                <w:b w:val="0"/>
                <w:sz w:val="20"/>
              </w:rPr>
              <w:t>СН-II</w:t>
            </w:r>
          </w:p>
        </w:tc>
        <w:tc>
          <w:tcPr>
            <w:tcW w:type="dxa" w:w="907"/>
            <w:tcMar>
              <w:top w:type="dxa" w:w="0"/>
              <w:left w:type="dxa" w:w="108"/>
              <w:bottom w:type="dxa" w:w="0"/>
              <w:right w:type="dxa" w:w="108"/>
            </w:tcMar>
            <w:vAlign w:val="center"/>
          </w:tcPr>
          <w:p w14:paraId="A8030000">
            <w:pPr>
              <w:pStyle w:val="Style_2"/>
              <w:widowControl w:val="0"/>
              <w:spacing w:after="0" w:before="0" w:line="240" w:lineRule="auto"/>
              <w:ind/>
              <w:jc w:val="center"/>
              <w:rPr>
                <w:rFonts w:ascii="Times New Roman" w:hAnsi="Times New Roman"/>
                <w:b w:val="0"/>
                <w:sz w:val="20"/>
              </w:rPr>
            </w:pPr>
            <w:r>
              <w:rPr>
                <w:b w:val="0"/>
                <w:sz w:val="20"/>
              </w:rPr>
              <w:t>НН</w:t>
            </w:r>
          </w:p>
        </w:tc>
        <w:tc>
          <w:tcPr>
            <w:tcW w:type="dxa" w:w="904"/>
            <w:tcMar>
              <w:top w:type="dxa" w:w="0"/>
              <w:left w:type="dxa" w:w="108"/>
              <w:bottom w:type="dxa" w:w="0"/>
              <w:right w:type="dxa" w:w="108"/>
            </w:tcMar>
            <w:vAlign w:val="center"/>
          </w:tcPr>
          <w:p w14:paraId="A9030000">
            <w:pPr>
              <w:pStyle w:val="Style_2"/>
              <w:widowControl w:val="0"/>
              <w:spacing w:after="0" w:before="0" w:line="240" w:lineRule="auto"/>
              <w:ind/>
              <w:jc w:val="center"/>
              <w:rPr>
                <w:rFonts w:ascii="Times New Roman" w:hAnsi="Times New Roman"/>
                <w:b w:val="0"/>
                <w:sz w:val="20"/>
              </w:rPr>
            </w:pPr>
            <w:r>
              <w:rPr>
                <w:b w:val="0"/>
                <w:sz w:val="20"/>
              </w:rPr>
              <w:t>ВН</w:t>
            </w:r>
          </w:p>
        </w:tc>
        <w:tc>
          <w:tcPr>
            <w:tcW w:type="dxa" w:w="907"/>
            <w:tcMar>
              <w:top w:type="dxa" w:w="0"/>
              <w:left w:type="dxa" w:w="108"/>
              <w:bottom w:type="dxa" w:w="0"/>
              <w:right w:type="dxa" w:w="108"/>
            </w:tcMar>
            <w:vAlign w:val="center"/>
          </w:tcPr>
          <w:p w14:paraId="AA030000">
            <w:pPr>
              <w:pStyle w:val="Style_2"/>
              <w:widowControl w:val="0"/>
              <w:spacing w:after="0" w:before="0" w:line="240" w:lineRule="auto"/>
              <w:ind/>
              <w:jc w:val="center"/>
              <w:rPr>
                <w:rFonts w:ascii="Times New Roman" w:hAnsi="Times New Roman"/>
                <w:b w:val="0"/>
                <w:sz w:val="20"/>
              </w:rPr>
            </w:pPr>
            <w:r>
              <w:rPr>
                <w:b w:val="0"/>
                <w:sz w:val="20"/>
              </w:rPr>
              <w:t>СН-1</w:t>
            </w:r>
          </w:p>
        </w:tc>
        <w:tc>
          <w:tcPr>
            <w:tcW w:type="dxa" w:w="903"/>
            <w:tcMar>
              <w:top w:type="dxa" w:w="0"/>
              <w:left w:type="dxa" w:w="108"/>
              <w:bottom w:type="dxa" w:w="0"/>
              <w:right w:type="dxa" w:w="108"/>
            </w:tcMar>
            <w:vAlign w:val="center"/>
          </w:tcPr>
          <w:p w14:paraId="AB030000">
            <w:pPr>
              <w:pStyle w:val="Style_2"/>
              <w:widowControl w:val="0"/>
              <w:spacing w:after="0" w:before="0" w:line="240" w:lineRule="auto"/>
              <w:ind/>
              <w:jc w:val="center"/>
              <w:rPr>
                <w:rFonts w:ascii="Times New Roman" w:hAnsi="Times New Roman"/>
                <w:b w:val="0"/>
                <w:sz w:val="20"/>
              </w:rPr>
            </w:pPr>
            <w:r>
              <w:rPr>
                <w:b w:val="0"/>
                <w:sz w:val="20"/>
              </w:rPr>
              <w:t>СН-II</w:t>
            </w:r>
          </w:p>
        </w:tc>
        <w:tc>
          <w:tcPr>
            <w:tcW w:type="dxa" w:w="902"/>
            <w:tcMar>
              <w:top w:type="dxa" w:w="0"/>
              <w:left w:type="dxa" w:w="108"/>
              <w:bottom w:type="dxa" w:w="0"/>
              <w:right w:type="dxa" w:w="108"/>
            </w:tcMar>
            <w:vAlign w:val="center"/>
          </w:tcPr>
          <w:p w14:paraId="AC030000">
            <w:pPr>
              <w:pStyle w:val="Style_2"/>
              <w:widowControl w:val="0"/>
              <w:spacing w:after="0" w:before="0" w:line="240" w:lineRule="auto"/>
              <w:ind/>
              <w:jc w:val="center"/>
              <w:rPr>
                <w:rFonts w:ascii="Times New Roman" w:hAnsi="Times New Roman"/>
                <w:b w:val="0"/>
                <w:sz w:val="20"/>
              </w:rPr>
            </w:pPr>
            <w:r>
              <w:rPr>
                <w:b w:val="0"/>
                <w:sz w:val="20"/>
              </w:rPr>
              <w:t>НН</w:t>
            </w:r>
          </w:p>
        </w:tc>
      </w:tr>
      <w:tr>
        <w:trPr>
          <w:trHeight w:hRule="atLeast" w:val="551"/>
        </w:trPr>
        <w:tc>
          <w:tcPr>
            <w:tcW w:type="dxa" w:w="3008"/>
            <w:tcMar>
              <w:top w:type="dxa" w:w="0"/>
              <w:left w:type="dxa" w:w="108"/>
              <w:bottom w:type="dxa" w:w="0"/>
              <w:right w:type="dxa" w:w="108"/>
            </w:tcMar>
            <w:vAlign w:val="center"/>
          </w:tcPr>
          <w:p w14:paraId="AD030000">
            <w:pPr>
              <w:pStyle w:val="Style_2"/>
              <w:widowControl w:val="0"/>
              <w:spacing w:after="0" w:before="0" w:line="240" w:lineRule="auto"/>
              <w:ind/>
              <w:jc w:val="left"/>
              <w:rPr>
                <w:rFonts w:ascii="Times New Roman" w:hAnsi="Times New Roman"/>
                <w:b w:val="0"/>
                <w:sz w:val="20"/>
              </w:rPr>
            </w:pPr>
            <w:r>
              <w:rPr>
                <w:b w:val="0"/>
                <w:sz w:val="20"/>
              </w:rPr>
              <w:t>ПАО «Камчатскэнерго» (Центральный энергоузел)</w:t>
            </w:r>
          </w:p>
        </w:tc>
        <w:tc>
          <w:tcPr>
            <w:tcW w:type="dxa" w:w="753"/>
            <w:tcMar>
              <w:top w:type="dxa" w:w="0"/>
              <w:left w:type="dxa" w:w="108"/>
              <w:bottom w:type="dxa" w:w="0"/>
              <w:right w:type="dxa" w:w="108"/>
            </w:tcMar>
            <w:vAlign w:val="center"/>
          </w:tcPr>
          <w:p w14:paraId="AE030000">
            <w:pPr>
              <w:pStyle w:val="Style_2"/>
              <w:widowControl w:val="0"/>
              <w:spacing w:after="0" w:before="0" w:line="240" w:lineRule="auto"/>
              <w:ind/>
              <w:jc w:val="center"/>
              <w:rPr>
                <w:rFonts w:ascii="Times New Roman" w:hAnsi="Times New Roman"/>
                <w:b w:val="0"/>
                <w:sz w:val="20"/>
              </w:rPr>
            </w:pPr>
            <w:r>
              <w:rPr>
                <w:b w:val="0"/>
                <w:sz w:val="20"/>
              </w:rPr>
              <w:t>8,235</w:t>
            </w:r>
          </w:p>
        </w:tc>
        <w:tc>
          <w:tcPr>
            <w:tcW w:type="dxa" w:w="904"/>
            <w:tcMar>
              <w:top w:type="dxa" w:w="0"/>
              <w:left w:type="dxa" w:w="108"/>
              <w:bottom w:type="dxa" w:w="0"/>
              <w:right w:type="dxa" w:w="108"/>
            </w:tcMar>
            <w:vAlign w:val="center"/>
          </w:tcPr>
          <w:p w14:paraId="AF030000">
            <w:pPr>
              <w:pStyle w:val="Style_2"/>
              <w:widowControl w:val="0"/>
              <w:spacing w:after="0" w:before="0" w:line="240" w:lineRule="auto"/>
              <w:ind/>
              <w:jc w:val="center"/>
              <w:rPr>
                <w:rFonts w:ascii="Times New Roman" w:hAnsi="Times New Roman"/>
                <w:b w:val="0"/>
                <w:sz w:val="20"/>
              </w:rPr>
            </w:pPr>
            <w:r>
              <w:rPr>
                <w:b w:val="0"/>
                <w:sz w:val="20"/>
              </w:rPr>
              <w:t>9,834</w:t>
            </w:r>
          </w:p>
        </w:tc>
        <w:tc>
          <w:tcPr>
            <w:tcW w:type="dxa" w:w="905"/>
            <w:tcMar>
              <w:top w:type="dxa" w:w="0"/>
              <w:left w:type="dxa" w:w="108"/>
              <w:bottom w:type="dxa" w:w="0"/>
              <w:right w:type="dxa" w:w="108"/>
            </w:tcMar>
            <w:vAlign w:val="center"/>
          </w:tcPr>
          <w:p w14:paraId="B0030000">
            <w:pPr>
              <w:pStyle w:val="Style_2"/>
              <w:widowControl w:val="0"/>
              <w:spacing w:after="0" w:before="0" w:line="240" w:lineRule="auto"/>
              <w:ind/>
              <w:jc w:val="center"/>
              <w:rPr>
                <w:rFonts w:ascii="Times New Roman" w:hAnsi="Times New Roman"/>
                <w:b w:val="0"/>
                <w:sz w:val="20"/>
              </w:rPr>
            </w:pPr>
            <w:r>
              <w:rPr>
                <w:b w:val="0"/>
                <w:sz w:val="20"/>
              </w:rPr>
              <w:t>10,793</w:t>
            </w:r>
          </w:p>
        </w:tc>
        <w:tc>
          <w:tcPr>
            <w:tcW w:type="dxa" w:w="907"/>
            <w:tcMar>
              <w:top w:type="dxa" w:w="0"/>
              <w:left w:type="dxa" w:w="108"/>
              <w:bottom w:type="dxa" w:w="0"/>
              <w:right w:type="dxa" w:w="108"/>
            </w:tcMar>
            <w:vAlign w:val="center"/>
          </w:tcPr>
          <w:p w14:paraId="B1030000">
            <w:pPr>
              <w:pStyle w:val="Style_2"/>
              <w:widowControl w:val="0"/>
              <w:spacing w:after="0" w:before="0" w:line="240" w:lineRule="auto"/>
              <w:ind/>
              <w:jc w:val="center"/>
              <w:rPr>
                <w:rFonts w:ascii="Times New Roman" w:hAnsi="Times New Roman"/>
                <w:b w:val="0"/>
                <w:sz w:val="20"/>
              </w:rPr>
            </w:pPr>
            <w:r>
              <w:rPr>
                <w:b w:val="0"/>
                <w:sz w:val="20"/>
              </w:rPr>
              <w:t>14,255</w:t>
            </w:r>
          </w:p>
        </w:tc>
        <w:tc>
          <w:tcPr>
            <w:tcW w:type="dxa" w:w="904"/>
            <w:tcMar>
              <w:top w:type="dxa" w:w="0"/>
              <w:left w:type="dxa" w:w="108"/>
              <w:bottom w:type="dxa" w:w="0"/>
              <w:right w:type="dxa" w:w="108"/>
            </w:tcMar>
            <w:vAlign w:val="center"/>
          </w:tcPr>
          <w:p w14:paraId="B2030000">
            <w:pPr>
              <w:pStyle w:val="Style_2"/>
              <w:widowControl w:val="0"/>
              <w:spacing w:after="0" w:before="0" w:line="240" w:lineRule="auto"/>
              <w:ind/>
              <w:jc w:val="center"/>
              <w:rPr>
                <w:rFonts w:ascii="Times New Roman" w:hAnsi="Times New Roman"/>
                <w:b w:val="0"/>
                <w:sz w:val="20"/>
              </w:rPr>
            </w:pPr>
            <w:r>
              <w:rPr>
                <w:b w:val="0"/>
                <w:sz w:val="20"/>
              </w:rPr>
              <w:t>12,717</w:t>
            </w:r>
          </w:p>
        </w:tc>
        <w:tc>
          <w:tcPr>
            <w:tcW w:type="dxa" w:w="907"/>
            <w:tcMar>
              <w:top w:type="dxa" w:w="0"/>
              <w:left w:type="dxa" w:w="108"/>
              <w:bottom w:type="dxa" w:w="0"/>
              <w:right w:type="dxa" w:w="108"/>
            </w:tcMar>
            <w:vAlign w:val="center"/>
          </w:tcPr>
          <w:p w14:paraId="B3030000">
            <w:pPr>
              <w:pStyle w:val="Style_2"/>
              <w:widowControl w:val="0"/>
              <w:spacing w:after="0" w:before="0" w:line="240" w:lineRule="auto"/>
              <w:ind/>
              <w:jc w:val="center"/>
              <w:rPr>
                <w:rFonts w:ascii="Times New Roman" w:hAnsi="Times New Roman"/>
                <w:b w:val="0"/>
                <w:sz w:val="20"/>
              </w:rPr>
            </w:pPr>
            <w:r>
              <w:rPr>
                <w:b w:val="0"/>
                <w:sz w:val="20"/>
              </w:rPr>
              <w:t>15,580</w:t>
            </w:r>
          </w:p>
        </w:tc>
        <w:tc>
          <w:tcPr>
            <w:tcW w:type="dxa" w:w="903"/>
            <w:tcMar>
              <w:top w:type="dxa" w:w="0"/>
              <w:left w:type="dxa" w:w="108"/>
              <w:bottom w:type="dxa" w:w="0"/>
              <w:right w:type="dxa" w:w="108"/>
            </w:tcMar>
            <w:vAlign w:val="center"/>
          </w:tcPr>
          <w:p w14:paraId="B4030000">
            <w:pPr>
              <w:pStyle w:val="Style_2"/>
              <w:widowControl w:val="0"/>
              <w:spacing w:after="0" w:before="0" w:line="240" w:lineRule="auto"/>
              <w:ind/>
              <w:jc w:val="center"/>
              <w:rPr>
                <w:rFonts w:ascii="Times New Roman" w:hAnsi="Times New Roman"/>
                <w:b w:val="0"/>
                <w:sz w:val="20"/>
              </w:rPr>
            </w:pPr>
            <w:r>
              <w:rPr>
                <w:b w:val="0"/>
                <w:sz w:val="20"/>
              </w:rPr>
              <w:t>16,150</w:t>
            </w:r>
          </w:p>
        </w:tc>
        <w:tc>
          <w:tcPr>
            <w:tcW w:type="dxa" w:w="902"/>
            <w:tcMar>
              <w:top w:type="dxa" w:w="0"/>
              <w:left w:type="dxa" w:w="108"/>
              <w:bottom w:type="dxa" w:w="0"/>
              <w:right w:type="dxa" w:w="108"/>
            </w:tcMar>
            <w:vAlign w:val="center"/>
          </w:tcPr>
          <w:p w14:paraId="B5030000">
            <w:pPr>
              <w:pStyle w:val="Style_2"/>
              <w:widowControl w:val="0"/>
              <w:spacing w:after="0" w:before="0" w:line="240" w:lineRule="auto"/>
              <w:ind/>
              <w:jc w:val="center"/>
              <w:rPr>
                <w:rFonts w:ascii="Times New Roman" w:hAnsi="Times New Roman"/>
                <w:b w:val="0"/>
                <w:sz w:val="20"/>
              </w:rPr>
            </w:pPr>
            <w:r>
              <w:rPr>
                <w:b w:val="0"/>
                <w:sz w:val="20"/>
              </w:rPr>
              <w:t>17,590</w:t>
            </w:r>
          </w:p>
        </w:tc>
      </w:tr>
      <w:tr>
        <w:trPr>
          <w:trHeight w:hRule="atLeast" w:val="234"/>
        </w:trPr>
        <w:tc>
          <w:tcPr>
            <w:tcW w:type="dxa" w:w="3008"/>
            <w:tcMar>
              <w:top w:type="dxa" w:w="0"/>
              <w:left w:type="dxa" w:w="108"/>
              <w:bottom w:type="dxa" w:w="0"/>
              <w:right w:type="dxa" w:w="108"/>
            </w:tcMar>
            <w:vAlign w:val="center"/>
          </w:tcPr>
          <w:p w14:paraId="B6030000">
            <w:pPr>
              <w:pStyle w:val="Style_2"/>
              <w:widowControl w:val="0"/>
              <w:spacing w:after="0" w:before="0" w:line="240" w:lineRule="auto"/>
              <w:ind/>
              <w:jc w:val="left"/>
              <w:rPr>
                <w:rFonts w:ascii="Times New Roman" w:hAnsi="Times New Roman"/>
                <w:b w:val="0"/>
                <w:sz w:val="20"/>
              </w:rPr>
            </w:pPr>
            <w:r>
              <w:rPr>
                <w:b w:val="0"/>
                <w:sz w:val="20"/>
              </w:rPr>
              <w:t>АО «ЮЭСК»</w:t>
            </w:r>
          </w:p>
        </w:tc>
        <w:tc>
          <w:tcPr>
            <w:tcW w:type="dxa" w:w="753"/>
            <w:tcMar>
              <w:top w:type="dxa" w:w="0"/>
              <w:left w:type="dxa" w:w="108"/>
              <w:bottom w:type="dxa" w:w="0"/>
              <w:right w:type="dxa" w:w="108"/>
            </w:tcMar>
            <w:vAlign w:val="center"/>
          </w:tcPr>
          <w:p w14:paraId="B7030000">
            <w:pPr>
              <w:pStyle w:val="Style_2"/>
              <w:widowControl w:val="0"/>
              <w:spacing w:after="0" w:before="0" w:line="240" w:lineRule="auto"/>
              <w:ind/>
              <w:jc w:val="center"/>
              <w:rPr>
                <w:rFonts w:ascii="Times New Roman" w:hAnsi="Times New Roman"/>
                <w:b w:val="0"/>
                <w:sz w:val="20"/>
              </w:rPr>
            </w:pPr>
          </w:p>
        </w:tc>
        <w:tc>
          <w:tcPr>
            <w:tcW w:type="dxa" w:w="904"/>
            <w:tcMar>
              <w:top w:type="dxa" w:w="0"/>
              <w:left w:type="dxa" w:w="108"/>
              <w:bottom w:type="dxa" w:w="0"/>
              <w:right w:type="dxa" w:w="108"/>
            </w:tcMar>
            <w:vAlign w:val="center"/>
          </w:tcPr>
          <w:p w14:paraId="B8030000">
            <w:pPr>
              <w:pStyle w:val="Style_2"/>
              <w:widowControl w:val="0"/>
              <w:spacing w:after="0" w:before="0" w:line="240" w:lineRule="auto"/>
              <w:ind/>
              <w:jc w:val="center"/>
              <w:rPr>
                <w:rFonts w:ascii="Times New Roman" w:hAnsi="Times New Roman"/>
                <w:b w:val="0"/>
                <w:sz w:val="20"/>
              </w:rPr>
            </w:pPr>
            <w:r>
              <w:rPr>
                <w:b w:val="0"/>
                <w:sz w:val="20"/>
              </w:rPr>
              <w:t>41,203</w:t>
            </w:r>
          </w:p>
        </w:tc>
        <w:tc>
          <w:tcPr>
            <w:tcW w:type="dxa" w:w="905"/>
            <w:tcMar>
              <w:top w:type="dxa" w:w="0"/>
              <w:left w:type="dxa" w:w="108"/>
              <w:bottom w:type="dxa" w:w="0"/>
              <w:right w:type="dxa" w:w="108"/>
            </w:tcMar>
            <w:vAlign w:val="center"/>
          </w:tcPr>
          <w:p w14:paraId="B9030000">
            <w:pPr>
              <w:pStyle w:val="Style_2"/>
              <w:widowControl w:val="0"/>
              <w:spacing w:after="0" w:before="0" w:line="240" w:lineRule="auto"/>
              <w:ind/>
              <w:jc w:val="center"/>
              <w:rPr>
                <w:rFonts w:ascii="Times New Roman" w:hAnsi="Times New Roman"/>
                <w:b w:val="0"/>
                <w:sz w:val="20"/>
              </w:rPr>
            </w:pPr>
            <w:r>
              <w:rPr>
                <w:b w:val="0"/>
                <w:sz w:val="20"/>
              </w:rPr>
              <w:t>41,841</w:t>
            </w:r>
          </w:p>
        </w:tc>
        <w:tc>
          <w:tcPr>
            <w:tcW w:type="dxa" w:w="907"/>
            <w:tcMar>
              <w:top w:type="dxa" w:w="0"/>
              <w:left w:type="dxa" w:w="108"/>
              <w:bottom w:type="dxa" w:w="0"/>
              <w:right w:type="dxa" w:w="108"/>
            </w:tcMar>
            <w:vAlign w:val="center"/>
          </w:tcPr>
          <w:p w14:paraId="BA030000">
            <w:pPr>
              <w:pStyle w:val="Style_2"/>
              <w:widowControl w:val="0"/>
              <w:spacing w:after="0" w:before="0" w:line="240" w:lineRule="auto"/>
              <w:ind/>
              <w:jc w:val="center"/>
              <w:rPr>
                <w:rFonts w:ascii="Times New Roman" w:hAnsi="Times New Roman"/>
                <w:b w:val="0"/>
                <w:sz w:val="20"/>
              </w:rPr>
            </w:pPr>
            <w:r>
              <w:rPr>
                <w:b w:val="0"/>
                <w:sz w:val="20"/>
              </w:rPr>
              <w:t>42,480</w:t>
            </w:r>
          </w:p>
        </w:tc>
        <w:tc>
          <w:tcPr>
            <w:tcW w:type="dxa" w:w="904"/>
            <w:tcMar>
              <w:top w:type="dxa" w:w="0"/>
              <w:left w:type="dxa" w:w="108"/>
              <w:bottom w:type="dxa" w:w="0"/>
              <w:right w:type="dxa" w:w="108"/>
            </w:tcMar>
            <w:vAlign w:val="center"/>
          </w:tcPr>
          <w:p w14:paraId="BB030000">
            <w:pPr>
              <w:pStyle w:val="Style_2"/>
              <w:widowControl w:val="0"/>
              <w:spacing w:after="0" w:before="0" w:line="240" w:lineRule="auto"/>
              <w:ind/>
              <w:jc w:val="center"/>
              <w:rPr>
                <w:rFonts w:ascii="Times New Roman" w:hAnsi="Times New Roman"/>
                <w:b w:val="0"/>
                <w:sz w:val="20"/>
              </w:rPr>
            </w:pPr>
          </w:p>
        </w:tc>
        <w:tc>
          <w:tcPr>
            <w:tcW w:type="dxa" w:w="907"/>
            <w:tcMar>
              <w:top w:type="dxa" w:w="0"/>
              <w:left w:type="dxa" w:w="108"/>
              <w:bottom w:type="dxa" w:w="0"/>
              <w:right w:type="dxa" w:w="108"/>
            </w:tcMar>
            <w:vAlign w:val="center"/>
          </w:tcPr>
          <w:p w14:paraId="BC030000">
            <w:pPr>
              <w:pStyle w:val="Style_2"/>
              <w:widowControl w:val="0"/>
              <w:spacing w:after="0" w:before="0" w:line="240" w:lineRule="auto"/>
              <w:ind/>
              <w:jc w:val="center"/>
              <w:rPr>
                <w:rFonts w:ascii="Times New Roman" w:hAnsi="Times New Roman"/>
                <w:b w:val="0"/>
                <w:sz w:val="20"/>
              </w:rPr>
            </w:pPr>
            <w:r>
              <w:rPr>
                <w:b w:val="0"/>
                <w:sz w:val="20"/>
              </w:rPr>
              <w:t>50,509</w:t>
            </w:r>
          </w:p>
        </w:tc>
        <w:tc>
          <w:tcPr>
            <w:tcW w:type="dxa" w:w="903"/>
            <w:tcMar>
              <w:top w:type="dxa" w:w="0"/>
              <w:left w:type="dxa" w:w="108"/>
              <w:bottom w:type="dxa" w:w="0"/>
              <w:right w:type="dxa" w:w="108"/>
            </w:tcMar>
            <w:vAlign w:val="center"/>
          </w:tcPr>
          <w:p w14:paraId="BD030000">
            <w:pPr>
              <w:pStyle w:val="Style_2"/>
              <w:widowControl w:val="0"/>
              <w:spacing w:after="0" w:before="0" w:line="240" w:lineRule="auto"/>
              <w:ind/>
              <w:jc w:val="center"/>
              <w:rPr>
                <w:rFonts w:ascii="Times New Roman" w:hAnsi="Times New Roman"/>
                <w:b w:val="0"/>
                <w:sz w:val="20"/>
              </w:rPr>
            </w:pPr>
            <w:r>
              <w:rPr>
                <w:b w:val="0"/>
                <w:sz w:val="20"/>
              </w:rPr>
              <w:t>51,055</w:t>
            </w:r>
          </w:p>
        </w:tc>
        <w:tc>
          <w:tcPr>
            <w:tcW w:type="dxa" w:w="902"/>
            <w:tcMar>
              <w:top w:type="dxa" w:w="0"/>
              <w:left w:type="dxa" w:w="108"/>
              <w:bottom w:type="dxa" w:w="0"/>
              <w:right w:type="dxa" w:w="108"/>
            </w:tcMar>
            <w:vAlign w:val="center"/>
          </w:tcPr>
          <w:p w14:paraId="BE030000">
            <w:pPr>
              <w:pStyle w:val="Style_2"/>
              <w:widowControl w:val="0"/>
              <w:spacing w:after="0" w:before="0" w:line="240" w:lineRule="auto"/>
              <w:ind/>
              <w:jc w:val="center"/>
              <w:rPr>
                <w:rFonts w:ascii="Times New Roman" w:hAnsi="Times New Roman"/>
                <w:b w:val="0"/>
                <w:sz w:val="20"/>
              </w:rPr>
            </w:pPr>
            <w:r>
              <w:rPr>
                <w:b w:val="0"/>
                <w:sz w:val="20"/>
              </w:rPr>
              <w:t>51,547</w:t>
            </w:r>
          </w:p>
        </w:tc>
      </w:tr>
      <w:tr>
        <w:trPr>
          <w:trHeight w:hRule="atLeast" w:val="207"/>
        </w:trPr>
        <w:tc>
          <w:tcPr>
            <w:tcW w:type="dxa" w:w="3008"/>
            <w:tcMar>
              <w:top w:type="dxa" w:w="0"/>
              <w:left w:type="dxa" w:w="108"/>
              <w:bottom w:type="dxa" w:w="0"/>
              <w:right w:type="dxa" w:w="108"/>
            </w:tcMar>
            <w:vAlign w:val="center"/>
          </w:tcPr>
          <w:p w14:paraId="BF030000">
            <w:pPr>
              <w:pStyle w:val="Style_2"/>
              <w:widowControl w:val="0"/>
              <w:spacing w:after="0" w:before="0" w:line="240" w:lineRule="auto"/>
              <w:ind/>
              <w:jc w:val="both"/>
              <w:rPr>
                <w:rFonts w:ascii="Times New Roman" w:hAnsi="Times New Roman"/>
                <w:b w:val="0"/>
                <w:sz w:val="20"/>
              </w:rPr>
            </w:pPr>
            <w:r>
              <w:rPr>
                <w:b w:val="0"/>
                <w:sz w:val="20"/>
              </w:rPr>
              <w:t>ООО «ЭСИ»</w:t>
            </w:r>
          </w:p>
        </w:tc>
        <w:tc>
          <w:tcPr>
            <w:tcW w:type="dxa" w:w="753"/>
            <w:tcMar>
              <w:top w:type="dxa" w:w="0"/>
              <w:left w:type="dxa" w:w="108"/>
              <w:bottom w:type="dxa" w:w="0"/>
              <w:right w:type="dxa" w:w="108"/>
            </w:tcMar>
            <w:vAlign w:val="center"/>
          </w:tcPr>
          <w:p w14:paraId="C0030000">
            <w:pPr>
              <w:pStyle w:val="Style_2"/>
              <w:widowControl w:val="0"/>
              <w:spacing w:after="0" w:before="0" w:line="240" w:lineRule="auto"/>
              <w:ind/>
              <w:jc w:val="center"/>
              <w:rPr>
                <w:rFonts w:ascii="Times New Roman" w:hAnsi="Times New Roman"/>
                <w:b w:val="0"/>
                <w:sz w:val="20"/>
              </w:rPr>
            </w:pPr>
          </w:p>
        </w:tc>
        <w:tc>
          <w:tcPr>
            <w:tcW w:type="dxa" w:w="904"/>
            <w:tcMar>
              <w:top w:type="dxa" w:w="0"/>
              <w:left w:type="dxa" w:w="108"/>
              <w:bottom w:type="dxa" w:w="0"/>
              <w:right w:type="dxa" w:w="108"/>
            </w:tcMar>
            <w:vAlign w:val="center"/>
          </w:tcPr>
          <w:p w14:paraId="C1030000">
            <w:pPr>
              <w:pStyle w:val="Style_2"/>
              <w:widowControl w:val="0"/>
              <w:spacing w:after="0" w:before="0" w:line="240" w:lineRule="auto"/>
              <w:ind/>
              <w:jc w:val="center"/>
              <w:rPr>
                <w:rFonts w:ascii="Times New Roman" w:hAnsi="Times New Roman"/>
                <w:b w:val="0"/>
                <w:sz w:val="20"/>
              </w:rPr>
            </w:pPr>
          </w:p>
        </w:tc>
        <w:tc>
          <w:tcPr>
            <w:tcW w:type="dxa" w:w="905"/>
            <w:tcMar>
              <w:top w:type="dxa" w:w="0"/>
              <w:left w:type="dxa" w:w="108"/>
              <w:bottom w:type="dxa" w:w="0"/>
              <w:right w:type="dxa" w:w="108"/>
            </w:tcMar>
            <w:vAlign w:val="center"/>
          </w:tcPr>
          <w:p w14:paraId="C2030000">
            <w:pPr>
              <w:pStyle w:val="Style_2"/>
              <w:widowControl w:val="0"/>
              <w:spacing w:after="0" w:before="0" w:line="240" w:lineRule="auto"/>
              <w:ind/>
              <w:jc w:val="center"/>
              <w:rPr>
                <w:rFonts w:ascii="Times New Roman" w:hAnsi="Times New Roman"/>
                <w:b w:val="0"/>
                <w:sz w:val="20"/>
              </w:rPr>
            </w:pPr>
          </w:p>
        </w:tc>
        <w:tc>
          <w:tcPr>
            <w:tcW w:type="dxa" w:w="907"/>
            <w:tcMar>
              <w:top w:type="dxa" w:w="0"/>
              <w:left w:type="dxa" w:w="108"/>
              <w:bottom w:type="dxa" w:w="0"/>
              <w:right w:type="dxa" w:w="108"/>
            </w:tcMar>
            <w:vAlign w:val="center"/>
          </w:tcPr>
          <w:p w14:paraId="C3030000">
            <w:pPr>
              <w:pStyle w:val="Style_2"/>
              <w:widowControl w:val="0"/>
              <w:spacing w:after="0" w:before="0" w:line="240" w:lineRule="auto"/>
              <w:ind/>
              <w:jc w:val="center"/>
              <w:rPr>
                <w:rFonts w:ascii="Times New Roman" w:hAnsi="Times New Roman"/>
                <w:b w:val="0"/>
                <w:sz w:val="20"/>
              </w:rPr>
            </w:pPr>
            <w:r>
              <w:rPr>
                <w:b w:val="0"/>
                <w:sz w:val="20"/>
              </w:rPr>
              <w:t>43,294</w:t>
            </w:r>
          </w:p>
        </w:tc>
        <w:tc>
          <w:tcPr>
            <w:tcW w:type="dxa" w:w="904"/>
            <w:tcMar>
              <w:top w:type="dxa" w:w="0"/>
              <w:left w:type="dxa" w:w="108"/>
              <w:bottom w:type="dxa" w:w="0"/>
              <w:right w:type="dxa" w:w="108"/>
            </w:tcMar>
            <w:vAlign w:val="center"/>
          </w:tcPr>
          <w:p w14:paraId="C4030000">
            <w:pPr>
              <w:pStyle w:val="Style_2"/>
              <w:widowControl w:val="0"/>
              <w:spacing w:after="0" w:before="0" w:line="240" w:lineRule="auto"/>
              <w:ind/>
              <w:jc w:val="center"/>
              <w:rPr>
                <w:rFonts w:ascii="Times New Roman" w:hAnsi="Times New Roman"/>
                <w:b w:val="0"/>
                <w:sz w:val="20"/>
              </w:rPr>
            </w:pPr>
          </w:p>
        </w:tc>
        <w:tc>
          <w:tcPr>
            <w:tcW w:type="dxa" w:w="907"/>
            <w:tcMar>
              <w:top w:type="dxa" w:w="0"/>
              <w:left w:type="dxa" w:w="108"/>
              <w:bottom w:type="dxa" w:w="0"/>
              <w:right w:type="dxa" w:w="108"/>
            </w:tcMar>
            <w:vAlign w:val="center"/>
          </w:tcPr>
          <w:p w14:paraId="C5030000">
            <w:pPr>
              <w:pStyle w:val="Style_2"/>
              <w:widowControl w:val="0"/>
              <w:spacing w:after="0" w:before="0" w:line="240" w:lineRule="auto"/>
              <w:ind/>
              <w:jc w:val="center"/>
              <w:rPr>
                <w:rFonts w:ascii="Times New Roman" w:hAnsi="Times New Roman"/>
                <w:b w:val="0"/>
                <w:sz w:val="20"/>
              </w:rPr>
            </w:pPr>
          </w:p>
        </w:tc>
        <w:tc>
          <w:tcPr>
            <w:tcW w:type="dxa" w:w="903"/>
            <w:tcMar>
              <w:top w:type="dxa" w:w="0"/>
              <w:left w:type="dxa" w:w="108"/>
              <w:bottom w:type="dxa" w:w="0"/>
              <w:right w:type="dxa" w:w="108"/>
            </w:tcMar>
            <w:vAlign w:val="center"/>
          </w:tcPr>
          <w:p w14:paraId="C6030000">
            <w:pPr>
              <w:pStyle w:val="Style_2"/>
              <w:widowControl w:val="0"/>
              <w:spacing w:after="0" w:before="0" w:line="240" w:lineRule="auto"/>
              <w:ind/>
              <w:jc w:val="center"/>
              <w:rPr>
                <w:rFonts w:ascii="Times New Roman" w:hAnsi="Times New Roman"/>
                <w:b w:val="0"/>
                <w:sz w:val="20"/>
              </w:rPr>
            </w:pPr>
          </w:p>
        </w:tc>
        <w:tc>
          <w:tcPr>
            <w:tcW w:type="dxa" w:w="902"/>
            <w:tcMar>
              <w:top w:type="dxa" w:w="0"/>
              <w:left w:type="dxa" w:w="108"/>
              <w:bottom w:type="dxa" w:w="0"/>
              <w:right w:type="dxa" w:w="108"/>
            </w:tcMar>
            <w:vAlign w:val="center"/>
          </w:tcPr>
          <w:p w14:paraId="C7030000">
            <w:pPr>
              <w:pStyle w:val="Style_2"/>
              <w:widowControl w:val="0"/>
              <w:spacing w:after="0" w:before="0" w:line="240" w:lineRule="auto"/>
              <w:ind/>
              <w:jc w:val="center"/>
              <w:rPr>
                <w:rFonts w:ascii="Times New Roman" w:hAnsi="Times New Roman"/>
                <w:b w:val="0"/>
                <w:sz w:val="20"/>
              </w:rPr>
            </w:pPr>
            <w:r>
              <w:rPr>
                <w:b w:val="0"/>
                <w:sz w:val="20"/>
              </w:rPr>
              <w:t>47,470</w:t>
            </w:r>
          </w:p>
        </w:tc>
      </w:tr>
      <w:tr>
        <w:trPr>
          <w:trHeight w:hRule="atLeast" w:val="265"/>
        </w:trPr>
        <w:tc>
          <w:tcPr>
            <w:tcW w:type="dxa" w:w="3008"/>
            <w:tcMar>
              <w:top w:type="dxa" w:w="0"/>
              <w:left w:type="dxa" w:w="108"/>
              <w:bottom w:type="dxa" w:w="0"/>
              <w:right w:type="dxa" w:w="108"/>
            </w:tcMar>
            <w:vAlign w:val="center"/>
          </w:tcPr>
          <w:p w14:paraId="C8030000">
            <w:pPr>
              <w:pStyle w:val="Style_2"/>
              <w:widowControl w:val="0"/>
              <w:spacing w:after="0" w:before="0" w:line="240" w:lineRule="auto"/>
              <w:ind/>
              <w:jc w:val="both"/>
              <w:rPr>
                <w:rFonts w:ascii="Times New Roman" w:hAnsi="Times New Roman"/>
                <w:b w:val="0"/>
                <w:sz w:val="20"/>
              </w:rPr>
            </w:pPr>
            <w:r>
              <w:rPr>
                <w:b w:val="0"/>
                <w:sz w:val="20"/>
              </w:rPr>
              <w:t>ООО «Оссора»</w:t>
            </w:r>
          </w:p>
        </w:tc>
        <w:tc>
          <w:tcPr>
            <w:tcW w:type="dxa" w:w="753"/>
            <w:tcMar>
              <w:top w:type="dxa" w:w="0"/>
              <w:left w:type="dxa" w:w="108"/>
              <w:bottom w:type="dxa" w:w="0"/>
              <w:right w:type="dxa" w:w="108"/>
            </w:tcMar>
            <w:vAlign w:val="center"/>
          </w:tcPr>
          <w:p w14:paraId="C9030000">
            <w:pPr>
              <w:pStyle w:val="Style_2"/>
              <w:widowControl w:val="0"/>
              <w:spacing w:after="0" w:before="0" w:line="240" w:lineRule="auto"/>
              <w:ind/>
              <w:jc w:val="center"/>
              <w:rPr>
                <w:rFonts w:ascii="Times New Roman" w:hAnsi="Times New Roman"/>
                <w:b w:val="0"/>
                <w:sz w:val="20"/>
              </w:rPr>
            </w:pPr>
          </w:p>
        </w:tc>
        <w:tc>
          <w:tcPr>
            <w:tcW w:type="dxa" w:w="904"/>
            <w:tcMar>
              <w:top w:type="dxa" w:w="0"/>
              <w:left w:type="dxa" w:w="108"/>
              <w:bottom w:type="dxa" w:w="0"/>
              <w:right w:type="dxa" w:w="108"/>
            </w:tcMar>
            <w:vAlign w:val="center"/>
          </w:tcPr>
          <w:p w14:paraId="CA030000">
            <w:pPr>
              <w:pStyle w:val="Style_2"/>
              <w:widowControl w:val="0"/>
              <w:spacing w:after="0" w:before="0" w:line="240" w:lineRule="auto"/>
              <w:ind/>
              <w:jc w:val="center"/>
              <w:rPr>
                <w:rFonts w:ascii="Times New Roman" w:hAnsi="Times New Roman"/>
                <w:b w:val="0"/>
                <w:sz w:val="20"/>
              </w:rPr>
            </w:pPr>
          </w:p>
        </w:tc>
        <w:tc>
          <w:tcPr>
            <w:tcW w:type="dxa" w:w="905"/>
            <w:tcMar>
              <w:top w:type="dxa" w:w="0"/>
              <w:left w:type="dxa" w:w="108"/>
              <w:bottom w:type="dxa" w:w="0"/>
              <w:right w:type="dxa" w:w="108"/>
            </w:tcMar>
            <w:vAlign w:val="center"/>
          </w:tcPr>
          <w:p w14:paraId="CB030000">
            <w:pPr>
              <w:pStyle w:val="Style_2"/>
              <w:widowControl w:val="0"/>
              <w:spacing w:after="0" w:before="0" w:line="240" w:lineRule="auto"/>
              <w:ind/>
              <w:jc w:val="center"/>
              <w:rPr>
                <w:rFonts w:ascii="Times New Roman" w:hAnsi="Times New Roman"/>
                <w:b w:val="0"/>
                <w:sz w:val="20"/>
              </w:rPr>
            </w:pPr>
          </w:p>
        </w:tc>
        <w:tc>
          <w:tcPr>
            <w:tcW w:type="dxa" w:w="907"/>
            <w:tcMar>
              <w:top w:type="dxa" w:w="0"/>
              <w:left w:type="dxa" w:w="108"/>
              <w:bottom w:type="dxa" w:w="0"/>
              <w:right w:type="dxa" w:w="108"/>
            </w:tcMar>
            <w:vAlign w:val="center"/>
          </w:tcPr>
          <w:p w14:paraId="CC030000">
            <w:pPr>
              <w:pStyle w:val="Style_2"/>
              <w:widowControl w:val="0"/>
              <w:spacing w:after="0" w:before="0" w:line="240" w:lineRule="auto"/>
              <w:ind/>
              <w:jc w:val="center"/>
              <w:rPr>
                <w:rFonts w:ascii="Times New Roman" w:hAnsi="Times New Roman"/>
                <w:b w:val="0"/>
                <w:sz w:val="20"/>
              </w:rPr>
            </w:pPr>
            <w:r>
              <w:rPr>
                <w:b w:val="0"/>
                <w:sz w:val="20"/>
              </w:rPr>
              <w:t>48,729</w:t>
            </w:r>
          </w:p>
        </w:tc>
        <w:tc>
          <w:tcPr>
            <w:tcW w:type="dxa" w:w="904"/>
            <w:tcMar>
              <w:top w:type="dxa" w:w="0"/>
              <w:left w:type="dxa" w:w="108"/>
              <w:bottom w:type="dxa" w:w="0"/>
              <w:right w:type="dxa" w:w="108"/>
            </w:tcMar>
            <w:vAlign w:val="center"/>
          </w:tcPr>
          <w:p w14:paraId="CD030000">
            <w:pPr>
              <w:pStyle w:val="Style_2"/>
              <w:widowControl w:val="0"/>
              <w:spacing w:after="0" w:before="0" w:line="240" w:lineRule="auto"/>
              <w:ind/>
              <w:jc w:val="center"/>
              <w:rPr>
                <w:rFonts w:ascii="Times New Roman" w:hAnsi="Times New Roman"/>
                <w:b w:val="0"/>
                <w:sz w:val="20"/>
              </w:rPr>
            </w:pPr>
          </w:p>
        </w:tc>
        <w:tc>
          <w:tcPr>
            <w:tcW w:type="dxa" w:w="907"/>
            <w:tcMar>
              <w:top w:type="dxa" w:w="0"/>
              <w:left w:type="dxa" w:w="108"/>
              <w:bottom w:type="dxa" w:w="0"/>
              <w:right w:type="dxa" w:w="108"/>
            </w:tcMar>
            <w:vAlign w:val="center"/>
          </w:tcPr>
          <w:p w14:paraId="CE030000">
            <w:pPr>
              <w:pStyle w:val="Style_2"/>
              <w:widowControl w:val="0"/>
              <w:spacing w:after="0" w:before="0" w:line="240" w:lineRule="auto"/>
              <w:ind/>
              <w:jc w:val="center"/>
              <w:rPr>
                <w:rFonts w:ascii="Times New Roman" w:hAnsi="Times New Roman"/>
                <w:b w:val="0"/>
                <w:sz w:val="20"/>
              </w:rPr>
            </w:pPr>
          </w:p>
        </w:tc>
        <w:tc>
          <w:tcPr>
            <w:tcW w:type="dxa" w:w="903"/>
            <w:tcMar>
              <w:top w:type="dxa" w:w="0"/>
              <w:left w:type="dxa" w:w="108"/>
              <w:bottom w:type="dxa" w:w="0"/>
              <w:right w:type="dxa" w:w="108"/>
            </w:tcMar>
            <w:vAlign w:val="center"/>
          </w:tcPr>
          <w:p w14:paraId="CF030000">
            <w:pPr>
              <w:pStyle w:val="Style_2"/>
              <w:widowControl w:val="0"/>
              <w:spacing w:after="0" w:before="0" w:line="240" w:lineRule="auto"/>
              <w:ind/>
              <w:jc w:val="center"/>
              <w:rPr>
                <w:rFonts w:ascii="Times New Roman" w:hAnsi="Times New Roman"/>
                <w:b w:val="0"/>
                <w:sz w:val="20"/>
              </w:rPr>
            </w:pPr>
          </w:p>
        </w:tc>
        <w:tc>
          <w:tcPr>
            <w:tcW w:type="dxa" w:w="902"/>
            <w:tcMar>
              <w:top w:type="dxa" w:w="0"/>
              <w:left w:type="dxa" w:w="108"/>
              <w:bottom w:type="dxa" w:w="0"/>
              <w:right w:type="dxa" w:w="108"/>
            </w:tcMar>
            <w:vAlign w:val="center"/>
          </w:tcPr>
          <w:p w14:paraId="D0030000">
            <w:pPr>
              <w:pStyle w:val="Style_2"/>
              <w:widowControl w:val="0"/>
              <w:spacing w:after="0" w:before="0" w:line="240" w:lineRule="auto"/>
              <w:ind/>
              <w:jc w:val="center"/>
              <w:rPr>
                <w:rFonts w:ascii="Times New Roman" w:hAnsi="Times New Roman"/>
                <w:b w:val="0"/>
                <w:sz w:val="20"/>
              </w:rPr>
            </w:pPr>
            <w:r>
              <w:rPr>
                <w:b w:val="0"/>
                <w:sz w:val="20"/>
              </w:rPr>
              <w:t>62,263</w:t>
            </w:r>
          </w:p>
        </w:tc>
      </w:tr>
      <w:tr>
        <w:trPr>
          <w:trHeight w:hRule="atLeast" w:val="78"/>
        </w:trPr>
        <w:tc>
          <w:tcPr>
            <w:tcW w:type="dxa" w:w="3008"/>
            <w:tcMar>
              <w:top w:type="dxa" w:w="0"/>
              <w:left w:type="dxa" w:w="108"/>
              <w:bottom w:type="dxa" w:w="0"/>
              <w:right w:type="dxa" w:w="108"/>
            </w:tcMar>
            <w:vAlign w:val="center"/>
          </w:tcPr>
          <w:p w14:paraId="D1030000">
            <w:pPr>
              <w:pStyle w:val="Style_2"/>
              <w:widowControl w:val="0"/>
              <w:spacing w:after="0" w:before="0" w:line="240" w:lineRule="auto"/>
              <w:ind/>
              <w:jc w:val="left"/>
              <w:rPr>
                <w:rFonts w:ascii="Times New Roman" w:hAnsi="Times New Roman"/>
                <w:b w:val="0"/>
                <w:sz w:val="20"/>
              </w:rPr>
            </w:pPr>
            <w:r>
              <w:rPr>
                <w:b w:val="0"/>
                <w:sz w:val="20"/>
              </w:rPr>
              <w:t>ООО «Колхоз Ударник»</w:t>
            </w:r>
          </w:p>
        </w:tc>
        <w:tc>
          <w:tcPr>
            <w:tcW w:type="dxa" w:w="753"/>
            <w:tcMar>
              <w:top w:type="dxa" w:w="0"/>
              <w:left w:type="dxa" w:w="108"/>
              <w:bottom w:type="dxa" w:w="0"/>
              <w:right w:type="dxa" w:w="108"/>
            </w:tcMar>
            <w:vAlign w:val="center"/>
          </w:tcPr>
          <w:p w14:paraId="D2030000">
            <w:pPr>
              <w:pStyle w:val="Style_2"/>
              <w:widowControl w:val="0"/>
              <w:spacing w:after="0" w:before="0" w:line="240" w:lineRule="auto"/>
              <w:ind/>
              <w:jc w:val="center"/>
              <w:rPr>
                <w:rFonts w:ascii="Times New Roman" w:hAnsi="Times New Roman"/>
                <w:b w:val="0"/>
                <w:sz w:val="20"/>
              </w:rPr>
            </w:pPr>
          </w:p>
        </w:tc>
        <w:tc>
          <w:tcPr>
            <w:tcW w:type="dxa" w:w="904"/>
            <w:tcMar>
              <w:top w:type="dxa" w:w="0"/>
              <w:left w:type="dxa" w:w="108"/>
              <w:bottom w:type="dxa" w:w="0"/>
              <w:right w:type="dxa" w:w="108"/>
            </w:tcMar>
            <w:vAlign w:val="center"/>
          </w:tcPr>
          <w:p w14:paraId="D3030000">
            <w:pPr>
              <w:pStyle w:val="Style_2"/>
              <w:widowControl w:val="0"/>
              <w:spacing w:after="0" w:before="0" w:line="240" w:lineRule="auto"/>
              <w:ind/>
              <w:jc w:val="center"/>
              <w:rPr>
                <w:rFonts w:ascii="Times New Roman" w:hAnsi="Times New Roman"/>
                <w:b w:val="0"/>
                <w:sz w:val="20"/>
              </w:rPr>
            </w:pPr>
          </w:p>
        </w:tc>
        <w:tc>
          <w:tcPr>
            <w:tcW w:type="dxa" w:w="905"/>
            <w:tcMar>
              <w:top w:type="dxa" w:w="0"/>
              <w:left w:type="dxa" w:w="108"/>
              <w:bottom w:type="dxa" w:w="0"/>
              <w:right w:type="dxa" w:w="108"/>
            </w:tcMar>
            <w:vAlign w:val="center"/>
          </w:tcPr>
          <w:p w14:paraId="D4030000">
            <w:pPr>
              <w:pStyle w:val="Style_2"/>
              <w:widowControl w:val="0"/>
              <w:spacing w:after="0" w:before="0" w:line="240" w:lineRule="auto"/>
              <w:ind/>
              <w:jc w:val="center"/>
              <w:rPr>
                <w:rFonts w:ascii="Times New Roman" w:hAnsi="Times New Roman"/>
                <w:b w:val="0"/>
                <w:sz w:val="20"/>
              </w:rPr>
            </w:pPr>
          </w:p>
        </w:tc>
        <w:tc>
          <w:tcPr>
            <w:tcW w:type="dxa" w:w="907"/>
            <w:tcMar>
              <w:top w:type="dxa" w:w="0"/>
              <w:left w:type="dxa" w:w="108"/>
              <w:bottom w:type="dxa" w:w="0"/>
              <w:right w:type="dxa" w:w="108"/>
            </w:tcMar>
            <w:vAlign w:val="center"/>
          </w:tcPr>
          <w:p w14:paraId="D5030000">
            <w:pPr>
              <w:pStyle w:val="Style_2"/>
              <w:widowControl w:val="0"/>
              <w:spacing w:after="0" w:before="0" w:line="240" w:lineRule="auto"/>
              <w:ind/>
              <w:jc w:val="center"/>
              <w:rPr>
                <w:rFonts w:ascii="Times New Roman" w:hAnsi="Times New Roman"/>
                <w:b w:val="0"/>
                <w:sz w:val="20"/>
              </w:rPr>
            </w:pPr>
            <w:r>
              <w:rPr>
                <w:b w:val="0"/>
                <w:sz w:val="20"/>
              </w:rPr>
              <w:t>22,603</w:t>
            </w:r>
          </w:p>
        </w:tc>
        <w:tc>
          <w:tcPr>
            <w:tcW w:type="dxa" w:w="904"/>
            <w:tcMar>
              <w:top w:type="dxa" w:w="0"/>
              <w:left w:type="dxa" w:w="108"/>
              <w:bottom w:type="dxa" w:w="0"/>
              <w:right w:type="dxa" w:w="108"/>
            </w:tcMar>
            <w:vAlign w:val="center"/>
          </w:tcPr>
          <w:p w14:paraId="D6030000">
            <w:pPr>
              <w:pStyle w:val="Style_2"/>
              <w:widowControl w:val="0"/>
              <w:spacing w:after="0" w:before="0" w:line="240" w:lineRule="auto"/>
              <w:ind/>
              <w:jc w:val="center"/>
              <w:rPr>
                <w:rFonts w:ascii="Times New Roman" w:hAnsi="Times New Roman"/>
                <w:b w:val="0"/>
                <w:sz w:val="20"/>
              </w:rPr>
            </w:pPr>
          </w:p>
        </w:tc>
        <w:tc>
          <w:tcPr>
            <w:tcW w:type="dxa" w:w="907"/>
            <w:tcMar>
              <w:top w:type="dxa" w:w="0"/>
              <w:left w:type="dxa" w:w="108"/>
              <w:bottom w:type="dxa" w:w="0"/>
              <w:right w:type="dxa" w:w="108"/>
            </w:tcMar>
            <w:vAlign w:val="center"/>
          </w:tcPr>
          <w:p w14:paraId="D7030000">
            <w:pPr>
              <w:pStyle w:val="Style_2"/>
              <w:widowControl w:val="0"/>
              <w:spacing w:after="0" w:before="0" w:line="240" w:lineRule="auto"/>
              <w:ind/>
              <w:jc w:val="center"/>
              <w:rPr>
                <w:rFonts w:ascii="Times New Roman" w:hAnsi="Times New Roman"/>
                <w:b w:val="0"/>
                <w:sz w:val="20"/>
              </w:rPr>
            </w:pPr>
          </w:p>
        </w:tc>
        <w:tc>
          <w:tcPr>
            <w:tcW w:type="dxa" w:w="903"/>
            <w:tcMar>
              <w:top w:type="dxa" w:w="0"/>
              <w:left w:type="dxa" w:w="108"/>
              <w:bottom w:type="dxa" w:w="0"/>
              <w:right w:type="dxa" w:w="108"/>
            </w:tcMar>
            <w:vAlign w:val="center"/>
          </w:tcPr>
          <w:p w14:paraId="D8030000">
            <w:pPr>
              <w:pStyle w:val="Style_2"/>
              <w:widowControl w:val="0"/>
              <w:spacing w:after="0" w:before="0" w:line="240" w:lineRule="auto"/>
              <w:ind/>
              <w:jc w:val="center"/>
              <w:rPr>
                <w:rFonts w:ascii="Times New Roman" w:hAnsi="Times New Roman"/>
                <w:b w:val="0"/>
                <w:sz w:val="20"/>
              </w:rPr>
            </w:pPr>
          </w:p>
        </w:tc>
        <w:tc>
          <w:tcPr>
            <w:tcW w:type="dxa" w:w="902"/>
            <w:tcMar>
              <w:top w:type="dxa" w:w="0"/>
              <w:left w:type="dxa" w:w="108"/>
              <w:bottom w:type="dxa" w:w="0"/>
              <w:right w:type="dxa" w:w="108"/>
            </w:tcMar>
            <w:vAlign w:val="center"/>
          </w:tcPr>
          <w:p w14:paraId="D9030000">
            <w:pPr>
              <w:pStyle w:val="Style_2"/>
              <w:widowControl w:val="0"/>
              <w:spacing w:after="0" w:before="0" w:line="240" w:lineRule="auto"/>
              <w:ind/>
              <w:jc w:val="center"/>
              <w:rPr>
                <w:rFonts w:ascii="Times New Roman" w:hAnsi="Times New Roman"/>
                <w:b w:val="0"/>
                <w:sz w:val="20"/>
              </w:rPr>
            </w:pPr>
            <w:r>
              <w:rPr>
                <w:b w:val="0"/>
                <w:sz w:val="20"/>
              </w:rPr>
              <w:t>54,767</w:t>
            </w:r>
          </w:p>
        </w:tc>
      </w:tr>
      <w:tr>
        <w:trPr>
          <w:trHeight w:hRule="atLeast" w:val="191"/>
        </w:trPr>
        <w:tc>
          <w:tcPr>
            <w:tcW w:type="dxa" w:w="3008"/>
            <w:tcMar>
              <w:top w:type="dxa" w:w="0"/>
              <w:left w:type="dxa" w:w="108"/>
              <w:bottom w:type="dxa" w:w="0"/>
              <w:right w:type="dxa" w:w="108"/>
            </w:tcMar>
            <w:vAlign w:val="center"/>
          </w:tcPr>
          <w:p w14:paraId="DA030000">
            <w:pPr>
              <w:pStyle w:val="Style_2"/>
              <w:widowControl w:val="0"/>
              <w:spacing w:after="0" w:before="0" w:line="240" w:lineRule="auto"/>
              <w:ind/>
              <w:jc w:val="both"/>
              <w:rPr>
                <w:rFonts w:ascii="Times New Roman" w:hAnsi="Times New Roman"/>
                <w:b w:val="0"/>
                <w:sz w:val="20"/>
              </w:rPr>
            </w:pPr>
            <w:r>
              <w:rPr>
                <w:b w:val="0"/>
                <w:sz w:val="20"/>
              </w:rPr>
              <w:t>АО «Корякэнерго»</w:t>
            </w:r>
          </w:p>
        </w:tc>
        <w:tc>
          <w:tcPr>
            <w:tcW w:type="dxa" w:w="753"/>
            <w:tcMar>
              <w:top w:type="dxa" w:w="0"/>
              <w:left w:type="dxa" w:w="108"/>
              <w:bottom w:type="dxa" w:w="0"/>
              <w:right w:type="dxa" w:w="108"/>
            </w:tcMar>
            <w:vAlign w:val="center"/>
          </w:tcPr>
          <w:p w14:paraId="DB030000">
            <w:pPr>
              <w:pStyle w:val="Style_2"/>
              <w:widowControl w:val="0"/>
              <w:spacing w:after="0" w:before="0" w:line="240" w:lineRule="auto"/>
              <w:ind/>
              <w:jc w:val="center"/>
              <w:rPr>
                <w:rFonts w:ascii="Times New Roman" w:hAnsi="Times New Roman"/>
                <w:b w:val="0"/>
                <w:sz w:val="20"/>
              </w:rPr>
            </w:pPr>
          </w:p>
        </w:tc>
        <w:tc>
          <w:tcPr>
            <w:tcW w:type="dxa" w:w="904"/>
            <w:tcMar>
              <w:top w:type="dxa" w:w="0"/>
              <w:left w:type="dxa" w:w="108"/>
              <w:bottom w:type="dxa" w:w="0"/>
              <w:right w:type="dxa" w:w="108"/>
            </w:tcMar>
            <w:vAlign w:val="center"/>
          </w:tcPr>
          <w:p w14:paraId="DC030000">
            <w:pPr>
              <w:pStyle w:val="Style_2"/>
              <w:widowControl w:val="0"/>
              <w:spacing w:after="0" w:before="0" w:line="240" w:lineRule="auto"/>
              <w:ind/>
              <w:jc w:val="center"/>
              <w:rPr>
                <w:rFonts w:ascii="Times New Roman" w:hAnsi="Times New Roman"/>
                <w:b w:val="0"/>
                <w:sz w:val="20"/>
              </w:rPr>
            </w:pPr>
          </w:p>
        </w:tc>
        <w:tc>
          <w:tcPr>
            <w:tcW w:type="dxa" w:w="905"/>
            <w:tcMar>
              <w:top w:type="dxa" w:w="0"/>
              <w:left w:type="dxa" w:w="108"/>
              <w:bottom w:type="dxa" w:w="0"/>
              <w:right w:type="dxa" w:w="108"/>
            </w:tcMar>
            <w:vAlign w:val="center"/>
          </w:tcPr>
          <w:p w14:paraId="DD030000">
            <w:pPr>
              <w:pStyle w:val="Style_2"/>
              <w:widowControl w:val="0"/>
              <w:spacing w:after="0" w:before="0" w:line="240" w:lineRule="auto"/>
              <w:ind/>
              <w:jc w:val="center"/>
              <w:rPr>
                <w:rFonts w:ascii="Times New Roman" w:hAnsi="Times New Roman"/>
                <w:b w:val="0"/>
                <w:sz w:val="20"/>
              </w:rPr>
            </w:pPr>
            <w:r>
              <w:rPr>
                <w:b w:val="0"/>
                <w:sz w:val="20"/>
              </w:rPr>
              <w:t>34,541</w:t>
            </w:r>
          </w:p>
        </w:tc>
        <w:tc>
          <w:tcPr>
            <w:tcW w:type="dxa" w:w="907"/>
            <w:tcMar>
              <w:top w:type="dxa" w:w="0"/>
              <w:left w:type="dxa" w:w="108"/>
              <w:bottom w:type="dxa" w:w="0"/>
              <w:right w:type="dxa" w:w="108"/>
            </w:tcMar>
            <w:vAlign w:val="center"/>
          </w:tcPr>
          <w:p w14:paraId="DE030000">
            <w:pPr>
              <w:pStyle w:val="Style_2"/>
              <w:widowControl w:val="0"/>
              <w:spacing w:after="0" w:before="0" w:line="240" w:lineRule="auto"/>
              <w:ind/>
              <w:jc w:val="center"/>
              <w:rPr>
                <w:rFonts w:ascii="Times New Roman" w:hAnsi="Times New Roman"/>
                <w:b w:val="0"/>
                <w:sz w:val="20"/>
              </w:rPr>
            </w:pPr>
            <w:r>
              <w:rPr>
                <w:b w:val="0"/>
                <w:sz w:val="20"/>
              </w:rPr>
              <w:t>34,585</w:t>
            </w:r>
          </w:p>
        </w:tc>
        <w:tc>
          <w:tcPr>
            <w:tcW w:type="dxa" w:w="904"/>
            <w:tcMar>
              <w:top w:type="dxa" w:w="0"/>
              <w:left w:type="dxa" w:w="108"/>
              <w:bottom w:type="dxa" w:w="0"/>
              <w:right w:type="dxa" w:w="108"/>
            </w:tcMar>
            <w:vAlign w:val="center"/>
          </w:tcPr>
          <w:p w14:paraId="DF030000">
            <w:pPr>
              <w:pStyle w:val="Style_2"/>
              <w:widowControl w:val="0"/>
              <w:spacing w:after="0" w:before="0" w:line="240" w:lineRule="auto"/>
              <w:ind/>
              <w:jc w:val="center"/>
              <w:rPr>
                <w:rFonts w:ascii="Times New Roman" w:hAnsi="Times New Roman"/>
                <w:b w:val="0"/>
                <w:sz w:val="20"/>
              </w:rPr>
            </w:pPr>
          </w:p>
        </w:tc>
        <w:tc>
          <w:tcPr>
            <w:tcW w:type="dxa" w:w="907"/>
            <w:tcMar>
              <w:top w:type="dxa" w:w="0"/>
              <w:left w:type="dxa" w:w="108"/>
              <w:bottom w:type="dxa" w:w="0"/>
              <w:right w:type="dxa" w:w="108"/>
            </w:tcMar>
            <w:vAlign w:val="center"/>
          </w:tcPr>
          <w:p w14:paraId="E0030000">
            <w:pPr>
              <w:pStyle w:val="Style_2"/>
              <w:widowControl w:val="0"/>
              <w:spacing w:after="0" w:before="0" w:line="240" w:lineRule="auto"/>
              <w:ind/>
              <w:jc w:val="center"/>
              <w:rPr>
                <w:rFonts w:ascii="Times New Roman" w:hAnsi="Times New Roman"/>
                <w:b w:val="0"/>
                <w:sz w:val="20"/>
              </w:rPr>
            </w:pPr>
          </w:p>
        </w:tc>
        <w:tc>
          <w:tcPr>
            <w:tcW w:type="dxa" w:w="903"/>
            <w:tcMar>
              <w:top w:type="dxa" w:w="0"/>
              <w:left w:type="dxa" w:w="108"/>
              <w:bottom w:type="dxa" w:w="0"/>
              <w:right w:type="dxa" w:w="108"/>
            </w:tcMar>
            <w:vAlign w:val="center"/>
          </w:tcPr>
          <w:p w14:paraId="E1030000">
            <w:pPr>
              <w:pStyle w:val="Style_2"/>
              <w:widowControl w:val="0"/>
              <w:spacing w:after="0" w:before="0" w:line="240" w:lineRule="auto"/>
              <w:ind/>
              <w:jc w:val="center"/>
              <w:rPr>
                <w:rFonts w:ascii="Times New Roman" w:hAnsi="Times New Roman"/>
                <w:b w:val="0"/>
                <w:sz w:val="20"/>
              </w:rPr>
            </w:pPr>
            <w:r>
              <w:rPr>
                <w:b w:val="0"/>
                <w:sz w:val="20"/>
              </w:rPr>
              <w:t>50,084</w:t>
            </w:r>
          </w:p>
        </w:tc>
        <w:tc>
          <w:tcPr>
            <w:tcW w:type="dxa" w:w="902"/>
            <w:tcMar>
              <w:top w:type="dxa" w:w="0"/>
              <w:left w:type="dxa" w:w="108"/>
              <w:bottom w:type="dxa" w:w="0"/>
              <w:right w:type="dxa" w:w="108"/>
            </w:tcMar>
            <w:vAlign w:val="center"/>
          </w:tcPr>
          <w:p w14:paraId="E2030000">
            <w:pPr>
              <w:pStyle w:val="Style_2"/>
              <w:widowControl w:val="0"/>
              <w:spacing w:after="0" w:before="0" w:line="240" w:lineRule="auto"/>
              <w:ind/>
              <w:jc w:val="center"/>
              <w:rPr>
                <w:rFonts w:ascii="Times New Roman" w:hAnsi="Times New Roman"/>
                <w:b w:val="0"/>
                <w:sz w:val="20"/>
              </w:rPr>
            </w:pPr>
            <w:r>
              <w:rPr>
                <w:b w:val="0"/>
                <w:sz w:val="20"/>
              </w:rPr>
              <w:t>50,672</w:t>
            </w:r>
          </w:p>
        </w:tc>
      </w:tr>
      <w:tr>
        <w:trPr>
          <w:trHeight w:hRule="atLeast" w:val="70"/>
        </w:trPr>
        <w:tc>
          <w:tcPr>
            <w:tcW w:type="dxa" w:w="3008"/>
            <w:tcMar>
              <w:top w:type="dxa" w:w="0"/>
              <w:left w:type="dxa" w:w="108"/>
              <w:bottom w:type="dxa" w:w="0"/>
              <w:right w:type="dxa" w:w="108"/>
            </w:tcMar>
            <w:vAlign w:val="center"/>
          </w:tcPr>
          <w:p w14:paraId="E3030000">
            <w:pPr>
              <w:pStyle w:val="Style_2"/>
              <w:widowControl w:val="0"/>
              <w:spacing w:after="0" w:before="0" w:line="240" w:lineRule="auto"/>
              <w:ind/>
              <w:jc w:val="left"/>
              <w:rPr>
                <w:rFonts w:ascii="Times New Roman" w:hAnsi="Times New Roman"/>
                <w:b w:val="0"/>
                <w:sz w:val="20"/>
              </w:rPr>
            </w:pPr>
            <w:r>
              <w:rPr>
                <w:b w:val="0"/>
                <w:sz w:val="20"/>
              </w:rPr>
              <w:t>ПАО «Камчатскэнерго» (Озерновский энергоузел)</w:t>
            </w:r>
          </w:p>
        </w:tc>
        <w:tc>
          <w:tcPr>
            <w:tcW w:type="dxa" w:w="753"/>
            <w:tcMar>
              <w:top w:type="dxa" w:w="0"/>
              <w:left w:type="dxa" w:w="108"/>
              <w:bottom w:type="dxa" w:w="0"/>
              <w:right w:type="dxa" w:w="108"/>
            </w:tcMar>
            <w:vAlign w:val="center"/>
          </w:tcPr>
          <w:p w14:paraId="E4030000">
            <w:pPr>
              <w:pStyle w:val="Style_2"/>
              <w:widowControl w:val="0"/>
              <w:spacing w:after="0" w:before="0" w:line="240" w:lineRule="auto"/>
              <w:ind/>
              <w:jc w:val="center"/>
              <w:rPr>
                <w:rFonts w:ascii="Times New Roman" w:hAnsi="Times New Roman"/>
                <w:b w:val="0"/>
                <w:sz w:val="20"/>
              </w:rPr>
            </w:pPr>
          </w:p>
        </w:tc>
        <w:tc>
          <w:tcPr>
            <w:tcW w:type="dxa" w:w="904"/>
            <w:tcMar>
              <w:top w:type="dxa" w:w="0"/>
              <w:left w:type="dxa" w:w="108"/>
              <w:bottom w:type="dxa" w:w="0"/>
              <w:right w:type="dxa" w:w="108"/>
            </w:tcMar>
            <w:vAlign w:val="center"/>
          </w:tcPr>
          <w:p w14:paraId="E5030000">
            <w:pPr>
              <w:pStyle w:val="Style_2"/>
              <w:widowControl w:val="0"/>
              <w:spacing w:after="0" w:before="0" w:line="240" w:lineRule="auto"/>
              <w:ind/>
              <w:jc w:val="center"/>
              <w:rPr>
                <w:rFonts w:ascii="Times New Roman" w:hAnsi="Times New Roman"/>
                <w:b w:val="0"/>
                <w:sz w:val="20"/>
              </w:rPr>
            </w:pPr>
            <w:r>
              <w:rPr>
                <w:b w:val="0"/>
                <w:sz w:val="20"/>
              </w:rPr>
              <w:t>23,950</w:t>
            </w:r>
          </w:p>
        </w:tc>
        <w:tc>
          <w:tcPr>
            <w:tcW w:type="dxa" w:w="905"/>
            <w:tcMar>
              <w:top w:type="dxa" w:w="0"/>
              <w:left w:type="dxa" w:w="108"/>
              <w:bottom w:type="dxa" w:w="0"/>
              <w:right w:type="dxa" w:w="108"/>
            </w:tcMar>
            <w:vAlign w:val="center"/>
          </w:tcPr>
          <w:p w14:paraId="E6030000">
            <w:pPr>
              <w:pStyle w:val="Style_2"/>
              <w:widowControl w:val="0"/>
              <w:spacing w:after="0" w:before="0" w:line="240" w:lineRule="auto"/>
              <w:ind/>
              <w:jc w:val="center"/>
              <w:rPr>
                <w:rFonts w:ascii="Times New Roman" w:hAnsi="Times New Roman"/>
                <w:b w:val="0"/>
                <w:sz w:val="20"/>
              </w:rPr>
            </w:pPr>
            <w:r>
              <w:rPr>
                <w:b w:val="0"/>
                <w:sz w:val="20"/>
              </w:rPr>
              <w:t>24,216</w:t>
            </w:r>
          </w:p>
        </w:tc>
        <w:tc>
          <w:tcPr>
            <w:tcW w:type="dxa" w:w="907"/>
            <w:tcMar>
              <w:top w:type="dxa" w:w="0"/>
              <w:left w:type="dxa" w:w="108"/>
              <w:bottom w:type="dxa" w:w="0"/>
              <w:right w:type="dxa" w:w="108"/>
            </w:tcMar>
            <w:vAlign w:val="center"/>
          </w:tcPr>
          <w:p w14:paraId="E7030000">
            <w:pPr>
              <w:pStyle w:val="Style_2"/>
              <w:widowControl w:val="0"/>
              <w:spacing w:after="0" w:before="0" w:line="240" w:lineRule="auto"/>
              <w:ind/>
              <w:jc w:val="center"/>
              <w:rPr>
                <w:rFonts w:ascii="Times New Roman" w:hAnsi="Times New Roman"/>
                <w:b w:val="0"/>
                <w:sz w:val="20"/>
              </w:rPr>
            </w:pPr>
            <w:r>
              <w:rPr>
                <w:b w:val="0"/>
                <w:sz w:val="20"/>
              </w:rPr>
              <w:t>24,356</w:t>
            </w:r>
          </w:p>
        </w:tc>
        <w:tc>
          <w:tcPr>
            <w:tcW w:type="dxa" w:w="904"/>
            <w:tcMar>
              <w:top w:type="dxa" w:w="0"/>
              <w:left w:type="dxa" w:w="108"/>
              <w:bottom w:type="dxa" w:w="0"/>
              <w:right w:type="dxa" w:w="108"/>
            </w:tcMar>
            <w:vAlign w:val="center"/>
          </w:tcPr>
          <w:p w14:paraId="E8030000">
            <w:pPr>
              <w:pStyle w:val="Style_2"/>
              <w:widowControl w:val="0"/>
              <w:spacing w:after="0" w:before="0" w:line="240" w:lineRule="auto"/>
              <w:ind/>
              <w:jc w:val="center"/>
              <w:rPr>
                <w:rFonts w:ascii="Times New Roman" w:hAnsi="Times New Roman"/>
                <w:b w:val="0"/>
                <w:sz w:val="20"/>
              </w:rPr>
            </w:pPr>
          </w:p>
        </w:tc>
        <w:tc>
          <w:tcPr>
            <w:tcW w:type="dxa" w:w="907"/>
            <w:tcMar>
              <w:top w:type="dxa" w:w="0"/>
              <w:left w:type="dxa" w:w="108"/>
              <w:bottom w:type="dxa" w:w="0"/>
              <w:right w:type="dxa" w:w="108"/>
            </w:tcMar>
            <w:vAlign w:val="center"/>
          </w:tcPr>
          <w:p w14:paraId="E9030000">
            <w:pPr>
              <w:pStyle w:val="Style_2"/>
              <w:widowControl w:val="0"/>
              <w:spacing w:after="0" w:before="0" w:line="240" w:lineRule="auto"/>
              <w:ind/>
              <w:jc w:val="center"/>
              <w:rPr>
                <w:rFonts w:ascii="Times New Roman" w:hAnsi="Times New Roman"/>
                <w:b w:val="0"/>
                <w:sz w:val="20"/>
              </w:rPr>
            </w:pPr>
            <w:r>
              <w:rPr>
                <w:b w:val="0"/>
                <w:sz w:val="20"/>
              </w:rPr>
              <w:t>26,193</w:t>
            </w:r>
          </w:p>
        </w:tc>
        <w:tc>
          <w:tcPr>
            <w:tcW w:type="dxa" w:w="903"/>
            <w:tcMar>
              <w:top w:type="dxa" w:w="0"/>
              <w:left w:type="dxa" w:w="108"/>
              <w:bottom w:type="dxa" w:w="0"/>
              <w:right w:type="dxa" w:w="108"/>
            </w:tcMar>
            <w:vAlign w:val="center"/>
          </w:tcPr>
          <w:p w14:paraId="EA030000">
            <w:pPr>
              <w:pStyle w:val="Style_2"/>
              <w:widowControl w:val="0"/>
              <w:spacing w:after="0" w:before="0" w:line="240" w:lineRule="auto"/>
              <w:ind/>
              <w:jc w:val="center"/>
              <w:rPr>
                <w:rFonts w:ascii="Times New Roman" w:hAnsi="Times New Roman"/>
                <w:b w:val="0"/>
                <w:sz w:val="20"/>
              </w:rPr>
            </w:pPr>
            <w:r>
              <w:rPr>
                <w:b w:val="0"/>
                <w:sz w:val="20"/>
              </w:rPr>
              <w:t>26,484</w:t>
            </w:r>
          </w:p>
        </w:tc>
        <w:tc>
          <w:tcPr>
            <w:tcW w:type="dxa" w:w="902"/>
            <w:tcMar>
              <w:top w:type="dxa" w:w="0"/>
              <w:left w:type="dxa" w:w="108"/>
              <w:bottom w:type="dxa" w:w="0"/>
              <w:right w:type="dxa" w:w="108"/>
            </w:tcMar>
            <w:vAlign w:val="center"/>
          </w:tcPr>
          <w:p w14:paraId="EB030000">
            <w:pPr>
              <w:pStyle w:val="Style_2"/>
              <w:widowControl w:val="0"/>
              <w:spacing w:after="0" w:before="0" w:line="240" w:lineRule="auto"/>
              <w:ind/>
              <w:jc w:val="center"/>
              <w:rPr>
                <w:rFonts w:ascii="Times New Roman" w:hAnsi="Times New Roman"/>
                <w:b w:val="0"/>
                <w:sz w:val="20"/>
              </w:rPr>
            </w:pPr>
            <w:r>
              <w:rPr>
                <w:b w:val="0"/>
                <w:sz w:val="20"/>
              </w:rPr>
              <w:t>26,637</w:t>
            </w:r>
          </w:p>
        </w:tc>
      </w:tr>
    </w:tbl>
    <w:p w14:paraId="EC030000">
      <w:pPr>
        <w:pStyle w:val="Style_2"/>
        <w:spacing w:after="0" w:before="0" w:line="240" w:lineRule="auto"/>
        <w:ind w:firstLine="709" w:left="0" w:right="0"/>
        <w:jc w:val="both"/>
        <w:rPr>
          <w:rFonts w:ascii="Times New Roman" w:hAnsi="Times New Roman"/>
          <w:sz w:val="24"/>
        </w:rPr>
      </w:pPr>
    </w:p>
    <w:p w14:paraId="ED030000">
      <w:pPr>
        <w:pStyle w:val="Style_2"/>
        <w:spacing w:after="0" w:before="0" w:line="240" w:lineRule="auto"/>
        <w:ind w:firstLine="709" w:left="0" w:right="0"/>
        <w:jc w:val="both"/>
        <w:rPr>
          <w:rFonts w:ascii="Times New Roman" w:hAnsi="Times New Roman"/>
        </w:rPr>
      </w:pPr>
      <w:r>
        <w:rPr>
          <w:sz w:val="24"/>
        </w:rPr>
        <w:t>Компенсация выпадающих доходов энергоснабжающих организаций Камчатского края от поставки электрической энергии (мощности) потребителям категории «прочие потребители» производится за счет средств целевой субсидии, направляемой ПАО «РусГидро» в бюджет Камчатского края на безвозмездной основе.</w:t>
      </w:r>
    </w:p>
    <w:p w14:paraId="EE030000">
      <w:pPr>
        <w:pStyle w:val="Style_2"/>
        <w:widowControl w:val="0"/>
        <w:spacing w:after="0" w:before="0" w:line="240" w:lineRule="auto"/>
        <w:ind w:firstLine="709" w:left="0" w:right="0"/>
        <w:jc w:val="both"/>
        <w:rPr>
          <w:rFonts w:ascii="Times New Roman" w:hAnsi="Times New Roman"/>
        </w:rPr>
      </w:pPr>
      <w:r>
        <w:rPr>
          <w:sz w:val="24"/>
        </w:rPr>
        <w:t>Льготный тариф для населения на 2024 год утвержден в 1 полугодии 2024 года на уровне утвержденного показателя на 2023 год – 4,86 руб./кВт*ч (с НДС), со 2 полугодия 2024 года тариф – 5,00 руб./кВт*ч (с НДС), с ростом 102,9%.</w:t>
      </w:r>
    </w:p>
    <w:p w14:paraId="EF030000">
      <w:pPr>
        <w:pStyle w:val="Style_2"/>
        <w:spacing w:after="0" w:before="0" w:line="240" w:lineRule="auto"/>
        <w:ind w:firstLine="709" w:left="0" w:right="0"/>
        <w:jc w:val="both"/>
        <w:rPr>
          <w:rFonts w:ascii="Times New Roman" w:hAnsi="Times New Roman"/>
        </w:rPr>
      </w:pPr>
      <w:r>
        <w:rPr>
          <w:sz w:val="24"/>
        </w:rPr>
        <w:t>Разница между экономически обоснованными и сниженными отпускными тарифами в отношении населения возмещается энергоснабжающим организациям за счет субсидий из краевого бюджета.</w:t>
      </w:r>
    </w:p>
    <w:p w14:paraId="F0030000">
      <w:pPr>
        <w:pStyle w:val="Style_2"/>
        <w:spacing w:after="0" w:before="0" w:line="240" w:lineRule="auto"/>
        <w:ind w:firstLine="709" w:left="0" w:right="0"/>
        <w:jc w:val="both"/>
        <w:rPr>
          <w:rFonts w:ascii="Times New Roman" w:hAnsi="Times New Roman"/>
        </w:rPr>
      </w:pPr>
      <w:r>
        <w:rPr>
          <w:sz w:val="24"/>
        </w:rPr>
        <w:t>Общий объем выпадающих доходов гарантирующих поставщиков (энергоснабжающих, энергосбытовых организаций) Камчатского края в 2024 году составит 15 661,98 млн руб., в том числе:</w:t>
      </w:r>
    </w:p>
    <w:p w14:paraId="F1030000">
      <w:pPr>
        <w:pStyle w:val="Style_2"/>
        <w:numPr>
          <w:ilvl w:val="0"/>
          <w:numId w:val="4"/>
        </w:numPr>
        <w:tabs>
          <w:tab w:leader="none" w:pos="708" w:val="clear"/>
          <w:tab w:leader="none" w:pos="1134" w:val="left"/>
        </w:tabs>
        <w:spacing w:after="0" w:before="0" w:line="240" w:lineRule="auto"/>
        <w:ind w:firstLine="709" w:left="0" w:right="0"/>
        <w:contextualSpacing w:val="1"/>
        <w:jc w:val="both"/>
        <w:rPr>
          <w:rFonts w:ascii="Times New Roman" w:hAnsi="Times New Roman"/>
        </w:rPr>
      </w:pPr>
      <w:r>
        <w:rPr>
          <w:sz w:val="24"/>
        </w:rPr>
        <w:t xml:space="preserve">прогнозный размер субсидии по сниженному (льготному) тарифу из бюджета Камчатского края на 2024 год составит </w:t>
      </w:r>
      <w:r>
        <w:rPr>
          <w:sz w:val="24"/>
        </w:rPr>
        <w:t>7 931,236 млн</w:t>
      </w:r>
      <w:r>
        <w:rPr>
          <w:b w:val="1"/>
          <w:sz w:val="24"/>
        </w:rPr>
        <w:t xml:space="preserve"> </w:t>
      </w:r>
      <w:r>
        <w:rPr>
          <w:sz w:val="24"/>
        </w:rPr>
        <w:t xml:space="preserve">руб., </w:t>
      </w:r>
    </w:p>
    <w:p w14:paraId="F2030000">
      <w:pPr>
        <w:pStyle w:val="Style_2"/>
        <w:numPr>
          <w:ilvl w:val="0"/>
          <w:numId w:val="4"/>
        </w:numPr>
        <w:tabs>
          <w:tab w:leader="none" w:pos="708" w:val="clear"/>
          <w:tab w:leader="none" w:pos="1134" w:val="left"/>
        </w:tabs>
        <w:spacing w:after="0" w:before="0" w:line="240" w:lineRule="auto"/>
        <w:ind w:firstLine="709" w:left="0" w:right="0"/>
        <w:contextualSpacing w:val="1"/>
        <w:jc w:val="both"/>
        <w:rPr>
          <w:rFonts w:ascii="Times New Roman" w:hAnsi="Times New Roman"/>
        </w:rPr>
      </w:pPr>
      <w:r>
        <w:rPr>
          <w:sz w:val="24"/>
        </w:rPr>
        <w:t xml:space="preserve">прогнозный </w:t>
      </w:r>
      <w:r>
        <w:rPr>
          <w:sz w:val="24"/>
        </w:rPr>
        <w:t xml:space="preserve">размер субсидии по базовому тарифу за счет безвозмездных целевых взносов, предоставляемых субъектом оптового рынка в бюджет Камчатского края на 2024 год – </w:t>
      </w:r>
      <w:r>
        <w:rPr>
          <w:sz w:val="24"/>
        </w:rPr>
        <w:t xml:space="preserve">7 730,744 </w:t>
      </w:r>
      <w:r>
        <w:rPr>
          <w:sz w:val="24"/>
        </w:rPr>
        <w:t>млн руб.</w:t>
      </w:r>
    </w:p>
    <w:p w14:paraId="F3030000">
      <w:pPr>
        <w:pStyle w:val="Style_2"/>
        <w:widowControl w:val="0"/>
        <w:spacing w:after="0" w:before="0" w:line="240" w:lineRule="auto"/>
        <w:ind w:firstLine="709" w:left="0" w:right="0"/>
        <w:jc w:val="both"/>
        <w:rPr>
          <w:rFonts w:ascii="Times New Roman" w:hAnsi="Times New Roman"/>
        </w:rPr>
      </w:pPr>
      <w:r>
        <w:rPr>
          <w:sz w:val="24"/>
        </w:rPr>
        <w:t>Консервативный расчет тарифов произведен с учетом объема и структуры полезного отпуска электрической энергии на 2024 год в соответствии с показателями Сводного прогнозного баланса электрической энергии (мощности) по Камчатскому краю на 2024 год, заявленных в ФАС России и величины тарифов, отражающих инфляционное удорожание стоимости производства электрической энергии для всех категорий потребителей на уровне роста индексов потребительских цен (ИПЦ). Индекс тарифов на электроэнергию согласно консервативному варианту прогноза составит: на 2024/2023 – 106,6%, 2025/2024 – 105,2%, 2026/2025 – 104,1%, на 2027–2035 годы – 104,0%.</w:t>
      </w:r>
    </w:p>
    <w:p w14:paraId="F4030000">
      <w:pPr>
        <w:pStyle w:val="Style_2"/>
        <w:widowControl w:val="0"/>
        <w:spacing w:after="0" w:before="0" w:line="240" w:lineRule="auto"/>
        <w:ind w:firstLine="709" w:left="0" w:right="0"/>
        <w:jc w:val="both"/>
        <w:rPr>
          <w:rFonts w:ascii="Times New Roman" w:hAnsi="Times New Roman"/>
        </w:rPr>
      </w:pPr>
      <w:r>
        <w:rPr>
          <w:sz w:val="24"/>
        </w:rPr>
        <w:t>Базовый расчет тарифов произведен с учетом объема и структуры полезного отпуска электрической энергии на 2024 год в соответствии с показателями Сводного прогнозного баланса электрической энергии (мощности) по Камчатскому краю на 2024 год, заявленных в ФАС России и величины тарифов величины тарифов, отражающих инфляционное удорожание стоимости производства электрической энергии для всех категорий потребителей на уровне роста индексов потребительских цен (ИПЦ).</w:t>
      </w:r>
      <w:r>
        <w:rPr>
          <w:sz w:val="24"/>
        </w:rPr>
        <w:t xml:space="preserve"> </w:t>
      </w:r>
      <w:r>
        <w:rPr>
          <w:sz w:val="24"/>
        </w:rPr>
        <w:t>Индекс тарифов на электроэнергию согласно базовому варианту прогноза составит: на</w:t>
      </w:r>
      <w:r>
        <w:rPr>
          <w:sz w:val="24"/>
        </w:rPr>
        <w:t xml:space="preserve"> </w:t>
      </w:r>
      <w:r>
        <w:rPr>
          <w:sz w:val="24"/>
        </w:rPr>
        <w:t>2024/2023 – 106,6%, 2025/2024 – 104,7%, 2026/2025 – 104,0%, на 2027–2035 годы – 104,0%.</w:t>
      </w:r>
    </w:p>
    <w:p w14:paraId="F5030000">
      <w:pPr>
        <w:pStyle w:val="Style_2"/>
        <w:spacing w:line="240" w:lineRule="auto"/>
        <w:ind w:firstLine="567" w:left="0" w:right="0"/>
        <w:jc w:val="both"/>
        <w:rPr>
          <w:rFonts w:ascii="Times New Roman" w:hAnsi="Times New Roman"/>
          <w:color w:val="632523"/>
        </w:rPr>
      </w:pPr>
    </w:p>
    <w:p w14:paraId="F6030000">
      <w:pPr>
        <w:pStyle w:val="Style_2"/>
        <w:widowControl w:val="0"/>
        <w:spacing w:line="240" w:lineRule="auto"/>
        <w:ind/>
        <w:jc w:val="both"/>
        <w:rPr>
          <w:rFonts w:ascii="Times New Roman" w:hAnsi="Times New Roman"/>
        </w:rPr>
      </w:pPr>
      <w:r>
        <w:rPr>
          <w:b w:val="1"/>
          <w:color w:val="000000"/>
        </w:rPr>
        <w:t>12. Инфляция, индекс потребительских цен</w:t>
      </w:r>
    </w:p>
    <w:p w14:paraId="F7030000">
      <w:pPr>
        <w:pStyle w:val="Style_2"/>
        <w:widowControl w:val="0"/>
        <w:spacing w:after="0" w:before="0" w:line="240" w:lineRule="auto"/>
        <w:ind w:firstLine="709" w:left="0" w:right="0"/>
        <w:jc w:val="both"/>
        <w:rPr>
          <w:rFonts w:ascii="Times New Roman" w:hAnsi="Times New Roman"/>
        </w:rPr>
      </w:pPr>
      <w:r>
        <w:rPr>
          <w:sz w:val="24"/>
        </w:rPr>
        <w:t xml:space="preserve">Индекс потребительских цен в декабре 2023 года к декабрю 2022 года составил 107,8%. </w:t>
      </w:r>
    </w:p>
    <w:p w14:paraId="F8030000">
      <w:pPr>
        <w:pStyle w:val="Style_2"/>
        <w:widowControl w:val="0"/>
        <w:spacing w:after="0" w:before="0" w:line="240" w:lineRule="auto"/>
        <w:ind w:firstLine="709" w:left="0" w:right="0"/>
        <w:jc w:val="both"/>
        <w:rPr>
          <w:rFonts w:ascii="Times New Roman" w:hAnsi="Times New Roman"/>
        </w:rPr>
      </w:pPr>
      <w:r>
        <w:rPr>
          <w:sz w:val="24"/>
        </w:rPr>
        <w:t xml:space="preserve">По итогам 4 месяцев 2024 года годовая инфляция снизилась до 103,21% по отношению к декабрю 2023 года. </w:t>
      </w:r>
    </w:p>
    <w:p w14:paraId="F9030000">
      <w:pPr>
        <w:pStyle w:val="Style_2"/>
        <w:widowControl w:val="0"/>
        <w:spacing w:after="0" w:before="0" w:line="240" w:lineRule="auto"/>
        <w:ind w:firstLine="709" w:left="0" w:right="0"/>
        <w:jc w:val="both"/>
        <w:rPr>
          <w:rFonts w:ascii="Times New Roman" w:hAnsi="Times New Roman"/>
        </w:rPr>
      </w:pPr>
      <w:r>
        <w:rPr>
          <w:sz w:val="24"/>
        </w:rPr>
        <w:t>Учитывая общероссийскую тенденцию инфляционных процессов согласно с</w:t>
      </w:r>
      <w:r>
        <w:rPr>
          <w:sz w:val="24"/>
        </w:rPr>
        <w:t>ценарным условиям и основным параметрам прогноза социально-экономического развития Российской Федерации, и прогнозируемым изменениям цен (тарифов) на товары, услуги хозяйствующих субъектов, осуществляющих регулируемые виды деятельности в инфраструктурном секторе на 2025 год и плановый период 2026 и 2027 годов, темпы роста потребительских цен в Камчатском крае на конец 2024 года оцениваются на уровне 105,4% по отношению к декабрю 2022 года, что на 0,3 процентных пункта выше показателей индекса потребительских цен Российской Федерации.</w:t>
      </w:r>
    </w:p>
    <w:p w14:paraId="FA030000">
      <w:pPr>
        <w:pStyle w:val="Style_2"/>
        <w:spacing w:after="0" w:before="0" w:line="240" w:lineRule="auto"/>
        <w:ind w:firstLine="709" w:left="0" w:right="0"/>
        <w:jc w:val="both"/>
        <w:rPr>
          <w:rFonts w:ascii="Times New Roman" w:hAnsi="Times New Roman"/>
        </w:rPr>
      </w:pPr>
      <w:r>
        <w:rPr>
          <w:sz w:val="24"/>
        </w:rPr>
        <w:t>Уровень и динамика цен на платные услуги являются факторами, влияющими на потребительский спрос. На сегодняшний день темпы роста цен и тарифов на платные услуги характеризуются замедленными темпами роста, по отношению к ценам на продовольственные и непродовольственные товары. Так, среднемесячный прирост цен и тарифов на платные услуги за 2023 год составил 0,51%, всего за 2023 год цены и тарифы на услуги населению увеличились на 6,3%. За истекшие 4 месяца, текущего 2024 года, инфляционный показатель в сфере услуг характеризуется низкими показателями, в размере 5,3% по отношению к декабрю 2024 года.</w:t>
      </w:r>
    </w:p>
    <w:p w14:paraId="FB030000">
      <w:pPr>
        <w:pStyle w:val="Style_2"/>
        <w:spacing w:after="0" w:before="0" w:line="240" w:lineRule="auto"/>
        <w:ind w:firstLine="709" w:left="0" w:right="0"/>
        <w:jc w:val="both"/>
        <w:rPr>
          <w:rFonts w:ascii="Times New Roman" w:hAnsi="Times New Roman"/>
        </w:rPr>
      </w:pPr>
      <w:r>
        <w:rPr>
          <w:sz w:val="24"/>
        </w:rPr>
        <w:t xml:space="preserve">Региональной службой по тарифам и ценам Камчатского края продолжается тарифная политика в отношении платных услуг, предоставляемых населению, направленная на сдерживание темпов роста коммунальных услуг, проезда в городском и пригородном автобусе, проезд на воздушном транспорте по территории Камчатского края, жизненно необходимые и важнейшие лекарственные препараты. </w:t>
      </w:r>
    </w:p>
    <w:p w14:paraId="FC030000">
      <w:pPr>
        <w:pStyle w:val="Style_2"/>
        <w:spacing w:after="0" w:before="0" w:line="240" w:lineRule="auto"/>
        <w:ind w:firstLine="709" w:left="0" w:right="0"/>
        <w:jc w:val="both"/>
        <w:rPr>
          <w:rFonts w:ascii="Times New Roman" w:hAnsi="Times New Roman"/>
        </w:rPr>
      </w:pPr>
      <w:r>
        <w:rPr>
          <w:sz w:val="24"/>
        </w:rPr>
        <w:t xml:space="preserve">Показатели уровня и динамики цен на продовольственные и непродовольственные товары по Камчатскому краю на сегодняшний день сформированы на уровне 3,5% и 1,5%. Данный уровень индекса продовольственных товаров сформирован за счет снижения цен на основные продукты питания, входящих в состав минимального набора продуктов питания, используемого при определении индекса потребительских цен Федеральной службы государственной статистики. </w:t>
      </w:r>
    </w:p>
    <w:p w14:paraId="FD030000">
      <w:pPr>
        <w:pStyle w:val="Style_2"/>
        <w:spacing w:after="0" w:before="0" w:line="240" w:lineRule="auto"/>
        <w:ind w:firstLine="709" w:left="0" w:right="0"/>
        <w:jc w:val="both"/>
        <w:rPr>
          <w:rFonts w:ascii="Times New Roman" w:hAnsi="Times New Roman"/>
        </w:rPr>
      </w:pPr>
      <w:r>
        <w:rPr>
          <w:sz w:val="24"/>
        </w:rPr>
        <w:t xml:space="preserve">В соответствии с действующим законодательством цены на продовольственные и непродовольственные товары не подлежат государственному регулированию. </w:t>
      </w:r>
    </w:p>
    <w:p w14:paraId="FE030000">
      <w:pPr>
        <w:pStyle w:val="Style_2"/>
        <w:spacing w:after="0" w:before="0" w:line="240" w:lineRule="auto"/>
        <w:ind w:firstLine="709" w:left="0" w:right="0"/>
        <w:jc w:val="both"/>
        <w:rPr>
          <w:rFonts w:ascii="Times New Roman" w:hAnsi="Times New Roman"/>
        </w:rPr>
      </w:pPr>
      <w:r>
        <w:rPr>
          <w:sz w:val="24"/>
        </w:rPr>
        <w:t>Цены определяются в соответствии с качеством и потребительскими свойствами товаров, исходя из свободной отпускной цены предприятия-изготовителя или цены другого поставщика (цены закупки) и торговой надбавки, содержащей издержки торговых предприятий.</w:t>
      </w:r>
    </w:p>
    <w:p w14:paraId="FF030000">
      <w:pPr>
        <w:pStyle w:val="Style_2"/>
        <w:widowControl w:val="0"/>
        <w:spacing w:after="0" w:before="0" w:line="240" w:lineRule="auto"/>
        <w:ind w:firstLine="709" w:left="0" w:right="0"/>
        <w:jc w:val="both"/>
        <w:rPr>
          <w:rFonts w:ascii="Times New Roman" w:hAnsi="Times New Roman"/>
        </w:rPr>
      </w:pPr>
      <w:r>
        <w:rPr>
          <w:sz w:val="24"/>
        </w:rPr>
        <w:t>В рамках сдерживания темпов роста розничных цен Правительством Камчатского края приняты нормативные правовые акты:</w:t>
      </w:r>
    </w:p>
    <w:p w14:paraId="00040000">
      <w:pPr>
        <w:pStyle w:val="Style_2"/>
        <w:widowControl w:val="0"/>
        <w:spacing w:after="0" w:before="0" w:line="240" w:lineRule="auto"/>
        <w:ind w:firstLine="709" w:left="0" w:right="0"/>
        <w:jc w:val="both"/>
        <w:rPr>
          <w:rFonts w:ascii="Times New Roman" w:hAnsi="Times New Roman"/>
        </w:rPr>
      </w:pPr>
      <w:r>
        <w:rPr>
          <w:sz w:val="24"/>
        </w:rPr>
        <w:t xml:space="preserve">– </w:t>
      </w:r>
      <w:r>
        <w:rPr>
          <w:sz w:val="24"/>
        </w:rPr>
        <w:t xml:space="preserve">постановлением Правительства Камчатского края от 28.09.2011 № 396-П </w:t>
      </w:r>
      <w:r>
        <w:rPr>
          <w:sz w:val="24"/>
        </w:rPr>
        <w:br/>
      </w:r>
      <w:r>
        <w:rPr>
          <w:sz w:val="24"/>
        </w:rPr>
        <w:t xml:space="preserve">«О предельных размерах розничных торговых надбавок к отпускным ценам на хлеб, реализуемый на территории Камчатского края» установлен предельный максимальный размер розничной торговой надбавки в размере 10% к отпускным ценам на хлеб (кроме хлеба из муки высшего сорта, хлеба из готовых мучных смесей, хлеба с добавлением: кукурузы и других зерновых культур, масличных культур, корнеплодов и клубней, съедобных орехов) и хлеб с добавлением отрубей, реализуемый на территории Камчатского края. Действие настоящего постановления распространяется на всех хозяйствующих субъектов, реализующих хлеб на территории Камчатского края; </w:t>
      </w:r>
    </w:p>
    <w:p w14:paraId="01040000">
      <w:pPr>
        <w:pStyle w:val="Style_2"/>
        <w:widowControl w:val="0"/>
        <w:spacing w:after="0" w:before="0" w:line="240" w:lineRule="auto"/>
        <w:ind w:firstLine="709" w:left="0" w:right="0"/>
        <w:jc w:val="both"/>
        <w:rPr>
          <w:rFonts w:ascii="Times New Roman" w:hAnsi="Times New Roman"/>
        </w:rPr>
      </w:pPr>
      <w:r>
        <w:rPr>
          <w:sz w:val="24"/>
        </w:rPr>
        <w:t xml:space="preserve">– </w:t>
      </w:r>
      <w:r>
        <w:rPr>
          <w:sz w:val="24"/>
        </w:rPr>
        <w:t xml:space="preserve">постановлением Правительства Камчатского края от 08.02.2012 № 98-П </w:t>
      </w:r>
      <w:r>
        <w:rPr>
          <w:sz w:val="24"/>
        </w:rPr>
        <w:br/>
      </w:r>
      <w:r>
        <w:rPr>
          <w:sz w:val="24"/>
        </w:rPr>
        <w:t xml:space="preserve">«О предельных размерах розничных торговых надбавок к отпускным ценам на молочную продукцию производства местных товаропроизводителей, реализуемую в Камчатском крае» установлены предельные размеры розничных торговых надбавок в размере 15% к отпускным ценам на молочную продукцию (молоко, пастеризованное с разной долей жирности, расфасованное в пакетах и молочный напиток, пастеризованный с разной долей жирности, расфасованный в пакетах) производства местных товаропроизводителей, реализуемую в Камчатском крае. Действие настоящего постановления распространяется на всех хозяйствующих субъектов, реализующих молочную продукцию в Камчатском крае. Прогноз индексов потребительских цен по Камчатскому краю на 2025-2027 годы выполнен с учетом среднегодовых темпов роста, исходя из прогноза социально-экономического развития Российской Федерации на 26.04.2024 и на основании фактических региональных показателей среднемесячных поквартальных темпов роста инфляции за предшествующий трехлетний период. </w:t>
      </w:r>
    </w:p>
    <w:p w14:paraId="02040000">
      <w:pPr>
        <w:pStyle w:val="Style_2"/>
        <w:widowControl w:val="0"/>
        <w:spacing w:after="0" w:before="0" w:line="240" w:lineRule="auto"/>
        <w:ind w:firstLine="709" w:left="0" w:right="0"/>
        <w:jc w:val="both"/>
        <w:rPr>
          <w:rFonts w:ascii="Times New Roman" w:hAnsi="Times New Roman"/>
        </w:rPr>
      </w:pPr>
      <w:r>
        <w:rPr>
          <w:sz w:val="24"/>
        </w:rPr>
        <w:t xml:space="preserve">По основному варианту учтены ценовые факторы, определяемые спецификой региональной экономики, которая не предусматривает резких структурных и качественных изменений на потребительском рынке. </w:t>
      </w:r>
    </w:p>
    <w:p w14:paraId="03040000">
      <w:pPr>
        <w:pStyle w:val="Style_2"/>
        <w:widowControl w:val="0"/>
        <w:spacing w:after="0" w:before="0" w:line="240" w:lineRule="auto"/>
        <w:ind w:firstLine="709" w:left="0" w:right="0"/>
        <w:jc w:val="both"/>
        <w:rPr>
          <w:rFonts w:ascii="Times New Roman" w:hAnsi="Times New Roman"/>
        </w:rPr>
      </w:pPr>
      <w:r>
        <w:rPr>
          <w:sz w:val="24"/>
        </w:rPr>
        <w:t>В 2025 году рост цен «декабрь к декабрю предыдущего года» по базовому варианту оценивается на уровне 104,4%, в 2026 году – 104,3% и 2027 году – 104,4%.</w:t>
      </w:r>
    </w:p>
    <w:p w14:paraId="04040000">
      <w:pPr>
        <w:pStyle w:val="Style_2"/>
        <w:widowControl w:val="0"/>
        <w:spacing w:after="0" w:before="0" w:line="240" w:lineRule="auto"/>
        <w:ind w:firstLine="709" w:left="0" w:right="0"/>
        <w:jc w:val="both"/>
        <w:rPr>
          <w:rFonts w:ascii="Times New Roman" w:hAnsi="Times New Roman"/>
        </w:rPr>
      </w:pPr>
      <w:r>
        <w:rPr>
          <w:color w:val="000000"/>
          <w:sz w:val="24"/>
        </w:rPr>
        <w:t>По консервативному варианту прогноза в 2025, 2026 и 2027 годы рост цен «декабрь к декабрю предыдущего года» – 104,8%, 104,8% и 104,4% соответственно.</w:t>
      </w:r>
    </w:p>
    <w:p w14:paraId="05040000">
      <w:pPr>
        <w:pStyle w:val="Style_2"/>
        <w:widowControl w:val="0"/>
        <w:spacing w:line="240" w:lineRule="auto"/>
        <w:ind w:firstLine="709" w:left="0" w:right="0"/>
        <w:jc w:val="both"/>
        <w:rPr>
          <w:rFonts w:ascii="Times New Roman" w:hAnsi="Times New Roman"/>
          <w:b w:val="1"/>
          <w:color w:val="632523"/>
        </w:rPr>
      </w:pPr>
    </w:p>
    <w:p w14:paraId="06040000">
      <w:pPr>
        <w:pStyle w:val="Style_2"/>
        <w:widowControl w:val="0"/>
        <w:spacing w:line="240" w:lineRule="auto"/>
        <w:ind/>
        <w:jc w:val="both"/>
        <w:rPr>
          <w:rFonts w:ascii="Times New Roman" w:hAnsi="Times New Roman"/>
        </w:rPr>
      </w:pPr>
      <w:r>
        <w:rPr>
          <w:b w:val="1"/>
          <w:color w:val="000000"/>
        </w:rPr>
        <w:t>13. Малое и среднее предпринимательство</w:t>
      </w:r>
    </w:p>
    <w:p w14:paraId="07040000">
      <w:pPr>
        <w:pStyle w:val="Style_2"/>
        <w:widowControl w:val="0"/>
        <w:spacing w:line="240" w:lineRule="auto"/>
        <w:ind w:firstLine="709" w:left="0" w:right="0"/>
        <w:jc w:val="both"/>
        <w:rPr>
          <w:rFonts w:ascii="Times New Roman" w:hAnsi="Times New Roman"/>
        </w:rPr>
      </w:pPr>
      <w:r>
        <w:t>Малый и средний бизнес создает благоприятные условия для оздоровления экономики и роста социально-экономического благополучия населения: развивается конкурентная среда, создаются дополнительные рабочие места, расширяется потребительский сектор, рост доходов населения. Развитие малых предприятий ведет к насыщению рынка товарами и услугами и использованию местных сырьевых ресурсов.</w:t>
      </w:r>
    </w:p>
    <w:p w14:paraId="08040000">
      <w:pPr>
        <w:pStyle w:val="Style_2"/>
        <w:widowControl w:val="0"/>
        <w:spacing w:line="240" w:lineRule="auto"/>
        <w:ind w:firstLine="709" w:left="0" w:right="0"/>
        <w:jc w:val="both"/>
        <w:rPr>
          <w:rFonts w:ascii="Times New Roman" w:hAnsi="Times New Roman"/>
        </w:rPr>
      </w:pPr>
      <w:r>
        <w:t xml:space="preserve">По данные единого Единого реестра субъектов малого и среднего предпринимательства осуществляется органами Федеральной налоговой службы на 10 января 2024 года зарегистрировано 15 228 субъектов малого и среднего предпринимательства (далее – субъектов МСП), что на 1,4% больше, чем 10 января 2023 года. Из них 5 284 юридических лиц (4 888 микро, 343 малых, 53 средних предприятий) и 9 944 индивидуальных предпринимателя (9 824 микро, 118 малых, 2 средних предприятий). </w:t>
      </w:r>
    </w:p>
    <w:p w14:paraId="09040000">
      <w:pPr>
        <w:pStyle w:val="Style_2"/>
        <w:widowControl w:val="0"/>
        <w:spacing w:line="240" w:lineRule="auto"/>
        <w:ind w:firstLine="709" w:left="0" w:right="0"/>
        <w:jc w:val="both"/>
        <w:rPr>
          <w:rFonts w:ascii="Times New Roman" w:hAnsi="Times New Roman"/>
        </w:rPr>
      </w:pPr>
      <w:r>
        <w:t>По данным Территориального органа Федеральной службы государственной статистики по Камчатскому краю среднесписочная численность работников на предприятиях малого и среднего предпринимательства (включая микропредприятия) (без внешних совместителей) в 2023 году составила 23,8 тыс. человек. Численность занятых в сфере малого и среднего предпринимательства за конец 2023 года составила (по методике национального проекта) 58 176 человек, что на 3,6% выше чем годом ранее.</w:t>
      </w:r>
    </w:p>
    <w:p w14:paraId="0A040000">
      <w:pPr>
        <w:pStyle w:val="Style_2"/>
        <w:widowControl w:val="0"/>
        <w:spacing w:line="240" w:lineRule="auto"/>
        <w:ind w:firstLine="709" w:left="0" w:right="0"/>
        <w:jc w:val="both"/>
        <w:rPr>
          <w:rFonts w:ascii="Times New Roman" w:hAnsi="Times New Roman"/>
        </w:rPr>
      </w:pPr>
      <w:r>
        <w:t>Оборот малых и средних предприятий, включая микропредприятия, в 2023 году составил 177,3 млрд рублей или 30,3% от общего оборота организаций Камчатского края. Увеличение оборота малых и средних предприятий по сравнению с 2022 годом составляет 0,1 млрд рублей или 0,1%.</w:t>
      </w:r>
    </w:p>
    <w:p w14:paraId="0B040000">
      <w:pPr>
        <w:pStyle w:val="Style_2"/>
        <w:widowControl w:val="0"/>
        <w:spacing w:line="240" w:lineRule="auto"/>
        <w:ind w:firstLine="709" w:left="0" w:right="0"/>
        <w:jc w:val="both"/>
        <w:rPr>
          <w:rFonts w:ascii="Times New Roman" w:hAnsi="Times New Roman"/>
        </w:rPr>
      </w:pPr>
      <w:r>
        <w:t xml:space="preserve">Остаются актуальными следующие проблемы, тормозящие развитие малого и среднего предпринимательства: </w:t>
      </w:r>
    </w:p>
    <w:p w14:paraId="0C040000">
      <w:pPr>
        <w:pStyle w:val="Style_2"/>
        <w:widowControl w:val="0"/>
        <w:numPr>
          <w:ilvl w:val="0"/>
          <w:numId w:val="1"/>
        </w:numPr>
        <w:spacing w:line="240" w:lineRule="auto"/>
        <w:ind w:firstLine="709" w:left="0" w:right="0"/>
        <w:jc w:val="both"/>
        <w:rPr>
          <w:rFonts w:ascii="Times New Roman" w:hAnsi="Times New Roman"/>
        </w:rPr>
      </w:pPr>
      <w:r>
        <w:t xml:space="preserve">недостаточный объем финансирования для реализации проектов, в том числе льготных заемных средств, а также </w:t>
      </w:r>
      <w:r>
        <w:rPr>
          <w:sz w:val="24"/>
        </w:rPr>
        <w:t>значительное удорожание стоимости банковских кредитов</w:t>
      </w:r>
      <w:r>
        <w:t>;</w:t>
      </w:r>
    </w:p>
    <w:p w14:paraId="0D040000">
      <w:pPr>
        <w:pStyle w:val="Style_2"/>
        <w:widowControl w:val="0"/>
        <w:numPr>
          <w:ilvl w:val="0"/>
          <w:numId w:val="1"/>
        </w:numPr>
        <w:spacing w:line="240" w:lineRule="auto"/>
        <w:ind w:firstLine="709" w:left="0" w:right="0"/>
        <w:jc w:val="both"/>
        <w:rPr>
          <w:rFonts w:ascii="Times New Roman" w:hAnsi="Times New Roman"/>
        </w:rPr>
      </w:pPr>
      <w:r>
        <w:rPr>
          <w:sz w:val="24"/>
        </w:rPr>
        <w:t>высокий уровень транспортных расходов, а также существенный рост тарифов на железнодорожные и морские перевозки;</w:t>
      </w:r>
    </w:p>
    <w:p w14:paraId="0E040000">
      <w:pPr>
        <w:pStyle w:val="Style_2"/>
        <w:widowControl w:val="0"/>
        <w:numPr>
          <w:ilvl w:val="0"/>
          <w:numId w:val="1"/>
        </w:numPr>
        <w:spacing w:line="240" w:lineRule="auto"/>
        <w:ind w:firstLine="709" w:left="0" w:right="0"/>
        <w:jc w:val="both"/>
        <w:rPr>
          <w:rFonts w:ascii="Times New Roman" w:hAnsi="Times New Roman"/>
        </w:rPr>
      </w:pPr>
      <w:r>
        <w:t xml:space="preserve">дефицит земельных участков (инвестиционных площадок) на территории Петропавловск-Камчатского городского округа; </w:t>
      </w:r>
    </w:p>
    <w:p w14:paraId="0F040000">
      <w:pPr>
        <w:pStyle w:val="Style_2"/>
        <w:widowControl w:val="0"/>
        <w:numPr>
          <w:ilvl w:val="0"/>
          <w:numId w:val="1"/>
        </w:numPr>
        <w:spacing w:line="240" w:lineRule="auto"/>
        <w:ind w:firstLine="709" w:left="0" w:right="0"/>
        <w:jc w:val="both"/>
        <w:rPr>
          <w:rFonts w:ascii="Times New Roman" w:hAnsi="Times New Roman"/>
        </w:rPr>
      </w:pPr>
      <w:r>
        <w:t>неравные условия ведения бизнеса в связи с необходимостью выплаты северных надбавок и коэффициентов.</w:t>
      </w:r>
    </w:p>
    <w:p w14:paraId="10040000">
      <w:pPr>
        <w:pStyle w:val="Style_2"/>
        <w:widowControl w:val="0"/>
        <w:spacing w:line="240" w:lineRule="auto"/>
        <w:ind w:firstLine="709" w:left="0" w:right="0"/>
        <w:jc w:val="both"/>
        <w:rPr>
          <w:rFonts w:ascii="Times New Roman" w:hAnsi="Times New Roman"/>
        </w:rPr>
      </w:pPr>
      <w:r>
        <w:t>Сохранению экономической стабильности, обеспечению темпов экономического роста в Камчатском крае будет способствовать улучшение условий ведения предпринимательской деятельности, в том числе посредством реализации на территории Камчатского края региональной составляющей национального проекта «Малое и среднее предпринимательство и поддержка индивидуальной предпринимательской инициативы».</w:t>
      </w:r>
    </w:p>
    <w:p w14:paraId="11040000">
      <w:pPr>
        <w:pStyle w:val="Style_2"/>
        <w:widowControl w:val="0"/>
        <w:spacing w:line="240" w:lineRule="auto"/>
        <w:ind w:firstLine="709" w:left="0" w:right="0"/>
        <w:jc w:val="both"/>
        <w:rPr>
          <w:rFonts w:ascii="Times New Roman" w:hAnsi="Times New Roman"/>
        </w:rPr>
      </w:pPr>
      <w:r>
        <w:t>В рамках национального проекта продолжается реализация следующих мероприятий:</w:t>
      </w:r>
    </w:p>
    <w:p w14:paraId="12040000">
      <w:pPr>
        <w:pStyle w:val="Style_2"/>
        <w:widowControl w:val="0"/>
        <w:spacing w:line="240" w:lineRule="auto"/>
        <w:ind w:firstLine="709" w:left="0" w:right="0"/>
        <w:jc w:val="both"/>
        <w:rPr>
          <w:rFonts w:ascii="Times New Roman" w:hAnsi="Times New Roman"/>
        </w:rPr>
      </w:pPr>
      <w:r>
        <w:t>1)</w:t>
      </w:r>
      <w:r>
        <w:tab/>
      </w:r>
      <w:r>
        <w:t>Региональный проект «Создание благоприятных условий для осуществления деятельности самозанятыми гражданами»:</w:t>
      </w:r>
    </w:p>
    <w:p w14:paraId="13040000">
      <w:pPr>
        <w:pStyle w:val="Style_2"/>
        <w:widowControl w:val="0"/>
        <w:spacing w:line="240" w:lineRule="auto"/>
        <w:ind w:firstLine="709" w:left="0" w:right="0"/>
        <w:jc w:val="both"/>
        <w:rPr>
          <w:rFonts w:ascii="Times New Roman" w:hAnsi="Times New Roman"/>
        </w:rPr>
      </w:pPr>
      <w:r>
        <w:t>–</w:t>
      </w:r>
      <w:r>
        <w:tab/>
      </w:r>
      <w:r>
        <w:t>оказание комплекса информационно-консультационных услуг самозанятым гражданам. По итогам реализации к концу 2024 года количество самозанятых граждан, получивших услуги на базе центра «Мой бизнес» и федеральными институтами развития, должно составить не менее 220 человек;</w:t>
      </w:r>
    </w:p>
    <w:p w14:paraId="14040000">
      <w:pPr>
        <w:pStyle w:val="Style_2"/>
        <w:widowControl w:val="0"/>
        <w:tabs>
          <w:tab w:leader="none" w:pos="708" w:val="clear"/>
          <w:tab w:leader="none" w:pos="993" w:val="left"/>
        </w:tabs>
        <w:spacing w:line="240" w:lineRule="auto"/>
        <w:ind w:firstLine="709" w:left="0" w:right="0"/>
        <w:jc w:val="both"/>
        <w:rPr>
          <w:rFonts w:ascii="Times New Roman" w:hAnsi="Times New Roman"/>
        </w:rPr>
      </w:pPr>
      <w:r>
        <w:t>–</w:t>
      </w:r>
      <w:r>
        <w:tab/>
      </w:r>
      <w:r>
        <w:t>предоставление микрозаймов самозанятым гражданам. По итогам реализации к концу 2024 го</w:t>
      </w:r>
      <w:r>
        <w:t>да объем микрозаймов, выданных Микрокредитной компанией Камчатский государственный фонд поддержки предпринимательства самозанятым гражданам, должен составить не менее 5,8 млн рублей.</w:t>
      </w:r>
    </w:p>
    <w:p w14:paraId="15040000">
      <w:pPr>
        <w:pStyle w:val="Style_2"/>
        <w:widowControl w:val="0"/>
        <w:tabs>
          <w:tab w:leader="none" w:pos="708" w:val="clear"/>
          <w:tab w:leader="none" w:pos="993" w:val="left"/>
        </w:tabs>
        <w:spacing w:line="240" w:lineRule="auto"/>
        <w:ind w:firstLine="709" w:left="0" w:right="0"/>
        <w:jc w:val="both"/>
        <w:rPr>
          <w:rFonts w:ascii="Times New Roman" w:hAnsi="Times New Roman"/>
        </w:rPr>
      </w:pPr>
      <w:r>
        <w:t>2)</w:t>
      </w:r>
      <w:r>
        <w:tab/>
      </w:r>
      <w:r>
        <w:t>Региональный проект «Создание условий для легкого старта и комфортного ведения бизнеса»:</w:t>
      </w:r>
    </w:p>
    <w:p w14:paraId="16040000">
      <w:pPr>
        <w:pStyle w:val="Style_2"/>
        <w:widowControl w:val="0"/>
        <w:tabs>
          <w:tab w:leader="none" w:pos="708" w:val="clear"/>
          <w:tab w:leader="none" w:pos="993" w:val="left"/>
        </w:tabs>
        <w:spacing w:line="240" w:lineRule="auto"/>
        <w:ind w:firstLine="709" w:left="0" w:right="0"/>
        <w:jc w:val="both"/>
        <w:rPr>
          <w:rFonts w:ascii="Times New Roman" w:hAnsi="Times New Roman"/>
        </w:rPr>
      </w:pPr>
      <w:r>
        <w:t>–</w:t>
      </w:r>
      <w:r>
        <w:tab/>
      </w:r>
      <w:r>
        <w:t>оказание комплекса информационно-консультационных услуг а также предоставление финансовой поддержки в виде грантов субъектам МСП, включенным в реестр социальных предпринимателей, а также субъектам МСП, созданным физическими лицами в возрасте до 25 лет включительно. По итогам реализации к концу 2024 года количество получателей поддержки по данному направлению должно составить не менее 119 единиц;</w:t>
      </w:r>
    </w:p>
    <w:p w14:paraId="17040000">
      <w:pPr>
        <w:pStyle w:val="Style_2"/>
        <w:widowControl w:val="0"/>
        <w:tabs>
          <w:tab w:leader="none" w:pos="708" w:val="clear"/>
          <w:tab w:leader="none" w:pos="851" w:val="left"/>
        </w:tabs>
        <w:spacing w:line="240" w:lineRule="auto"/>
        <w:ind w:firstLine="709" w:left="0" w:right="0"/>
        <w:jc w:val="both"/>
        <w:rPr>
          <w:rFonts w:ascii="Times New Roman" w:hAnsi="Times New Roman"/>
        </w:rPr>
      </w:pPr>
      <w:r>
        <w:t>–</w:t>
      </w:r>
      <w:r>
        <w:tab/>
      </w:r>
      <w:r>
        <w:t>оказание комплекса информационно-консультационных и образовательных услуг начинающим и действующим предпринимателям. По итогам реализации к концу 2024 года количество уникальных граждан, желающих вести бизнес, начинающих и действующих предпринимателей, получивших услуги, должно составить не менее 870 единиц;</w:t>
      </w:r>
    </w:p>
    <w:p w14:paraId="18040000">
      <w:pPr>
        <w:pStyle w:val="Style_2"/>
        <w:widowControl w:val="0"/>
        <w:tabs>
          <w:tab w:leader="none" w:pos="708" w:val="clear"/>
          <w:tab w:leader="none" w:pos="851" w:val="left"/>
        </w:tabs>
        <w:spacing w:line="240" w:lineRule="auto"/>
        <w:ind w:firstLine="709" w:left="0" w:right="0"/>
        <w:jc w:val="both"/>
        <w:rPr>
          <w:rFonts w:ascii="Times New Roman" w:hAnsi="Times New Roman"/>
        </w:rPr>
      </w:pPr>
      <w:r>
        <w:t>–</w:t>
      </w:r>
      <w:r>
        <w:tab/>
      </w:r>
      <w:r>
        <w:t>улучшение условий ведения предпринимательской деятельности для индивидуальных предпринимателей, применяющих патентную систему налогообложения. По итогам реализации к концу 2024 года количество индивидуальных предпринимателей, применяющих патентную систему налогообложения, должно составить не менее 2 728 единиц;</w:t>
      </w:r>
    </w:p>
    <w:p w14:paraId="19040000">
      <w:pPr>
        <w:pStyle w:val="Style_2"/>
        <w:widowControl w:val="0"/>
        <w:tabs>
          <w:tab w:leader="none" w:pos="708" w:val="clear"/>
          <w:tab w:leader="none" w:pos="993" w:val="left"/>
        </w:tabs>
        <w:spacing w:line="240" w:lineRule="auto"/>
        <w:ind w:firstLine="709" w:left="0" w:right="0"/>
        <w:jc w:val="both"/>
        <w:rPr>
          <w:rFonts w:ascii="Times New Roman" w:hAnsi="Times New Roman"/>
        </w:rPr>
      </w:pPr>
      <w:r>
        <w:t>–</w:t>
      </w:r>
      <w:r>
        <w:tab/>
      </w:r>
      <w:r>
        <w:t>предоставление займов начинающим предпринимателям. По итогам реализации к концу 2024 года количество действующих микрозаймов, предоставленных начинающим предпринимателям Микрокредитной компании Камчатский государственный фонд поддержки предпринимательства, должно составить не менее 69 единицы;</w:t>
      </w:r>
    </w:p>
    <w:p w14:paraId="1A040000">
      <w:pPr>
        <w:pStyle w:val="Style_2"/>
        <w:widowControl w:val="0"/>
        <w:tabs>
          <w:tab w:leader="none" w:pos="708" w:val="clear"/>
          <w:tab w:leader="none" w:pos="993" w:val="left"/>
        </w:tabs>
        <w:spacing w:line="240" w:lineRule="auto"/>
        <w:ind w:firstLine="709" w:left="0" w:right="0"/>
        <w:jc w:val="both"/>
        <w:rPr>
          <w:rFonts w:ascii="Times New Roman" w:hAnsi="Times New Roman"/>
        </w:rPr>
      </w:pPr>
      <w:r>
        <w:t>–</w:t>
      </w:r>
      <w:r>
        <w:tab/>
      </w:r>
      <w:r>
        <w:t xml:space="preserve">предоставление поручительств начинающим предпринимателям. По итогам реализации к концу 2024 года объем финансовой поддержки, предоставленной начинающим предпринимателям Гарантийным фондом развития предпринимательства Камчатского края, должен составить не менее 0,13 млрд рублей; </w:t>
      </w:r>
    </w:p>
    <w:p w14:paraId="1B040000">
      <w:pPr>
        <w:pStyle w:val="Style_2"/>
        <w:widowControl w:val="0"/>
        <w:tabs>
          <w:tab w:leader="none" w:pos="708" w:val="clear"/>
          <w:tab w:leader="none" w:pos="1134" w:val="left"/>
        </w:tabs>
        <w:spacing w:line="240" w:lineRule="auto"/>
        <w:ind w:firstLine="709" w:left="0" w:right="0"/>
        <w:jc w:val="both"/>
        <w:rPr>
          <w:rFonts w:ascii="Times New Roman" w:hAnsi="Times New Roman"/>
        </w:rPr>
      </w:pPr>
      <w:r>
        <w:t>3)</w:t>
      </w:r>
      <w:r>
        <w:tab/>
      </w:r>
      <w:r>
        <w:t>Региональный проект «Акселерация субъектов малого и среднего предпринимательства»:</w:t>
      </w:r>
    </w:p>
    <w:p w14:paraId="1C040000">
      <w:pPr>
        <w:pStyle w:val="Style_2"/>
        <w:widowControl w:val="0"/>
        <w:tabs>
          <w:tab w:leader="none" w:pos="708" w:val="clear"/>
          <w:tab w:leader="none" w:pos="993" w:val="left"/>
        </w:tabs>
        <w:spacing w:line="240" w:lineRule="auto"/>
        <w:ind w:firstLine="709" w:left="0" w:right="0"/>
        <w:jc w:val="both"/>
        <w:rPr>
          <w:rFonts w:ascii="Times New Roman" w:hAnsi="Times New Roman"/>
        </w:rPr>
      </w:pPr>
      <w:r>
        <w:t>–</w:t>
      </w:r>
      <w:r>
        <w:tab/>
      </w:r>
      <w:r>
        <w:t>экспорт товаров (работ, услуг) при поддержке Камчатского центра поддержки экспорта. По итогам реализации к концу 2024 года суммарный объём экспорта субъектов МСП, получивших поддержку Камчатского центра поддержки экспорта, должен составить не менее 0,015 млрд рублей;</w:t>
      </w:r>
    </w:p>
    <w:p w14:paraId="1D040000">
      <w:pPr>
        <w:pStyle w:val="Style_2"/>
        <w:widowControl w:val="0"/>
        <w:tabs>
          <w:tab w:leader="none" w:pos="708" w:val="clear"/>
          <w:tab w:leader="none" w:pos="993" w:val="left"/>
        </w:tabs>
        <w:spacing w:line="240" w:lineRule="auto"/>
        <w:ind w:firstLine="709" w:left="0" w:right="0"/>
        <w:jc w:val="both"/>
        <w:rPr>
          <w:rFonts w:ascii="Times New Roman" w:hAnsi="Times New Roman"/>
        </w:rPr>
      </w:pPr>
      <w:r>
        <w:t>–</w:t>
      </w:r>
      <w:r>
        <w:tab/>
      </w:r>
      <w:r>
        <w:t>оказание комплексных услуг на единой площадке центра «Мой бизнес» субъектам МСП, а также резидентам промышленных парков, технопарков. По итогам реализации к концу 2024 года количество субъектов МСП, получивших комплексные услуги, должно составить 716 единиц;</w:t>
      </w:r>
    </w:p>
    <w:p w14:paraId="1E040000">
      <w:pPr>
        <w:pStyle w:val="Style_2"/>
        <w:widowControl w:val="0"/>
        <w:tabs>
          <w:tab w:leader="none" w:pos="708" w:val="clear"/>
          <w:tab w:leader="none" w:pos="851" w:val="left"/>
        </w:tabs>
        <w:spacing w:line="240" w:lineRule="auto"/>
        <w:ind w:firstLine="709" w:left="0" w:right="0"/>
        <w:jc w:val="both"/>
        <w:rPr>
          <w:rFonts w:ascii="Times New Roman" w:hAnsi="Times New Roman"/>
        </w:rPr>
      </w:pPr>
      <w:r>
        <w:t>–</w:t>
      </w:r>
      <w:r>
        <w:tab/>
      </w:r>
      <w:r>
        <w:t>обеспечение у субъектов МСП льготного доступа к производственным площадям и помещениям промышленных парков, технопарков в целях создания (развития) производственных и инновационных компаний. По итогам реализации к концу 2024 года количество субъектов МСП-резидентов промышленных парков, технопарков должно составить не менее 7 единиц;</w:t>
      </w:r>
    </w:p>
    <w:p w14:paraId="1F040000">
      <w:pPr>
        <w:pStyle w:val="Style_2"/>
        <w:widowControl w:val="0"/>
        <w:tabs>
          <w:tab w:leader="none" w:pos="708" w:val="clear"/>
          <w:tab w:leader="none" w:pos="851" w:val="left"/>
        </w:tabs>
        <w:spacing w:line="240" w:lineRule="auto"/>
        <w:ind w:firstLine="709" w:left="0" w:right="0"/>
        <w:jc w:val="both"/>
        <w:rPr>
          <w:rFonts w:ascii="Times New Roman" w:hAnsi="Times New Roman"/>
        </w:rPr>
      </w:pPr>
      <w:r>
        <w:t>–</w:t>
      </w:r>
      <w:r>
        <w:tab/>
      </w:r>
      <w:r>
        <w:t>предоставление действующим субъектам МСП льготных микрозаймов. По итогам реализации к концу 2024 года количество действующих микрозаймов, выданных Микрокредитной компанией Камчатский государственный фонд поддержки предпринимательства, должно составить не менее 518 единиц;</w:t>
      </w:r>
    </w:p>
    <w:p w14:paraId="20040000">
      <w:pPr>
        <w:pStyle w:val="Style_2"/>
        <w:widowControl w:val="0"/>
        <w:tabs>
          <w:tab w:leader="none" w:pos="708" w:val="clear"/>
          <w:tab w:leader="none" w:pos="1134" w:val="left"/>
        </w:tabs>
        <w:spacing w:line="240" w:lineRule="auto"/>
        <w:ind w:firstLine="709" w:left="0" w:right="0"/>
        <w:jc w:val="both"/>
        <w:rPr>
          <w:rFonts w:ascii="Times New Roman" w:hAnsi="Times New Roman"/>
        </w:rPr>
      </w:pPr>
      <w:r>
        <w:t>–</w:t>
      </w:r>
      <w:r>
        <w:tab/>
      </w:r>
      <w:r>
        <w:t>предоставление субъектам МСП льготных поручительств. По итогам реализации к концу 2024 года объем финансовой поддержки, оказанный субъектам МСП Гарантийным фондом развития предпринимательства Камчатского края, должен составить не менее 4 424,9 млн рублей;</w:t>
      </w:r>
    </w:p>
    <w:p w14:paraId="21040000">
      <w:pPr>
        <w:pStyle w:val="Style_2"/>
        <w:widowControl w:val="0"/>
        <w:tabs>
          <w:tab w:leader="none" w:pos="708" w:val="clear"/>
          <w:tab w:leader="none" w:pos="1134" w:val="left"/>
        </w:tabs>
        <w:spacing w:line="240" w:lineRule="auto"/>
        <w:ind w:firstLine="709" w:left="0" w:right="0"/>
        <w:jc w:val="both"/>
        <w:rPr>
          <w:rFonts w:ascii="Times New Roman" w:hAnsi="Times New Roman"/>
        </w:rPr>
      </w:pPr>
      <w:r>
        <w:t>–</w:t>
      </w:r>
      <w:r>
        <w:tab/>
      </w:r>
      <w:r>
        <w:t>увеличение объема внебюджетных инвестиций в основной капитал субъектов МСП, получивших доступ к производственным площадям и помещениям промышленных парков, технопарков. По итогам реализации к концу 2024 года объём внебюджетных инвестиций должен составить не менее  0,33 млрд рублей.</w:t>
      </w:r>
    </w:p>
    <w:p w14:paraId="22040000">
      <w:pPr>
        <w:pStyle w:val="Style_2"/>
        <w:widowControl w:val="0"/>
        <w:spacing w:line="240" w:lineRule="auto"/>
        <w:ind w:firstLine="709" w:left="0" w:right="0"/>
        <w:jc w:val="both"/>
        <w:rPr>
          <w:rFonts w:ascii="Times New Roman" w:hAnsi="Times New Roman"/>
        </w:rPr>
      </w:pPr>
      <w:r>
        <w:t>По базовому варианту прогноза в 2027 году количество малых и средних предприятий (в том числе микропредприятий, без учета индивидуальных предпринимателей) увеличится на 4% к 2024 году и составит 5 434 единицы, среднесписочная численность работников – 26,1 тыс. человек, оборот предприятий – 217,2 млрд рублей.</w:t>
      </w:r>
    </w:p>
    <w:p w14:paraId="23040000">
      <w:pPr>
        <w:pStyle w:val="Style_2"/>
        <w:widowControl w:val="0"/>
        <w:spacing w:line="240" w:lineRule="auto"/>
        <w:ind w:firstLine="709" w:left="0" w:right="0"/>
        <w:jc w:val="both"/>
        <w:rPr>
          <w:rFonts w:ascii="Times New Roman" w:hAnsi="Times New Roman"/>
        </w:rPr>
      </w:pPr>
      <w:r>
        <w:t>Согласно консервативному варианту прогноза в 2027 году количество малых и средних предприятий (в том числе микропредприятий, без учета индивидуальных предпринимателей) увеличится на 2,7% к 2024 году и составит 5 365 единиц, среднесписочная численность работников – 25,4 тыс. человек, оборот предприятий – 211,3 млрд рублей.</w:t>
      </w:r>
    </w:p>
    <w:p w14:paraId="24040000">
      <w:pPr>
        <w:pStyle w:val="Style_2"/>
        <w:widowControl w:val="0"/>
        <w:spacing w:line="240" w:lineRule="auto"/>
        <w:ind/>
        <w:jc w:val="both"/>
        <w:rPr>
          <w:rFonts w:ascii="Times New Roman" w:hAnsi="Times New Roman"/>
          <w:b w:val="1"/>
          <w:color w:val="000000"/>
        </w:rPr>
      </w:pPr>
    </w:p>
    <w:p w14:paraId="25040000">
      <w:pPr>
        <w:pStyle w:val="Style_2"/>
        <w:widowControl w:val="0"/>
        <w:spacing w:line="240" w:lineRule="auto"/>
        <w:ind/>
        <w:jc w:val="both"/>
        <w:rPr>
          <w:rFonts w:ascii="Times New Roman" w:hAnsi="Times New Roman"/>
          <w:color w:val="000000"/>
        </w:rPr>
      </w:pPr>
      <w:r>
        <w:rPr>
          <w:b w:val="1"/>
          <w:color w:val="000000"/>
        </w:rPr>
        <w:t>14. Здравоохранение</w:t>
      </w:r>
    </w:p>
    <w:p w14:paraId="26040000">
      <w:pPr>
        <w:pStyle w:val="Style_2"/>
        <w:spacing w:line="240" w:lineRule="auto"/>
        <w:ind w:firstLine="709" w:left="0" w:right="0"/>
        <w:jc w:val="both"/>
        <w:rPr>
          <w:rFonts w:ascii="Times New Roman" w:hAnsi="Times New Roman"/>
        </w:rPr>
      </w:pPr>
      <w:r>
        <w:t>Работа системы здравоохранения направлена на обеспечение доступности и улучшение качества оказываемой медицинской помощи. Приоритетными направлениями деятельности являются:</w:t>
      </w:r>
    </w:p>
    <w:p w14:paraId="27040000">
      <w:pPr>
        <w:pStyle w:val="Style_2"/>
        <w:spacing w:line="240" w:lineRule="auto"/>
        <w:ind w:firstLine="709" w:left="0" w:right="0"/>
        <w:jc w:val="both"/>
        <w:rPr>
          <w:rFonts w:ascii="Times New Roman" w:hAnsi="Times New Roman"/>
        </w:rPr>
      </w:pPr>
      <w:r>
        <w:t>– </w:t>
      </w:r>
      <w:r>
        <w:t xml:space="preserve">обеспечение гарантий предоставления населению бесплатной медицинской помощи; </w:t>
      </w:r>
    </w:p>
    <w:p w14:paraId="28040000">
      <w:pPr>
        <w:pStyle w:val="Style_2"/>
        <w:spacing w:line="240" w:lineRule="auto"/>
        <w:ind w:firstLine="709" w:left="0" w:right="0"/>
        <w:jc w:val="both"/>
        <w:rPr>
          <w:rFonts w:ascii="Times New Roman" w:hAnsi="Times New Roman"/>
        </w:rPr>
      </w:pPr>
      <w:r>
        <w:t xml:space="preserve">– </w:t>
      </w:r>
      <w:r>
        <w:t>исполнение стратегических целей, определенных в Указе № 204, путем реализации региональных проектов в здравоохранении;</w:t>
      </w:r>
    </w:p>
    <w:p w14:paraId="29040000">
      <w:pPr>
        <w:pStyle w:val="Style_2"/>
        <w:spacing w:line="240" w:lineRule="auto"/>
        <w:ind w:firstLine="709" w:left="0" w:right="0"/>
        <w:jc w:val="both"/>
        <w:rPr>
          <w:rFonts w:ascii="Times New Roman" w:hAnsi="Times New Roman"/>
        </w:rPr>
      </w:pPr>
      <w:r>
        <w:t xml:space="preserve">– </w:t>
      </w:r>
      <w:r>
        <w:t>развитие паллиативной медицинской помощи;</w:t>
      </w:r>
    </w:p>
    <w:p w14:paraId="2A040000">
      <w:pPr>
        <w:pStyle w:val="Style_2"/>
        <w:spacing w:line="240" w:lineRule="auto"/>
        <w:ind w:firstLine="709" w:left="0" w:right="0"/>
        <w:jc w:val="both"/>
        <w:rPr>
          <w:rFonts w:ascii="Times New Roman" w:hAnsi="Times New Roman"/>
        </w:rPr>
      </w:pPr>
      <w:r>
        <w:t xml:space="preserve">– </w:t>
      </w:r>
      <w:r>
        <w:t>работа выездных форм первичной медико-санитарной помощи.</w:t>
      </w:r>
    </w:p>
    <w:p w14:paraId="2B040000">
      <w:pPr>
        <w:pStyle w:val="Style_2"/>
        <w:spacing w:line="240" w:lineRule="auto"/>
        <w:ind w:firstLine="709" w:left="0" w:right="0"/>
        <w:jc w:val="both"/>
        <w:rPr>
          <w:rFonts w:ascii="Times New Roman" w:hAnsi="Times New Roman"/>
        </w:rPr>
      </w:pPr>
      <w:r>
        <w:t>Всего в Камчатском крае 46 медицинских организаций, подведомственных Министерству здравоохранения Камчатского края, из них медицинскую помощь населению края оказывают 43 учреждения государственной системы здравоохранения Камчатского края, в том числе: 23 больницы, 10 амбулаторно-поликлинических учреждений, 2 станции скорой медицинской помощи, 1 станция переливания крови, 1 центр медицины катастроф, 5 диспансеров, и кроме того 60 структурных подразделений (31 фельдшерско-акушерский и фельдшерский пункт, 3 здравпункта, 10 отделений врача общей практики, 12 врачебных амбулаторий, 4 филиала).</w:t>
      </w:r>
    </w:p>
    <w:p w14:paraId="2C040000">
      <w:pPr>
        <w:pStyle w:val="Style_2"/>
        <w:spacing w:line="240" w:lineRule="auto"/>
        <w:ind w:firstLine="709" w:left="0" w:right="0"/>
        <w:jc w:val="both"/>
        <w:rPr>
          <w:rFonts w:ascii="Times New Roman" w:hAnsi="Times New Roman"/>
        </w:rPr>
      </w:pPr>
      <w:r>
        <w:t>В рамках реализации региональной программы «Модернизация первичного звена здравоохранения» в Камчатском крае введены эксплуатацию 7 объектов здравоохранения, в том числе 1 фельдшерский здравпункт, 4 фельдшерско-акушерских пунктов, 2 врачебных амбулатории. Суммарная площадь введенных объектов составила более 1 350 м</w:t>
      </w:r>
      <w:r>
        <w:rPr>
          <w:vertAlign w:val="superscript"/>
        </w:rPr>
        <w:t>2</w:t>
      </w:r>
      <w:r>
        <w:t>, что значительно превышает результаты прошлых  лет. Также завершен капитальный ремонт в 7 подразделениях медицинских организаций Камчатского края, закуплено 49 единиц медицинского оборудования.</w:t>
      </w:r>
    </w:p>
    <w:p w14:paraId="2D040000">
      <w:pPr>
        <w:pStyle w:val="Style_2"/>
        <w:spacing w:line="240" w:lineRule="auto"/>
        <w:ind w:firstLine="709" w:left="0" w:right="0"/>
        <w:jc w:val="both"/>
        <w:rPr>
          <w:rFonts w:ascii="Times New Roman" w:hAnsi="Times New Roman"/>
        </w:rPr>
      </w:pPr>
      <w:r>
        <w:t>Средства на осуществление ремонтов зданий медицинских организаций в 2023 году направлены в объеме 113,9 млн рублей (111,3 млн рублей средства федерального бюджета, 2,6 млн рублей средства краевого бюджета) предусмотрены на 7 объектах в 6 учреждениях здравоохранения.</w:t>
      </w:r>
    </w:p>
    <w:p w14:paraId="2E040000">
      <w:pPr>
        <w:pStyle w:val="Style_2"/>
        <w:spacing w:line="240" w:lineRule="auto"/>
        <w:ind w:firstLine="709" w:left="0" w:right="0"/>
        <w:jc w:val="both"/>
        <w:rPr>
          <w:rFonts w:ascii="Times New Roman" w:hAnsi="Times New Roman"/>
        </w:rPr>
      </w:pPr>
      <w:r>
        <w:t>В 2023 году проведены ремонты в ГБУЗ КК «Корякская окружная больница»; ГБУЗ КК «Мильковская районная больница»; ГБУЗ КК «Елизовская районная больница»; ГБУЗ КК «Олюторская районная больница»; ГБУЗ КК «Соболевская районная больница»; ГБУЗ КК «Вилючинская городская больница».</w:t>
      </w:r>
    </w:p>
    <w:p w14:paraId="2F040000">
      <w:pPr>
        <w:pStyle w:val="Style_2"/>
        <w:spacing w:after="0" w:before="0" w:line="240" w:lineRule="auto"/>
        <w:ind w:firstLine="709" w:left="0" w:right="0"/>
        <w:contextualSpacing w:val="1"/>
        <w:jc w:val="both"/>
        <w:rPr>
          <w:rFonts w:ascii="Times New Roman" w:hAnsi="Times New Roman"/>
        </w:rPr>
      </w:pPr>
      <w:r>
        <w:t xml:space="preserve">Ремонты помещений учреждений здравоохранения в 2023 году осуществлены в соответствии с перечнем, предусмотренным региональной программой Камчатского края «Модернизация первичного звена здравоохранения». </w:t>
      </w:r>
    </w:p>
    <w:p w14:paraId="30040000">
      <w:pPr>
        <w:pStyle w:val="Style_2"/>
        <w:spacing w:line="240" w:lineRule="auto"/>
        <w:ind w:firstLine="709" w:left="0" w:right="0"/>
        <w:jc w:val="both"/>
        <w:rPr>
          <w:rFonts w:ascii="Times New Roman" w:hAnsi="Times New Roman"/>
        </w:rPr>
      </w:pPr>
      <w:r>
        <w:t>ГБУЗ КК «Елизовская районная больница» в 2023 году приобретена быстровозводимая модульная конструкция с целью размещения врачебной амбулатории, по адресу: Камчатский край, Елизовский муниципальный район, с. Николаевка.  Контракт заключен на сумму 38,9 млн рублей. Быстровозводимая модульная конструкция приобретена и введена в эксплуатацию.</w:t>
      </w:r>
    </w:p>
    <w:p w14:paraId="31040000">
      <w:pPr>
        <w:pStyle w:val="Style_2"/>
        <w:spacing w:line="240" w:lineRule="auto"/>
        <w:ind w:firstLine="709" w:left="0" w:right="0"/>
        <w:jc w:val="both"/>
        <w:rPr>
          <w:rFonts w:ascii="Times New Roman" w:hAnsi="Times New Roman"/>
        </w:rPr>
      </w:pPr>
      <w:r>
        <w:t>В настоящее время модель организации медицинской помощи в Камчатском крае представляет собой двух- и трехуровневую систему, включающую медицинские организации краевого, межтерриториального, муниципального уровней. Для оказания круглосуточной медицинской помощи в 2023 году функционировала 3 331 койка.</w:t>
      </w:r>
    </w:p>
    <w:p w14:paraId="32040000">
      <w:pPr>
        <w:pStyle w:val="Style_2"/>
        <w:spacing w:line="240" w:lineRule="auto"/>
        <w:ind w:firstLine="709" w:left="0" w:right="0"/>
        <w:jc w:val="both"/>
        <w:rPr>
          <w:rFonts w:ascii="Times New Roman" w:hAnsi="Times New Roman"/>
        </w:rPr>
      </w:pPr>
      <w:r>
        <w:rPr>
          <w:color w:val="000000"/>
        </w:rPr>
        <w:t>В 2023 году паллиативную помощь  в стационарных условиях получили 802 пациента, из них на паллиативных койках 317 пациентов, на койках сестринского ухода – 485 пациентов.</w:t>
      </w:r>
    </w:p>
    <w:p w14:paraId="33040000">
      <w:pPr>
        <w:pStyle w:val="Style_2"/>
        <w:spacing w:line="240" w:lineRule="auto"/>
        <w:ind w:firstLine="709" w:left="0" w:right="0"/>
        <w:jc w:val="both"/>
        <w:rPr>
          <w:rFonts w:ascii="Times New Roman" w:hAnsi="Times New Roman"/>
        </w:rPr>
      </w:pPr>
      <w:r>
        <w:t>Правительством Российской Федерации в целях обеспечения своевременного оказания экстренной медицинской помощи гражданам, проживающим в труднодоступных районах Камчатского края региону ежегодно представляет субсидию на выполнение авиационных услуг. Так, на 2023 год и на плановый период 2024 и 2025 годов субсидия была увеличена: на 2023 год с 123,80 млн рублей до 584,71 млн рублей;  на 2024 год с 142,65 млн рублей до 721,79 млн рублей; на 2025 год с 142,65 млн рублей до 705,60 млн рублей.</w:t>
      </w:r>
    </w:p>
    <w:p w14:paraId="34040000">
      <w:pPr>
        <w:pStyle w:val="Style_2"/>
        <w:spacing w:line="240" w:lineRule="auto"/>
        <w:ind w:firstLine="709" w:left="0" w:right="0"/>
        <w:jc w:val="both"/>
        <w:rPr>
          <w:rFonts w:ascii="Times New Roman" w:hAnsi="Times New Roman"/>
        </w:rPr>
      </w:pPr>
      <w:r>
        <w:t>В 2023 году КГКУЗ «Камчатский территориальный центр медицины катастроф» выполнил 527 вылетов. Эвакуировано 693 человека, их них 81 ребенок (</w:t>
      </w:r>
      <w:r>
        <w:rPr>
          <w:color w:themeColor="text1" w:val="000000"/>
        </w:rPr>
        <w:t>в том числе за счет средств федерального бюджета осуществлено 412 вылетов, эвакуированы 519 человек, из них 60 детей)</w:t>
      </w:r>
      <w:r>
        <w:t xml:space="preserve">. </w:t>
      </w:r>
    </w:p>
    <w:p w14:paraId="35040000">
      <w:pPr>
        <w:pStyle w:val="Style_2"/>
        <w:spacing w:line="240" w:lineRule="auto"/>
        <w:ind w:firstLine="709" w:left="0" w:right="0"/>
        <w:jc w:val="both"/>
        <w:rPr>
          <w:rFonts w:ascii="Times New Roman" w:hAnsi="Times New Roman"/>
        </w:rPr>
      </w:pPr>
      <w:r>
        <w:t>Обеспеченность врачами на 01.01.2023 составила 59,7 чел. на 10 тысяч населения (в 2022 году – 58,7), показатель обеспеченности средними медицинскими работниками в отчетном году составил 129,4 чел. на 10 тыс. населения (в 2022 году – 130,9). </w:t>
      </w:r>
    </w:p>
    <w:p w14:paraId="36040000">
      <w:pPr>
        <w:pStyle w:val="Style_2"/>
        <w:spacing w:line="240" w:lineRule="auto"/>
        <w:ind w:firstLine="709" w:left="0" w:right="0"/>
        <w:jc w:val="both"/>
        <w:rPr>
          <w:rFonts w:ascii="Times New Roman" w:hAnsi="Times New Roman"/>
        </w:rPr>
      </w:pPr>
      <w:r>
        <w:t>В 2023 году осуществлялась подготовка и переподготовка медицинских кадров на базе ГБУ СПО «Камчатский краевой медицинский колледж»</w:t>
      </w:r>
      <w:r>
        <w:rPr>
          <w:color w:val="000000"/>
        </w:rPr>
        <w:t>. Врачебные кадры для Камчатского края проходят целевое обучение в ведущих медицинских вузах Российской Федерации, расположенных в Москве, Санкт-Петербурге, Новосибирске, городах Дальневосточного федерального округа.</w:t>
      </w:r>
    </w:p>
    <w:p w14:paraId="37040000">
      <w:pPr>
        <w:pStyle w:val="Style_2"/>
        <w:spacing w:line="240" w:lineRule="auto"/>
        <w:ind w:firstLine="709" w:left="0" w:right="0"/>
        <w:jc w:val="both"/>
        <w:rPr>
          <w:rFonts w:ascii="Times New Roman" w:hAnsi="Times New Roman"/>
        </w:rPr>
      </w:pPr>
      <w:r>
        <w:rPr>
          <w:color w:val="000000"/>
        </w:rPr>
        <w:t xml:space="preserve">В 2023 году по направлению обучения по специалитету в медицинские высшие учебные заведения поступило 46 выпускников школ и средних профессиональных учебных заведений, по программам ординатуры (высшего последипломного образования для выпускников медицинских вузов) направлено на обучение по узким специальностям 33 человека. </w:t>
      </w:r>
    </w:p>
    <w:p w14:paraId="38040000">
      <w:pPr>
        <w:pStyle w:val="Style_2"/>
        <w:spacing w:line="240" w:lineRule="auto"/>
        <w:ind w:firstLine="709" w:left="0" w:right="0"/>
        <w:jc w:val="both"/>
        <w:rPr>
          <w:rFonts w:ascii="Times New Roman" w:hAnsi="Times New Roman"/>
        </w:rPr>
      </w:pPr>
      <w:r>
        <w:rPr>
          <w:color w:val="000000"/>
        </w:rPr>
        <w:t xml:space="preserve">В 2023 году в медицинский колледж поступили 297 человек, из которых на бюджетное обучение – 210 чел., закончили обучение 184 человек, трудоустроено в учреждения края 143 специалиста (78% выпускников). </w:t>
      </w:r>
    </w:p>
    <w:p w14:paraId="39040000">
      <w:pPr>
        <w:pStyle w:val="Style_2"/>
        <w:spacing w:line="240" w:lineRule="auto"/>
        <w:ind w:firstLine="709" w:left="0" w:right="0"/>
        <w:jc w:val="both"/>
        <w:rPr>
          <w:rFonts w:ascii="Times New Roman" w:hAnsi="Times New Roman"/>
        </w:rPr>
      </w:pPr>
      <w:r>
        <w:rPr>
          <w:color w:val="000000"/>
        </w:rPr>
        <w:t xml:space="preserve">На основании установленной потребности в повышении квалификации и профессиональной переподготовки медицинских работников в 2023 году повышение квалификации </w:t>
      </w:r>
      <w:r>
        <w:rPr>
          <w:color w:themeColor="text1" w:val="000000"/>
        </w:rPr>
        <w:t>прошли 892 медицинских работника, переподготовку прошли 79 специалистов.</w:t>
      </w:r>
    </w:p>
    <w:p w14:paraId="3A040000">
      <w:pPr>
        <w:pStyle w:val="Style_2"/>
        <w:spacing w:line="240" w:lineRule="auto"/>
        <w:ind w:firstLine="709" w:left="0" w:right="0"/>
        <w:jc w:val="both"/>
        <w:rPr>
          <w:rFonts w:ascii="Times New Roman" w:hAnsi="Times New Roman"/>
        </w:rPr>
      </w:pPr>
      <w:r>
        <w:rPr>
          <w:color w:themeColor="text1" w:val="000000"/>
        </w:rPr>
        <w:t>Всего повышение квалификации и профессиональную переподготовку в 2023 году прошли 971 человек.</w:t>
      </w:r>
    </w:p>
    <w:p w14:paraId="3B040000">
      <w:pPr>
        <w:pStyle w:val="Style_2"/>
        <w:widowControl w:val="0"/>
        <w:spacing w:line="240" w:lineRule="auto"/>
        <w:ind/>
        <w:jc w:val="both"/>
        <w:rPr>
          <w:rFonts w:ascii="Times New Roman" w:hAnsi="Times New Roman"/>
          <w:color w:val="632523"/>
        </w:rPr>
      </w:pPr>
    </w:p>
    <w:p w14:paraId="3C040000">
      <w:pPr>
        <w:pStyle w:val="Style_2"/>
        <w:widowControl w:val="0"/>
        <w:spacing w:line="240" w:lineRule="auto"/>
        <w:ind/>
        <w:jc w:val="both"/>
        <w:rPr>
          <w:rFonts w:ascii="Times New Roman" w:hAnsi="Times New Roman"/>
        </w:rPr>
      </w:pPr>
      <w:r>
        <w:rPr>
          <w:b w:val="1"/>
          <w:color w:val="000000"/>
          <w:sz w:val="24"/>
        </w:rPr>
        <w:t>15. Культура</w:t>
      </w:r>
    </w:p>
    <w:p w14:paraId="3D040000">
      <w:pPr>
        <w:pStyle w:val="Style_2"/>
        <w:widowControl w:val="0"/>
        <w:spacing w:line="240" w:lineRule="auto"/>
        <w:ind w:firstLine="709" w:left="0" w:right="0"/>
        <w:jc w:val="both"/>
        <w:rPr>
          <w:rFonts w:ascii="Times New Roman" w:hAnsi="Times New Roman"/>
        </w:rPr>
      </w:pPr>
      <w:r>
        <w:rPr>
          <w:color w:val="000000"/>
          <w:sz w:val="24"/>
        </w:rPr>
        <w:t xml:space="preserve">Анализируя состояние сферы культуры в регионе с целью ликвидации отставаний и разрывов от среднероссийских значений, необходимо акцентировать внимание на развитии инфраструктуры в сфере культуры, а именно, на поддержании имеющегося имущественного комплекса в удовлетворительном состоянии. </w:t>
      </w:r>
    </w:p>
    <w:p w14:paraId="3E040000">
      <w:pPr>
        <w:pStyle w:val="Style_2"/>
        <w:widowControl w:val="0"/>
        <w:spacing w:line="240" w:lineRule="auto"/>
        <w:ind w:firstLine="709" w:left="0" w:right="0"/>
        <w:jc w:val="both"/>
        <w:rPr>
          <w:rFonts w:ascii="Times New Roman" w:hAnsi="Times New Roman"/>
        </w:rPr>
      </w:pPr>
      <w:r>
        <w:rPr>
          <w:color w:val="000000"/>
          <w:sz w:val="24"/>
        </w:rPr>
        <w:t>К 2025 году прогнозируется увеличение числа посещений культурных мероприятий до 7,074 млн посещений, а к 2027 году до 8,320 млн посещений (базовым установлен 2021 год со значением 4,155 млн посещений).</w:t>
      </w:r>
    </w:p>
    <w:p w14:paraId="3F040000">
      <w:pPr>
        <w:pStyle w:val="Style_2"/>
        <w:widowControl w:val="0"/>
        <w:spacing w:line="240" w:lineRule="auto"/>
        <w:ind w:firstLine="709" w:left="0" w:right="0"/>
        <w:jc w:val="both"/>
        <w:rPr>
          <w:rFonts w:ascii="Times New Roman" w:hAnsi="Times New Roman"/>
        </w:rPr>
      </w:pPr>
      <w:r>
        <w:rPr>
          <w:color w:val="000000"/>
          <w:sz w:val="24"/>
        </w:rPr>
        <w:t>Камчатский край, в целом, обеспечен сетью учреждений культуры, однако, имеется острая необходимость проведения в их зданиях и помещениях капитальных и текущих ремонтных работ.</w:t>
      </w:r>
    </w:p>
    <w:p w14:paraId="40040000">
      <w:pPr>
        <w:pStyle w:val="Style_2"/>
        <w:widowControl w:val="0"/>
        <w:spacing w:line="240" w:lineRule="auto"/>
        <w:ind w:firstLine="709" w:left="0" w:right="0"/>
        <w:jc w:val="both"/>
        <w:rPr>
          <w:rFonts w:ascii="Times New Roman" w:hAnsi="Times New Roman"/>
        </w:rPr>
      </w:pPr>
      <w:r>
        <w:rPr>
          <w:color w:val="000000"/>
          <w:sz w:val="24"/>
          <w:highlight w:val="white"/>
        </w:rPr>
        <w:t>Н</w:t>
      </w:r>
      <w:r>
        <w:rPr>
          <w:color w:val="000000"/>
          <w:sz w:val="24"/>
        </w:rPr>
        <w:t>е менее значимым направлением развития сферы культуры является повышение уровня оснащенности современной материально-технической базой, что в совокупности с первым показателем положительно отражается на достижении различных значений устанавливаемых индикаторов: количество посещений, число зрителей и участников, удовлетворенность населения услугами.</w:t>
      </w:r>
    </w:p>
    <w:p w14:paraId="41040000">
      <w:pPr>
        <w:pStyle w:val="Style_2"/>
        <w:widowControl w:val="0"/>
        <w:spacing w:line="240" w:lineRule="auto"/>
        <w:ind w:firstLine="709" w:left="0" w:right="0"/>
        <w:jc w:val="both"/>
        <w:rPr>
          <w:rFonts w:ascii="Times New Roman" w:hAnsi="Times New Roman"/>
        </w:rPr>
      </w:pPr>
      <w:r>
        <w:rPr>
          <w:color w:val="000000"/>
          <w:sz w:val="24"/>
        </w:rPr>
        <w:t xml:space="preserve">Вышеуказанные направления отражены в региональных паспортах Национального проекта «Культура». </w:t>
      </w:r>
    </w:p>
    <w:p w14:paraId="42040000">
      <w:pPr>
        <w:pStyle w:val="Style_2"/>
        <w:widowControl w:val="0"/>
        <w:spacing w:line="240" w:lineRule="auto"/>
        <w:ind w:firstLine="709" w:left="0" w:right="0"/>
        <w:jc w:val="both"/>
        <w:rPr>
          <w:rFonts w:ascii="Times New Roman" w:hAnsi="Times New Roman"/>
        </w:rPr>
      </w:pPr>
      <w:r>
        <w:rPr>
          <w:color w:val="000000"/>
          <w:sz w:val="24"/>
        </w:rPr>
        <w:t>Задачи регионального проекта «Культурная среда»:</w:t>
      </w:r>
    </w:p>
    <w:p w14:paraId="43040000">
      <w:pPr>
        <w:pStyle w:val="Style_2"/>
        <w:widowControl w:val="0"/>
        <w:tabs>
          <w:tab w:leader="none" w:pos="708" w:val="clear"/>
          <w:tab w:leader="none" w:pos="1702" w:val="left"/>
        </w:tabs>
        <w:spacing w:after="0" w:before="0" w:line="240" w:lineRule="auto"/>
        <w:ind w:firstLine="0" w:left="709" w:right="0"/>
        <w:contextualSpacing w:val="1"/>
        <w:jc w:val="both"/>
        <w:rPr>
          <w:rFonts w:ascii="Times New Roman" w:hAnsi="Times New Roman"/>
        </w:rPr>
      </w:pPr>
      <w:r>
        <w:rPr>
          <w:color w:val="000000"/>
          <w:sz w:val="24"/>
        </w:rPr>
        <w:t>– </w:t>
      </w:r>
      <w:r>
        <w:rPr>
          <w:color w:val="000000"/>
          <w:sz w:val="24"/>
        </w:rPr>
        <w:t>создание (реконструкция) и капитальный ремонт объектов организаций культуры;</w:t>
      </w:r>
    </w:p>
    <w:p w14:paraId="44040000">
      <w:pPr>
        <w:pStyle w:val="Style_2"/>
        <w:widowControl w:val="0"/>
        <w:tabs>
          <w:tab w:leader="none" w:pos="708" w:val="clear"/>
          <w:tab w:leader="none" w:pos="1702" w:val="left"/>
        </w:tabs>
        <w:spacing w:after="0" w:before="0" w:line="240" w:lineRule="auto"/>
        <w:ind w:firstLine="0" w:left="709" w:right="0"/>
        <w:contextualSpacing w:val="1"/>
        <w:jc w:val="both"/>
        <w:rPr>
          <w:rFonts w:ascii="Times New Roman" w:hAnsi="Times New Roman"/>
        </w:rPr>
      </w:pPr>
      <w:r>
        <w:rPr>
          <w:color w:val="000000"/>
          <w:sz w:val="24"/>
        </w:rPr>
        <w:t>– </w:t>
      </w:r>
      <w:r>
        <w:rPr>
          <w:color w:val="000000"/>
          <w:sz w:val="24"/>
        </w:rPr>
        <w:t xml:space="preserve">оснащение </w:t>
      </w:r>
      <w:r>
        <w:rPr>
          <w:color w:val="000000"/>
          <w:sz w:val="24"/>
        </w:rPr>
        <w:t>учреждений культуры современным оборудованием.</w:t>
      </w:r>
    </w:p>
    <w:p w14:paraId="45040000">
      <w:pPr>
        <w:pStyle w:val="Style_2"/>
        <w:widowControl w:val="0"/>
        <w:spacing w:line="240" w:lineRule="auto"/>
        <w:ind w:firstLine="709" w:left="0" w:right="0"/>
        <w:jc w:val="both"/>
        <w:rPr>
          <w:rFonts w:ascii="Times New Roman" w:hAnsi="Times New Roman"/>
        </w:rPr>
      </w:pPr>
      <w:r>
        <w:rPr>
          <w:color w:val="000000"/>
          <w:sz w:val="24"/>
        </w:rPr>
        <w:t>В 2023 году обновлен парк музыкальных инструментов, приобретены специальное оборудование и расходные материалы для 2 образовательных организаций в сфере культуры и искусства (школ искусств Камчатского края). В предыдущий период (с 2019 по 2021 годы) 5 школ искусств успешно реализовали данное мероприятие. Тем самым создаются условия для повышения качества образования в сфере культуры Камчатского края.</w:t>
      </w:r>
    </w:p>
    <w:p w14:paraId="46040000">
      <w:pPr>
        <w:pStyle w:val="Style_2"/>
        <w:widowControl w:val="0"/>
        <w:spacing w:line="240" w:lineRule="auto"/>
        <w:ind w:firstLine="709" w:left="0" w:right="0"/>
        <w:jc w:val="both"/>
        <w:rPr>
          <w:rFonts w:ascii="Times New Roman" w:hAnsi="Times New Roman"/>
        </w:rPr>
      </w:pPr>
      <w:r>
        <w:rPr>
          <w:color w:val="000000"/>
          <w:sz w:val="24"/>
        </w:rPr>
        <w:t>Кроме этого, в 2023 году капитально отремонтированы 5 детских школ искусств, 9 культурно-досуговых учреждений в сельской местности, 1 муниципальный музей, 1 муниципальная библиотека переоснащена по модельному стандарту, 1 региональный и 1 муниципальный музей оснащены новым современным оборудованием.</w:t>
      </w:r>
    </w:p>
    <w:p w14:paraId="47040000">
      <w:pPr>
        <w:pStyle w:val="Style_2"/>
        <w:widowControl w:val="0"/>
        <w:spacing w:line="240" w:lineRule="auto"/>
        <w:ind w:firstLine="709" w:left="0" w:right="0"/>
        <w:jc w:val="both"/>
        <w:rPr>
          <w:rFonts w:ascii="Times New Roman" w:hAnsi="Times New Roman"/>
        </w:rPr>
      </w:pPr>
      <w:r>
        <w:rPr>
          <w:color w:val="000000"/>
          <w:sz w:val="24"/>
        </w:rPr>
        <w:t>В 2024 году запланировано капитально отремонтировать 1 детскую школу искусств, 4 культурно-досуговых учреждения в сельской местности,  переоснастить 1 муниципальную библиотеку по модельному стандарту, оснастить 1 региональный и 2 муниципальных музея новым современным оборудованием.</w:t>
      </w:r>
    </w:p>
    <w:p w14:paraId="48040000">
      <w:pPr>
        <w:pStyle w:val="Style_2"/>
        <w:widowControl w:val="0"/>
        <w:spacing w:line="240" w:lineRule="auto"/>
        <w:ind w:firstLine="709" w:left="0" w:right="0"/>
        <w:jc w:val="both"/>
        <w:rPr>
          <w:rFonts w:ascii="Times New Roman" w:hAnsi="Times New Roman"/>
        </w:rPr>
      </w:pPr>
      <w:r>
        <w:rPr>
          <w:color w:val="000000"/>
          <w:sz w:val="24"/>
        </w:rPr>
        <w:t>Задачи регионального проекта «Творческие люди»:</w:t>
      </w:r>
    </w:p>
    <w:p w14:paraId="49040000">
      <w:pPr>
        <w:pStyle w:val="Style_2"/>
        <w:widowControl w:val="0"/>
        <w:tabs>
          <w:tab w:leader="none" w:pos="708" w:val="clear"/>
          <w:tab w:leader="none" w:pos="1843" w:val="left"/>
        </w:tabs>
        <w:spacing w:after="0" w:before="0" w:line="240" w:lineRule="auto"/>
        <w:ind w:firstLine="0" w:left="709" w:right="0"/>
        <w:contextualSpacing w:val="1"/>
        <w:jc w:val="both"/>
        <w:rPr>
          <w:rFonts w:ascii="Times New Roman" w:hAnsi="Times New Roman"/>
        </w:rPr>
      </w:pPr>
      <w:r>
        <w:rPr>
          <w:color w:val="000000"/>
          <w:sz w:val="24"/>
        </w:rPr>
        <w:t>– </w:t>
      </w:r>
      <w:r>
        <w:rPr>
          <w:color w:val="000000"/>
          <w:sz w:val="24"/>
        </w:rPr>
        <w:t xml:space="preserve">создание условий для обеспеченности </w:t>
      </w:r>
      <w:r>
        <w:rPr>
          <w:color w:val="000000"/>
          <w:sz w:val="24"/>
        </w:rPr>
        <w:t>учреждений культуры</w:t>
      </w:r>
      <w:r>
        <w:rPr>
          <w:color w:val="000000"/>
          <w:sz w:val="24"/>
        </w:rPr>
        <w:t xml:space="preserve"> профессиональными кадрами (повышение квалификации на базе центров непрерывного образования)</w:t>
      </w:r>
      <w:r>
        <w:rPr>
          <w:color w:val="000000"/>
          <w:sz w:val="24"/>
        </w:rPr>
        <w:t>;</w:t>
      </w:r>
    </w:p>
    <w:p w14:paraId="4A040000">
      <w:pPr>
        <w:pStyle w:val="Style_2"/>
        <w:widowControl w:val="0"/>
        <w:tabs>
          <w:tab w:leader="none" w:pos="708" w:val="clear"/>
          <w:tab w:leader="none" w:pos="1843" w:val="left"/>
        </w:tabs>
        <w:spacing w:after="0" w:before="0" w:line="240" w:lineRule="auto"/>
        <w:ind w:firstLine="0" w:left="709" w:right="0"/>
        <w:contextualSpacing w:val="1"/>
        <w:jc w:val="both"/>
        <w:rPr>
          <w:rFonts w:ascii="Times New Roman" w:hAnsi="Times New Roman"/>
        </w:rPr>
      </w:pPr>
      <w:r>
        <w:rPr>
          <w:color w:val="000000"/>
          <w:sz w:val="24"/>
        </w:rPr>
        <w:t>– </w:t>
      </w:r>
      <w:r>
        <w:rPr>
          <w:color w:val="000000"/>
          <w:sz w:val="24"/>
        </w:rPr>
        <w:t>поддержка творческих инициатив и проектов;</w:t>
      </w:r>
    </w:p>
    <w:p w14:paraId="4B040000">
      <w:pPr>
        <w:pStyle w:val="Style_2"/>
        <w:widowControl w:val="0"/>
        <w:tabs>
          <w:tab w:leader="none" w:pos="708" w:val="clear"/>
          <w:tab w:leader="none" w:pos="1843" w:val="left"/>
        </w:tabs>
        <w:spacing w:after="0" w:before="0" w:line="240" w:lineRule="auto"/>
        <w:ind w:firstLine="0" w:left="709" w:right="0"/>
        <w:contextualSpacing w:val="1"/>
        <w:jc w:val="both"/>
        <w:rPr>
          <w:rFonts w:ascii="Times New Roman" w:hAnsi="Times New Roman"/>
        </w:rPr>
      </w:pPr>
      <w:r>
        <w:rPr>
          <w:color w:val="000000"/>
          <w:sz w:val="24"/>
        </w:rPr>
        <w:t>– </w:t>
      </w:r>
      <w:r>
        <w:rPr>
          <w:color w:val="000000"/>
          <w:sz w:val="24"/>
        </w:rPr>
        <w:t>вовлечение волонтеров в программу «Волонтеры культуры».</w:t>
      </w:r>
    </w:p>
    <w:p w14:paraId="4C040000">
      <w:pPr>
        <w:pStyle w:val="Style_2"/>
        <w:spacing w:line="240" w:lineRule="auto"/>
        <w:ind w:firstLine="709" w:left="0" w:right="0"/>
        <w:jc w:val="both"/>
        <w:rPr>
          <w:rFonts w:ascii="Times New Roman" w:hAnsi="Times New Roman"/>
        </w:rPr>
      </w:pPr>
      <w:r>
        <w:rPr>
          <w:color w:val="000000"/>
          <w:sz w:val="24"/>
        </w:rPr>
        <w:t>Фундаментом для деятельности учреждений культуры является профессиональный кадровый состав учреждений культуры, создание достойных кадров, прошедших повышение квалификации в сфере культуры, в том числе на базе центров непрерывного образования. В 2024 году запланировано повысить квалификацию 144 работникам учреждений культуры.</w:t>
      </w:r>
    </w:p>
    <w:p w14:paraId="4D040000">
      <w:pPr>
        <w:pStyle w:val="Style_2"/>
        <w:widowControl w:val="0"/>
        <w:spacing w:line="240" w:lineRule="auto"/>
        <w:ind w:firstLine="709" w:left="0" w:right="0"/>
        <w:jc w:val="both"/>
        <w:rPr>
          <w:rFonts w:ascii="Times New Roman" w:hAnsi="Times New Roman"/>
        </w:rPr>
      </w:pPr>
      <w:r>
        <w:rPr>
          <w:color w:val="000000"/>
          <w:sz w:val="24"/>
        </w:rPr>
        <w:t xml:space="preserve">С целью поддержки </w:t>
      </w:r>
      <w:r>
        <w:rPr>
          <w:color w:val="000000"/>
          <w:sz w:val="24"/>
        </w:rPr>
        <w:t>творческих инициатив и проектов, повышения престижа профессии оказывается государственная поддержка сельским учреждениям культуры и их работникам. На конкурсной основе ежегодно присуждаются премии двум лучшим сельским учреждениям культуры и четырем их работникам.</w:t>
      </w:r>
    </w:p>
    <w:p w14:paraId="4E040000">
      <w:pPr>
        <w:pStyle w:val="Style_2"/>
        <w:widowControl w:val="0"/>
        <w:spacing w:line="240" w:lineRule="auto"/>
        <w:ind w:firstLine="709" w:left="0" w:right="0"/>
        <w:jc w:val="both"/>
        <w:rPr>
          <w:rFonts w:ascii="Times New Roman" w:hAnsi="Times New Roman"/>
        </w:rPr>
      </w:pPr>
      <w:r>
        <w:rPr>
          <w:color w:val="000000"/>
          <w:sz w:val="24"/>
        </w:rPr>
        <w:t>Задачи регионального проекта «Цифровая культура»:</w:t>
      </w:r>
    </w:p>
    <w:p w14:paraId="4F040000">
      <w:pPr>
        <w:pStyle w:val="Style_2"/>
        <w:widowControl w:val="0"/>
        <w:spacing w:line="240" w:lineRule="auto"/>
        <w:ind w:firstLine="709" w:left="0" w:right="0"/>
        <w:jc w:val="both"/>
        <w:rPr>
          <w:rFonts w:ascii="Times New Roman" w:hAnsi="Times New Roman"/>
        </w:rPr>
      </w:pPr>
      <w:r>
        <w:rPr>
          <w:color w:val="000000"/>
          <w:sz w:val="24"/>
        </w:rPr>
        <w:t>– </w:t>
      </w:r>
      <w:r>
        <w:rPr>
          <w:color w:val="000000"/>
          <w:sz w:val="24"/>
        </w:rPr>
        <w:t>обеспечение доступа граждан к электронным ресурсам в сфере культуры;</w:t>
      </w:r>
    </w:p>
    <w:p w14:paraId="50040000">
      <w:pPr>
        <w:pStyle w:val="Style_2"/>
        <w:widowControl w:val="0"/>
        <w:spacing w:line="240" w:lineRule="auto"/>
        <w:ind w:firstLine="709" w:left="0" w:right="0"/>
        <w:jc w:val="both"/>
        <w:rPr>
          <w:rFonts w:ascii="Times New Roman" w:hAnsi="Times New Roman"/>
        </w:rPr>
      </w:pPr>
      <w:r>
        <w:rPr>
          <w:color w:val="000000"/>
          <w:sz w:val="24"/>
        </w:rPr>
        <w:t>– </w:t>
      </w:r>
      <w:r>
        <w:rPr>
          <w:color w:val="000000"/>
          <w:sz w:val="24"/>
        </w:rPr>
        <w:t>создание необходимых условий для активизации инновационной деятельности в сфере культуры в Камчатском крае;</w:t>
      </w:r>
    </w:p>
    <w:p w14:paraId="51040000">
      <w:pPr>
        <w:pStyle w:val="Style_2"/>
        <w:widowControl w:val="0"/>
        <w:spacing w:line="240" w:lineRule="auto"/>
        <w:ind w:firstLine="709" w:left="0" w:right="0"/>
        <w:jc w:val="both"/>
        <w:rPr>
          <w:rFonts w:ascii="Times New Roman" w:hAnsi="Times New Roman"/>
        </w:rPr>
      </w:pPr>
      <w:r>
        <w:rPr>
          <w:color w:val="000000"/>
          <w:sz w:val="24"/>
        </w:rPr>
        <w:t>– </w:t>
      </w:r>
      <w:r>
        <w:rPr>
          <w:color w:val="000000"/>
          <w:sz w:val="24"/>
        </w:rPr>
        <w:t>повышение эффективности информатизации в сфере культуры;</w:t>
      </w:r>
    </w:p>
    <w:p w14:paraId="52040000">
      <w:pPr>
        <w:pStyle w:val="Style_2"/>
        <w:widowControl w:val="0"/>
        <w:spacing w:line="240" w:lineRule="auto"/>
        <w:ind w:firstLine="709" w:left="0" w:right="0"/>
        <w:jc w:val="both"/>
        <w:rPr>
          <w:rFonts w:ascii="Times New Roman" w:hAnsi="Times New Roman"/>
        </w:rPr>
      </w:pPr>
      <w:r>
        <w:rPr>
          <w:color w:val="000000"/>
          <w:sz w:val="24"/>
        </w:rPr>
        <w:t>– </w:t>
      </w:r>
      <w:r>
        <w:rPr>
          <w:color w:val="000000"/>
          <w:sz w:val="24"/>
        </w:rPr>
        <w:t>развитие единого информационного портала культуры Камчатского края;</w:t>
      </w:r>
    </w:p>
    <w:p w14:paraId="53040000">
      <w:pPr>
        <w:pStyle w:val="Style_2"/>
        <w:widowControl w:val="0"/>
        <w:spacing w:line="240" w:lineRule="auto"/>
        <w:ind w:firstLine="709" w:left="0" w:right="0"/>
        <w:jc w:val="both"/>
        <w:rPr>
          <w:rFonts w:ascii="Times New Roman" w:hAnsi="Times New Roman"/>
        </w:rPr>
      </w:pPr>
      <w:r>
        <w:rPr>
          <w:color w:val="000000"/>
          <w:sz w:val="24"/>
        </w:rPr>
        <w:t>– </w:t>
      </w:r>
      <w:r>
        <w:rPr>
          <w:color w:val="000000"/>
          <w:sz w:val="24"/>
        </w:rPr>
        <w:t>рост числа посещений сайтов учреждений культуры.</w:t>
      </w:r>
    </w:p>
    <w:p w14:paraId="54040000">
      <w:pPr>
        <w:pStyle w:val="Style_2"/>
        <w:widowControl w:val="0"/>
        <w:spacing w:line="240" w:lineRule="auto"/>
        <w:ind w:firstLine="709" w:left="0" w:right="0"/>
        <w:jc w:val="both"/>
        <w:rPr>
          <w:rFonts w:ascii="Times New Roman" w:hAnsi="Times New Roman"/>
        </w:rPr>
      </w:pPr>
      <w:r>
        <w:rPr>
          <w:color w:val="000000"/>
          <w:sz w:val="24"/>
          <w:highlight w:val="white"/>
        </w:rPr>
        <w:t xml:space="preserve">Цифровизация в сфере культуры должна обеспечить активное вовлечение в целевую аудиторию учреждений культуры нового поколения, ориентированного в основном на цифровой формат восприятия информации. </w:t>
      </w:r>
    </w:p>
    <w:p w14:paraId="55040000">
      <w:pPr>
        <w:pStyle w:val="Style_2"/>
        <w:widowControl w:val="0"/>
        <w:spacing w:line="240" w:lineRule="auto"/>
        <w:ind w:firstLine="709" w:left="0" w:right="0"/>
        <w:jc w:val="both"/>
        <w:rPr>
          <w:rFonts w:ascii="Times New Roman" w:hAnsi="Times New Roman"/>
        </w:rPr>
      </w:pPr>
      <w:r>
        <w:rPr>
          <w:color w:val="000000"/>
          <w:sz w:val="24"/>
          <w:highlight w:val="white"/>
        </w:rPr>
        <w:t>На данное направление и нацелен регион при реализации мероприятий по развитию цифрового контента в сфере культуры, выражающееся в следующем:</w:t>
      </w:r>
    </w:p>
    <w:p w14:paraId="56040000">
      <w:pPr>
        <w:pStyle w:val="Style_2"/>
        <w:widowControl w:val="0"/>
        <w:spacing w:line="240" w:lineRule="auto"/>
        <w:ind w:firstLine="709" w:left="0" w:right="0"/>
        <w:jc w:val="both"/>
        <w:rPr>
          <w:rFonts w:ascii="Times New Roman" w:hAnsi="Times New Roman"/>
        </w:rPr>
      </w:pPr>
      <w:r>
        <w:rPr>
          <w:color w:val="000000"/>
          <w:sz w:val="24"/>
        </w:rPr>
        <w:t>– </w:t>
      </w:r>
      <w:r>
        <w:rPr>
          <w:color w:val="000000"/>
          <w:sz w:val="24"/>
        </w:rPr>
        <w:t>внедрение информационных систем учета посетителей учреждений культуры и продажи билетов;</w:t>
      </w:r>
    </w:p>
    <w:p w14:paraId="57040000">
      <w:pPr>
        <w:pStyle w:val="Style_2"/>
        <w:widowControl w:val="0"/>
        <w:spacing w:line="240" w:lineRule="auto"/>
        <w:ind w:firstLine="709" w:left="0" w:right="0"/>
        <w:jc w:val="both"/>
        <w:rPr>
          <w:rFonts w:ascii="Times New Roman" w:hAnsi="Times New Roman"/>
        </w:rPr>
      </w:pPr>
      <w:r>
        <w:rPr>
          <w:color w:val="000000"/>
          <w:sz w:val="24"/>
        </w:rPr>
        <w:t>– </w:t>
      </w:r>
      <w:r>
        <w:rPr>
          <w:color w:val="000000"/>
          <w:sz w:val="24"/>
        </w:rPr>
        <w:t>оцифровка культурного наследия;</w:t>
      </w:r>
    </w:p>
    <w:p w14:paraId="58040000">
      <w:pPr>
        <w:pStyle w:val="Style_2"/>
        <w:widowControl w:val="0"/>
        <w:spacing w:line="240" w:lineRule="auto"/>
        <w:ind w:firstLine="709" w:left="0" w:right="0"/>
        <w:jc w:val="both"/>
        <w:rPr>
          <w:rFonts w:ascii="Times New Roman" w:hAnsi="Times New Roman"/>
        </w:rPr>
      </w:pPr>
      <w:r>
        <w:rPr>
          <w:color w:val="000000"/>
          <w:sz w:val="24"/>
        </w:rPr>
        <w:t>– </w:t>
      </w:r>
      <w:r>
        <w:rPr>
          <w:color w:val="000000"/>
          <w:sz w:val="24"/>
        </w:rPr>
        <w:t>формирование электронных баз данных;</w:t>
      </w:r>
    </w:p>
    <w:p w14:paraId="59040000">
      <w:pPr>
        <w:pStyle w:val="Style_2"/>
        <w:widowControl w:val="0"/>
        <w:spacing w:line="240" w:lineRule="auto"/>
        <w:ind w:firstLine="709" w:left="0" w:right="0"/>
        <w:jc w:val="both"/>
        <w:rPr>
          <w:rFonts w:ascii="Times New Roman" w:hAnsi="Times New Roman"/>
        </w:rPr>
      </w:pPr>
      <w:r>
        <w:rPr>
          <w:color w:val="000000"/>
          <w:sz w:val="24"/>
        </w:rPr>
        <w:t>– </w:t>
      </w:r>
      <w:r>
        <w:rPr>
          <w:color w:val="000000"/>
          <w:sz w:val="24"/>
        </w:rPr>
        <w:t>формирование единого информационного пространства;</w:t>
      </w:r>
    </w:p>
    <w:p w14:paraId="5A040000">
      <w:pPr>
        <w:pStyle w:val="Style_2"/>
        <w:widowControl w:val="0"/>
        <w:spacing w:line="240" w:lineRule="auto"/>
        <w:ind w:firstLine="709" w:left="0" w:right="0"/>
        <w:jc w:val="both"/>
        <w:rPr>
          <w:rFonts w:ascii="Times New Roman" w:hAnsi="Times New Roman"/>
        </w:rPr>
      </w:pPr>
      <w:r>
        <w:rPr>
          <w:color w:val="000000"/>
          <w:sz w:val="24"/>
        </w:rPr>
        <w:t>– </w:t>
      </w:r>
      <w:r>
        <w:rPr>
          <w:color w:val="000000"/>
          <w:sz w:val="24"/>
        </w:rPr>
        <w:t>увеличение доли информационных ресурсов о культуре в сети Интернет и повышение их эффективности;</w:t>
      </w:r>
    </w:p>
    <w:p w14:paraId="5B040000">
      <w:pPr>
        <w:pStyle w:val="Style_2"/>
        <w:widowControl w:val="0"/>
        <w:spacing w:line="240" w:lineRule="auto"/>
        <w:ind w:firstLine="709" w:left="0" w:right="0"/>
        <w:jc w:val="both"/>
        <w:rPr>
          <w:rFonts w:ascii="Times New Roman" w:hAnsi="Times New Roman"/>
        </w:rPr>
      </w:pPr>
      <w:r>
        <w:rPr>
          <w:color w:val="000000"/>
          <w:sz w:val="24"/>
        </w:rPr>
        <w:t>– </w:t>
      </w:r>
      <w:r>
        <w:rPr>
          <w:color w:val="000000"/>
          <w:sz w:val="24"/>
        </w:rPr>
        <w:t>развитие единого информационного портала культуры Камчатского края и т.д.</w:t>
      </w:r>
    </w:p>
    <w:p w14:paraId="5C040000">
      <w:pPr>
        <w:pStyle w:val="Style_2"/>
        <w:widowControl w:val="0"/>
        <w:spacing w:line="240" w:lineRule="auto"/>
        <w:ind w:firstLine="709" w:left="0" w:right="0"/>
        <w:jc w:val="both"/>
        <w:rPr>
          <w:rFonts w:ascii="Times New Roman" w:hAnsi="Times New Roman"/>
        </w:rPr>
      </w:pPr>
      <w:r>
        <w:rPr>
          <w:color w:val="000000"/>
          <w:sz w:val="24"/>
        </w:rPr>
        <w:t xml:space="preserve">В отдельное направление выделено мероприятие по созданию </w:t>
      </w:r>
      <w:r>
        <w:rPr>
          <w:color w:val="000000"/>
          <w:sz w:val="24"/>
          <w:highlight w:val="white"/>
        </w:rPr>
        <w:t xml:space="preserve">виртуальных концертных залов, реализация которого позволит расширить географию услуг в сфере культуры и приобщить жителей отдаленных муниципальных образований к концертной жизни. </w:t>
      </w:r>
    </w:p>
    <w:p w14:paraId="5D040000">
      <w:pPr>
        <w:pStyle w:val="Style_2"/>
        <w:widowControl w:val="0"/>
        <w:spacing w:line="240" w:lineRule="auto"/>
        <w:ind w:firstLine="709" w:left="0" w:right="0"/>
        <w:jc w:val="both"/>
        <w:rPr>
          <w:rFonts w:ascii="Times New Roman" w:hAnsi="Times New Roman"/>
        </w:rPr>
      </w:pPr>
      <w:r>
        <w:rPr>
          <w:color w:val="000000"/>
          <w:sz w:val="24"/>
        </w:rPr>
        <w:t>В 2024</w:t>
      </w:r>
      <w:r>
        <w:rPr>
          <w:color w:val="000000"/>
          <w:sz w:val="24"/>
        </w:rPr>
        <w:t>–</w:t>
      </w:r>
      <w:r>
        <w:rPr>
          <w:color w:val="000000"/>
          <w:sz w:val="24"/>
        </w:rPr>
        <w:t>2025 годах будет продолжена модернизация материально-технической базы Камчатского театра драмы и комедии, а также Камчатского театра кукол.</w:t>
      </w:r>
    </w:p>
    <w:p w14:paraId="5E040000">
      <w:pPr>
        <w:pStyle w:val="Style_2"/>
        <w:widowControl w:val="0"/>
        <w:spacing w:line="240" w:lineRule="auto"/>
        <w:ind w:firstLine="709" w:left="0" w:right="0"/>
        <w:jc w:val="both"/>
        <w:rPr>
          <w:rFonts w:ascii="Times New Roman" w:hAnsi="Times New Roman"/>
        </w:rPr>
      </w:pPr>
      <w:r>
        <w:rPr>
          <w:color w:val="000000"/>
          <w:sz w:val="24"/>
        </w:rPr>
        <w:t>В рамках отдельных мероприятий, в том числе с участием средств федерального бюджета, будет систематически обновляться материально-техническая база учреждений культуры и учреждений дополнительного образования в сфере культуры.</w:t>
      </w:r>
    </w:p>
    <w:p w14:paraId="5F040000">
      <w:pPr>
        <w:pStyle w:val="Style_2"/>
        <w:widowControl w:val="0"/>
        <w:spacing w:line="240" w:lineRule="auto"/>
        <w:ind w:firstLine="709" w:left="0" w:right="0"/>
        <w:jc w:val="both"/>
        <w:rPr>
          <w:rFonts w:ascii="Times New Roman" w:hAnsi="Times New Roman"/>
        </w:rPr>
      </w:pPr>
      <w:r>
        <w:rPr>
          <w:color w:val="000000"/>
          <w:sz w:val="24"/>
        </w:rPr>
        <w:t>На 2025</w:t>
      </w:r>
      <w:r>
        <w:rPr>
          <w:color w:val="000000"/>
          <w:sz w:val="24"/>
        </w:rPr>
        <w:t>–</w:t>
      </w:r>
      <w:r>
        <w:rPr>
          <w:color w:val="000000"/>
          <w:sz w:val="24"/>
        </w:rPr>
        <w:t>2027 годах запланировано строительство здания Музея воинской славы Камчатского края. Расходы на строительство составят 3,654 млрд рублей, в том числе софинансирование из федерального бюджета в размере 3,308 млрд рублей. Проект получил положительное заключение государственной экспертизы, общая площадь здания составит 7 075,2 кв. м, мощность – 500 посещений в день, одновременно в здании могут находиться 200 человек.</w:t>
      </w:r>
    </w:p>
    <w:p w14:paraId="60040000">
      <w:pPr>
        <w:pStyle w:val="Style_2"/>
        <w:widowControl w:val="0"/>
        <w:spacing w:line="240" w:lineRule="auto"/>
        <w:ind w:firstLine="709" w:left="0" w:right="0"/>
        <w:jc w:val="both"/>
        <w:rPr>
          <w:rFonts w:ascii="Times New Roman" w:hAnsi="Times New Roman"/>
        </w:rPr>
      </w:pPr>
      <w:r>
        <w:rPr>
          <w:color w:val="000000"/>
          <w:sz w:val="24"/>
        </w:rPr>
        <w:t>Без внимания не остается и традиционная культура. Ежегодное субсидирование за счет средств федерального и краевого бюджетов позволяет этноцентрам и учреждениям культуры, при которых действуют национальные клубные формирования и коллективы, пополнить материальную базу национальными костюмами, национальными музыкальными инструментами, а творческим объединениям мастеров, мастерским народных художественных промыслов и ремесел Камчатского края приобрести сырье, материалы, оборудование и необходимую фурнитуру для осуществления деятельности.</w:t>
      </w:r>
    </w:p>
    <w:p w14:paraId="61040000">
      <w:pPr>
        <w:pStyle w:val="Style_2"/>
        <w:widowControl w:val="0"/>
        <w:spacing w:line="240" w:lineRule="auto"/>
        <w:ind w:firstLine="709" w:left="0" w:right="0"/>
        <w:jc w:val="both"/>
        <w:rPr>
          <w:rFonts w:ascii="Times New Roman" w:hAnsi="Times New Roman"/>
        </w:rPr>
      </w:pPr>
      <w:r>
        <w:rPr>
          <w:color w:val="000000"/>
          <w:sz w:val="24"/>
        </w:rPr>
        <w:t>Также оказывается финансовая помощь с целью реализации мероприятий, направленных на сохранение и развитие традиционной культуры КМНС, а именно:</w:t>
      </w:r>
    </w:p>
    <w:p w14:paraId="62040000">
      <w:pPr>
        <w:pStyle w:val="Style_2"/>
        <w:widowControl w:val="0"/>
        <w:spacing w:line="240" w:lineRule="auto"/>
        <w:ind w:firstLine="709" w:left="0" w:right="0"/>
        <w:jc w:val="both"/>
        <w:rPr>
          <w:rFonts w:ascii="Times New Roman" w:hAnsi="Times New Roman"/>
        </w:rPr>
      </w:pPr>
      <w:r>
        <w:rPr>
          <w:color w:val="000000"/>
          <w:sz w:val="24"/>
        </w:rPr>
        <w:t>– </w:t>
      </w:r>
      <w:r>
        <w:rPr>
          <w:color w:val="000000"/>
          <w:sz w:val="24"/>
        </w:rPr>
        <w:t>для организации и проведения традиционных национальных праздников коренных малочисленных народов Севера, Сибири и Дальнего Востока, проживающих в Камчатском крае;</w:t>
      </w:r>
    </w:p>
    <w:p w14:paraId="63040000">
      <w:pPr>
        <w:pStyle w:val="Style_2"/>
        <w:widowControl w:val="0"/>
        <w:spacing w:line="240" w:lineRule="auto"/>
        <w:ind w:firstLine="709" w:left="0" w:right="0"/>
        <w:jc w:val="both"/>
        <w:rPr>
          <w:rFonts w:ascii="Times New Roman" w:hAnsi="Times New Roman"/>
        </w:rPr>
      </w:pPr>
      <w:r>
        <w:rPr>
          <w:color w:val="000000"/>
          <w:sz w:val="24"/>
        </w:rPr>
        <w:t>– </w:t>
      </w:r>
      <w:r>
        <w:rPr>
          <w:color w:val="000000"/>
          <w:sz w:val="24"/>
        </w:rPr>
        <w:t>обеспечения участия национальных творческих коллективов и мастеров декоративно-прикладного искусства в региональных, всероссийских и международных фестивалях, смотрах, конкурсах, выставках-ярмарках.</w:t>
      </w:r>
    </w:p>
    <w:p w14:paraId="64040000">
      <w:pPr>
        <w:pStyle w:val="Style_2"/>
        <w:widowControl w:val="0"/>
        <w:spacing w:line="240" w:lineRule="auto"/>
        <w:ind w:firstLine="709" w:left="0" w:right="0"/>
        <w:jc w:val="both"/>
        <w:rPr>
          <w:rFonts w:ascii="Times New Roman" w:hAnsi="Times New Roman"/>
          <w:color w:val="632523"/>
        </w:rPr>
      </w:pPr>
    </w:p>
    <w:p w14:paraId="65040000">
      <w:pPr>
        <w:pStyle w:val="Style_2"/>
        <w:widowControl w:val="0"/>
        <w:spacing w:line="240" w:lineRule="auto"/>
        <w:ind/>
        <w:rPr>
          <w:rFonts w:ascii="Times New Roman" w:hAnsi="Times New Roman"/>
        </w:rPr>
      </w:pPr>
      <w:r>
        <w:rPr>
          <w:b w:val="1"/>
          <w:color w:val="000000"/>
          <w:sz w:val="24"/>
        </w:rPr>
        <w:t>16. Образование</w:t>
      </w:r>
    </w:p>
    <w:p w14:paraId="66040000">
      <w:pPr>
        <w:pStyle w:val="Style_2"/>
        <w:spacing w:line="240" w:lineRule="auto"/>
        <w:ind w:firstLine="709" w:left="0" w:right="0"/>
        <w:jc w:val="both"/>
        <w:rPr>
          <w:rFonts w:ascii="Times New Roman" w:hAnsi="Times New Roman"/>
        </w:rPr>
      </w:pPr>
      <w:r>
        <w:rPr>
          <w:color w:val="000000"/>
          <w:sz w:val="24"/>
        </w:rPr>
        <w:t>В Камчатском крае программу дошкольного образования реализуют 140 муниципальных и государственных образовательных учреждений, в числе которых:</w:t>
      </w:r>
    </w:p>
    <w:p w14:paraId="67040000">
      <w:pPr>
        <w:pStyle w:val="Style_2"/>
        <w:spacing w:line="240" w:lineRule="auto"/>
        <w:ind w:firstLine="709" w:left="0" w:right="0"/>
        <w:jc w:val="both"/>
        <w:rPr>
          <w:rFonts w:ascii="Times New Roman" w:hAnsi="Times New Roman"/>
        </w:rPr>
      </w:pPr>
      <w:r>
        <w:rPr>
          <w:color w:val="000000"/>
          <w:sz w:val="24"/>
        </w:rPr>
        <w:t xml:space="preserve">– </w:t>
      </w:r>
      <w:r>
        <w:rPr>
          <w:color w:val="000000"/>
          <w:sz w:val="24"/>
        </w:rPr>
        <w:t>101 муниципальная дошкольная образовательная организация;</w:t>
      </w:r>
    </w:p>
    <w:p w14:paraId="68040000">
      <w:pPr>
        <w:pStyle w:val="Style_2"/>
        <w:spacing w:line="240" w:lineRule="auto"/>
        <w:ind w:firstLine="709" w:left="0" w:right="0"/>
        <w:jc w:val="both"/>
        <w:rPr>
          <w:rFonts w:ascii="Times New Roman" w:hAnsi="Times New Roman"/>
        </w:rPr>
      </w:pPr>
      <w:r>
        <w:rPr>
          <w:color w:val="000000"/>
          <w:sz w:val="24"/>
        </w:rPr>
        <w:t xml:space="preserve">– </w:t>
      </w:r>
      <w:r>
        <w:rPr>
          <w:color w:val="000000"/>
          <w:sz w:val="24"/>
        </w:rPr>
        <w:t>39 организаций, реализующих программу дошкольного образования.</w:t>
      </w:r>
    </w:p>
    <w:p w14:paraId="69040000">
      <w:pPr>
        <w:pStyle w:val="Style_2"/>
        <w:spacing w:line="240" w:lineRule="auto"/>
        <w:ind w:firstLine="709" w:left="0" w:right="0"/>
        <w:jc w:val="both"/>
        <w:rPr>
          <w:rFonts w:ascii="Times New Roman" w:hAnsi="Times New Roman"/>
        </w:rPr>
      </w:pPr>
      <w:r>
        <w:rPr>
          <w:color w:val="000000"/>
          <w:sz w:val="24"/>
        </w:rPr>
        <w:t>1 негосударственная дошкольная организация и 14 индивидуальных предпринимателей осуществляют присмотр и уход за детьми дошкольного возраста по 19 адресам, из которых 6 индивидуальных предпринимателей и 1 негосударственная организация имеют лицензию на образовательную деятельность по 9 адресам.</w:t>
      </w:r>
    </w:p>
    <w:p w14:paraId="6A040000">
      <w:pPr>
        <w:pStyle w:val="Style_2"/>
        <w:spacing w:line="240" w:lineRule="auto"/>
        <w:ind w:firstLine="709" w:left="0" w:right="0"/>
        <w:jc w:val="both"/>
        <w:rPr>
          <w:rFonts w:ascii="Times New Roman" w:hAnsi="Times New Roman"/>
        </w:rPr>
      </w:pPr>
      <w:r>
        <w:rPr>
          <w:color w:val="000000"/>
          <w:sz w:val="24"/>
        </w:rPr>
        <w:t>Общее количество детей дошкольного возраста, проживающих на территории Камчатского края, составляет 20 521 человек. Охват детей программами дошкольного образования и (или) присмотром и уходом за детьми дошкольного возраста в Камчатском крае составляет 78,36% (17 647 человек):</w:t>
      </w:r>
    </w:p>
    <w:p w14:paraId="6B040000">
      <w:pPr>
        <w:pStyle w:val="Style_2"/>
        <w:spacing w:line="240" w:lineRule="auto"/>
        <w:ind w:firstLine="709" w:left="0" w:right="0"/>
        <w:jc w:val="both"/>
        <w:rPr>
          <w:rFonts w:ascii="Times New Roman" w:hAnsi="Times New Roman"/>
        </w:rPr>
      </w:pPr>
      <w:r>
        <w:rPr>
          <w:color w:val="000000"/>
          <w:sz w:val="24"/>
        </w:rPr>
        <w:t xml:space="preserve">– </w:t>
      </w:r>
      <w:r>
        <w:rPr>
          <w:color w:val="000000"/>
          <w:sz w:val="24"/>
        </w:rPr>
        <w:t>от 0 до 3 лет – 2 838 человек;</w:t>
      </w:r>
    </w:p>
    <w:p w14:paraId="6C040000">
      <w:pPr>
        <w:pStyle w:val="Style_2"/>
        <w:spacing w:line="240" w:lineRule="auto"/>
        <w:ind w:firstLine="709" w:left="0" w:right="0"/>
        <w:jc w:val="both"/>
        <w:rPr>
          <w:rFonts w:ascii="Times New Roman" w:hAnsi="Times New Roman"/>
        </w:rPr>
      </w:pPr>
      <w:r>
        <w:rPr>
          <w:color w:val="000000"/>
          <w:sz w:val="24"/>
        </w:rPr>
        <w:t xml:space="preserve">– </w:t>
      </w:r>
      <w:r>
        <w:rPr>
          <w:color w:val="000000"/>
          <w:sz w:val="24"/>
        </w:rPr>
        <w:t>от 3 до 7 лет – 13 481 человек;</w:t>
      </w:r>
    </w:p>
    <w:p w14:paraId="6D040000">
      <w:pPr>
        <w:pStyle w:val="Style_2"/>
        <w:spacing w:line="240" w:lineRule="auto"/>
        <w:ind w:firstLine="709" w:left="0" w:right="0"/>
        <w:jc w:val="both"/>
        <w:rPr>
          <w:rFonts w:ascii="Times New Roman" w:hAnsi="Times New Roman"/>
        </w:rPr>
      </w:pPr>
      <w:r>
        <w:rPr>
          <w:color w:val="000000"/>
          <w:sz w:val="24"/>
        </w:rPr>
        <w:t xml:space="preserve">– </w:t>
      </w:r>
      <w:r>
        <w:rPr>
          <w:color w:val="000000"/>
          <w:sz w:val="24"/>
        </w:rPr>
        <w:t>в возрасте от 7 лет и старше – 1 328 человек;</w:t>
      </w:r>
    </w:p>
    <w:p w14:paraId="6E040000">
      <w:pPr>
        <w:pStyle w:val="Style_2"/>
        <w:spacing w:line="240" w:lineRule="auto"/>
        <w:ind w:firstLine="709" w:left="0" w:right="0"/>
        <w:jc w:val="both"/>
        <w:rPr>
          <w:rFonts w:ascii="Times New Roman" w:hAnsi="Times New Roman"/>
        </w:rPr>
      </w:pPr>
      <w:r>
        <w:rPr>
          <w:color w:val="000000"/>
          <w:sz w:val="24"/>
        </w:rPr>
        <w:t>119 детям предоставляются услуги по присмотру и уходу за детьми дошкольного возраста индивидуальными предпринимателями.</w:t>
      </w:r>
    </w:p>
    <w:p w14:paraId="6F040000">
      <w:pPr>
        <w:pStyle w:val="Style_2"/>
        <w:spacing w:line="240" w:lineRule="auto"/>
        <w:ind w:firstLine="709" w:left="0" w:right="0"/>
        <w:jc w:val="both"/>
        <w:rPr>
          <w:rFonts w:ascii="Times New Roman" w:hAnsi="Times New Roman"/>
        </w:rPr>
      </w:pPr>
      <w:r>
        <w:rPr>
          <w:color w:val="000000"/>
          <w:sz w:val="24"/>
        </w:rPr>
        <w:t>Численность детей в возрасте от 0 до 7 лет, зарегистрированных в очереди на получение места в детском саду, составляет 4 803 человека (21,33% от общей численности детей), актуальный спрос отсутствует.</w:t>
      </w:r>
    </w:p>
    <w:p w14:paraId="70040000">
      <w:pPr>
        <w:pStyle w:val="Style_2"/>
        <w:spacing w:line="240" w:lineRule="auto"/>
        <w:ind w:firstLine="709" w:left="0" w:right="0"/>
        <w:jc w:val="both"/>
        <w:rPr>
          <w:rFonts w:ascii="Times New Roman" w:hAnsi="Times New Roman"/>
        </w:rPr>
      </w:pPr>
      <w:r>
        <w:rPr>
          <w:color w:val="000000"/>
          <w:sz w:val="24"/>
        </w:rPr>
        <w:t>В рамках реализации мероприятий планов социального развития центров экономического роста (Единая Президентская субсидия) в регионе в 2023 году завершено строительство детского сада по ул. Вилюйская, 60 в г. Пет</w:t>
      </w:r>
      <w:r>
        <w:rPr>
          <w:color w:val="000000"/>
          <w:sz w:val="24"/>
        </w:rPr>
        <w:t>ропавловске-Камчатском на 160 мест.</w:t>
      </w:r>
    </w:p>
    <w:p w14:paraId="71040000">
      <w:pPr>
        <w:pStyle w:val="Style_2"/>
        <w:spacing w:line="240" w:lineRule="auto"/>
        <w:ind w:firstLine="709" w:left="0" w:right="0"/>
        <w:jc w:val="both"/>
        <w:rPr>
          <w:rFonts w:ascii="Times New Roman" w:hAnsi="Times New Roman"/>
        </w:rPr>
      </w:pPr>
      <w:r>
        <w:rPr>
          <w:color w:val="000000"/>
          <w:sz w:val="24"/>
        </w:rPr>
        <w:t>В рамках программы капитального ремонта дошкольных организаций, запланированной на федеральном уровне начиная с 2025 года, Камчатский край готовится заявить на участие 10 детских садов.</w:t>
      </w:r>
    </w:p>
    <w:p w14:paraId="72040000">
      <w:pPr>
        <w:pStyle w:val="Style_2"/>
        <w:spacing w:line="240" w:lineRule="auto"/>
        <w:ind w:firstLine="709" w:left="0" w:right="0"/>
        <w:jc w:val="both"/>
        <w:rPr>
          <w:rFonts w:ascii="Times New Roman" w:hAnsi="Times New Roman"/>
        </w:rPr>
      </w:pPr>
      <w:r>
        <w:rPr>
          <w:color w:val="000000"/>
          <w:sz w:val="24"/>
        </w:rPr>
        <w:t>В 2023 году региональная сеть общеобразовательных организаций представлена 120 учреждениями, из них:</w:t>
      </w:r>
    </w:p>
    <w:p w14:paraId="73040000">
      <w:pPr>
        <w:pStyle w:val="Style_2"/>
        <w:spacing w:line="240" w:lineRule="auto"/>
        <w:ind w:firstLine="709" w:left="0" w:right="0"/>
        <w:jc w:val="both"/>
        <w:rPr>
          <w:rFonts w:ascii="Times New Roman" w:hAnsi="Times New Roman"/>
        </w:rPr>
      </w:pPr>
      <w:r>
        <w:rPr>
          <w:color w:val="000000"/>
          <w:sz w:val="24"/>
        </w:rPr>
        <w:t xml:space="preserve">– </w:t>
      </w:r>
      <w:r>
        <w:rPr>
          <w:color w:val="000000"/>
          <w:sz w:val="24"/>
        </w:rPr>
        <w:t>муниципальные – 105;</w:t>
      </w:r>
    </w:p>
    <w:p w14:paraId="74040000">
      <w:pPr>
        <w:pStyle w:val="Style_2"/>
        <w:spacing w:line="240" w:lineRule="auto"/>
        <w:ind w:firstLine="709" w:left="0" w:right="0"/>
        <w:jc w:val="both"/>
        <w:rPr>
          <w:rFonts w:ascii="Times New Roman" w:hAnsi="Times New Roman"/>
        </w:rPr>
      </w:pPr>
      <w:r>
        <w:rPr>
          <w:color w:val="000000"/>
          <w:sz w:val="24"/>
        </w:rPr>
        <w:t xml:space="preserve">– </w:t>
      </w:r>
      <w:r>
        <w:rPr>
          <w:color w:val="000000"/>
          <w:sz w:val="24"/>
        </w:rPr>
        <w:t>краевые – 15.</w:t>
      </w:r>
    </w:p>
    <w:p w14:paraId="75040000">
      <w:pPr>
        <w:pStyle w:val="Style_2"/>
        <w:spacing w:line="240" w:lineRule="auto"/>
        <w:ind w:firstLine="709" w:left="0" w:right="0"/>
        <w:jc w:val="both"/>
        <w:rPr>
          <w:rFonts w:ascii="Times New Roman" w:hAnsi="Times New Roman"/>
        </w:rPr>
      </w:pPr>
      <w:r>
        <w:rPr>
          <w:color w:val="000000"/>
          <w:sz w:val="24"/>
        </w:rPr>
        <w:t>Создание условий для получения гражданами Камчатского края общего образования осуществляется с учетом демографической ситуации, территориальной доступности и образовательных потребностей детей и их родителей.</w:t>
      </w:r>
    </w:p>
    <w:p w14:paraId="76040000">
      <w:pPr>
        <w:pStyle w:val="Style_2"/>
        <w:spacing w:line="240" w:lineRule="auto"/>
        <w:ind w:firstLine="709" w:left="0" w:right="0"/>
        <w:jc w:val="both"/>
        <w:rPr>
          <w:rFonts w:ascii="Times New Roman" w:hAnsi="Times New Roman"/>
        </w:rPr>
      </w:pPr>
      <w:r>
        <w:rPr>
          <w:color w:val="000000"/>
          <w:sz w:val="24"/>
        </w:rPr>
        <w:t>Численность обучающихся в общеобразовательных организациях Камчатского края в 2023-2024 учебном году выросла на 271 человека. На ступени начального общего образования обучается 15 942 человека, основного общего – 18 366 человек, среднего общего – 3 302 человека, по программам образования обучающихся с умственной отсталостью (интеллектуальными нарушениями) – 535 человек.</w:t>
      </w:r>
    </w:p>
    <w:p w14:paraId="77040000">
      <w:pPr>
        <w:pStyle w:val="Style_2"/>
        <w:spacing w:line="240" w:lineRule="auto"/>
        <w:ind w:firstLine="709" w:left="0" w:right="0"/>
        <w:jc w:val="both"/>
        <w:rPr>
          <w:rFonts w:ascii="Times New Roman" w:hAnsi="Times New Roman"/>
        </w:rPr>
      </w:pPr>
      <w:r>
        <w:rPr>
          <w:color w:val="000000"/>
          <w:sz w:val="24"/>
        </w:rPr>
        <w:t>В 2023-2024 учебном году с учетом действующих санитарно-эпидемиологических норм доля обучающихся в общеобразовательных организациях во вторую смену составила 13,6%. В связи с этим актуальными для Камчатского края являются задачи по строительству новых современных школ, обеспечению односменного режима обучения детей.</w:t>
      </w:r>
    </w:p>
    <w:p w14:paraId="78040000">
      <w:pPr>
        <w:pStyle w:val="Style_2"/>
        <w:spacing w:line="240" w:lineRule="auto"/>
        <w:ind w:firstLine="709" w:left="0" w:right="0"/>
        <w:jc w:val="both"/>
        <w:rPr>
          <w:rFonts w:ascii="Times New Roman" w:hAnsi="Times New Roman"/>
        </w:rPr>
      </w:pPr>
      <w:r>
        <w:rPr>
          <w:color w:val="000000"/>
          <w:sz w:val="24"/>
        </w:rPr>
        <w:t>В 2023 году в Усть-Большерецком муниципальном районе завершено строительство школы на 90 мест. В 2024 году в рамках реализации национального проекта «Образование» будет завершено строительство учебного корпуса МБОУ «Средняя школа № 40 по ул. Вольского» на 500 мест в г. Петропавловске-Камчатском.</w:t>
      </w:r>
      <w:r>
        <w:rPr>
          <w:color w:val="000000"/>
          <w:sz w:val="24"/>
        </w:rPr>
        <w:t xml:space="preserve"> В 2025 году запланировано завершение строительства здания учебного корпуса МБОУ «Елизовская средняя школа № 1 им. М.В. Ломоносова» на 500 мест, строительство которого идет с опережением графика.</w:t>
      </w:r>
    </w:p>
    <w:p w14:paraId="79040000">
      <w:pPr>
        <w:pStyle w:val="Style_2"/>
        <w:spacing w:line="240" w:lineRule="auto"/>
        <w:ind w:firstLine="709" w:left="0" w:right="0"/>
        <w:jc w:val="both"/>
        <w:rPr>
          <w:rFonts w:ascii="Times New Roman" w:hAnsi="Times New Roman"/>
        </w:rPr>
      </w:pPr>
      <w:r>
        <w:rPr>
          <w:color w:val="000000"/>
          <w:sz w:val="24"/>
        </w:rPr>
        <w:t>В 2025 и 2026 годах в рамках федеральной программы «Модернизация школьных систем образования» предусмотрены мероприятия по капитальному ремонту и оснащению средствами обучения и воспитания в 10 школах Камчатского края. В рамках нового отбора Минпросвещения России, в 2025-2027 годах планируется заявить на участие в федеральной программе еще 26 общеобразовательных организаций края</w:t>
      </w:r>
      <w:bookmarkStart w:id="6" w:name="_GoBack_Копия_1"/>
      <w:bookmarkEnd w:id="6"/>
      <w:r>
        <w:rPr>
          <w:color w:val="000000"/>
          <w:sz w:val="24"/>
        </w:rPr>
        <w:t>.</w:t>
      </w:r>
    </w:p>
    <w:p w14:paraId="7A040000">
      <w:pPr>
        <w:pStyle w:val="Style_2"/>
        <w:spacing w:line="240" w:lineRule="auto"/>
        <w:ind w:firstLine="709" w:left="0" w:right="0"/>
        <w:jc w:val="both"/>
        <w:rPr>
          <w:rFonts w:ascii="Times New Roman" w:hAnsi="Times New Roman"/>
        </w:rPr>
      </w:pPr>
      <w:r>
        <w:rPr>
          <w:color w:val="000000"/>
          <w:sz w:val="24"/>
        </w:rPr>
        <w:t xml:space="preserve">Из 16 132 учащихся начальных классов в 2023-2024 учебном году охвачено одноразовым горячим питанием – 8 075 (50,1%), двухразовым или трехразовым горячим питанием – 8 057 человек (49,9%). 175 человек, обучающихся на дому, получали денежную компенсацию стоимости двухразового питания. </w:t>
      </w:r>
    </w:p>
    <w:p w14:paraId="7B040000">
      <w:pPr>
        <w:pStyle w:val="Style_2"/>
        <w:spacing w:line="240" w:lineRule="auto"/>
        <w:ind w:firstLine="709" w:left="0" w:right="0"/>
        <w:jc w:val="both"/>
        <w:rPr>
          <w:rFonts w:ascii="Times New Roman" w:hAnsi="Times New Roman"/>
        </w:rPr>
      </w:pPr>
      <w:r>
        <w:rPr>
          <w:color w:val="000000"/>
          <w:sz w:val="24"/>
        </w:rPr>
        <w:t>В 2023-2024 учебном году из 38 145 всех обучающихся общеобразовательных организаций завтраками охвачены 8 405 чел. (22,0%), обедами 3 819 чел. (10,0%), завтраками и обедами 16 677 чел. (44%), питаются платно 4 026 чел. (10,5%).</w:t>
      </w:r>
    </w:p>
    <w:p w14:paraId="7C040000">
      <w:pPr>
        <w:pStyle w:val="Style_2"/>
        <w:spacing w:line="240" w:lineRule="auto"/>
        <w:ind w:firstLine="709" w:left="0" w:right="0"/>
        <w:jc w:val="both"/>
        <w:rPr>
          <w:rFonts w:ascii="Times New Roman" w:hAnsi="Times New Roman"/>
        </w:rPr>
      </w:pPr>
      <w:r>
        <w:rPr>
          <w:color w:val="000000"/>
          <w:sz w:val="24"/>
        </w:rPr>
        <w:t>Итого получают питание в регионе - 86,3% от всего числа обучающихся.</w:t>
      </w:r>
    </w:p>
    <w:p w14:paraId="7D040000">
      <w:pPr>
        <w:pStyle w:val="Style_2"/>
        <w:spacing w:line="240" w:lineRule="auto"/>
        <w:ind w:firstLine="709" w:left="0" w:right="0"/>
        <w:jc w:val="both"/>
        <w:rPr>
          <w:rFonts w:ascii="Times New Roman" w:hAnsi="Times New Roman"/>
        </w:rPr>
      </w:pPr>
      <w:r>
        <w:rPr>
          <w:color w:val="000000"/>
          <w:sz w:val="24"/>
        </w:rPr>
        <w:t>По состоянию на 1 июня 2024 года программами дополнительного образования были охвачены 65,66% детей от 5 до 18 лет на базе 235 организаций: 74 учреждения дополнительного образования сферы образования, культуры и спорта, 106 общеобразовательных организаций, 7 организаций среднего профессионального образования, 3 организации высшего образования, 6 организаций, осуществляющих спортивную подготовку, 39 дошкольных образовательных организаций.</w:t>
      </w:r>
    </w:p>
    <w:p w14:paraId="7E040000">
      <w:pPr>
        <w:pStyle w:val="Style_2"/>
        <w:spacing w:line="240" w:lineRule="auto"/>
        <w:ind w:firstLine="709" w:left="0" w:right="0"/>
        <w:jc w:val="both"/>
        <w:rPr>
          <w:rFonts w:ascii="Times New Roman" w:hAnsi="Times New Roman"/>
        </w:rPr>
      </w:pPr>
      <w:r>
        <w:rPr>
          <w:color w:val="000000"/>
          <w:sz w:val="24"/>
        </w:rPr>
        <w:t>Особое внимание в крае уделено увеличению охвата детей дополнительным образованием технической направленности. На 1 июня 2024 года 15,4% детей (от общего количества детей, охваченных программами дополнительного образования) от 5 до 17 лет охвачены программами дополнительного образования технической направленности (7 298 детей). Деятельностью Центра цифрового образования «IT-Куб. Камчатка» в 2023-2024 учебном году охвачено 1 040 детей, из них – 576 обучаются по программам дополнительного образования.</w:t>
      </w:r>
    </w:p>
    <w:p w14:paraId="7F040000">
      <w:pPr>
        <w:pStyle w:val="Style_2"/>
        <w:spacing w:line="240" w:lineRule="auto"/>
        <w:ind w:firstLine="709" w:left="0" w:right="0"/>
        <w:jc w:val="both"/>
        <w:rPr>
          <w:rFonts w:ascii="Times New Roman" w:hAnsi="Times New Roman"/>
        </w:rPr>
      </w:pPr>
      <w:r>
        <w:rPr>
          <w:color w:val="000000"/>
          <w:sz w:val="24"/>
        </w:rPr>
        <w:t>В 2024 году основными задачами для повышения доступности дополнительного образования детям является:</w:t>
      </w:r>
    </w:p>
    <w:p w14:paraId="80040000">
      <w:pPr>
        <w:pStyle w:val="Style_2"/>
        <w:spacing w:line="240" w:lineRule="auto"/>
        <w:ind w:firstLine="709" w:left="0" w:right="0"/>
        <w:jc w:val="both"/>
        <w:rPr>
          <w:rFonts w:ascii="Times New Roman" w:hAnsi="Times New Roman"/>
        </w:rPr>
      </w:pPr>
      <w:r>
        <w:rPr>
          <w:color w:val="000000"/>
          <w:sz w:val="24"/>
        </w:rPr>
        <w:t xml:space="preserve">– </w:t>
      </w:r>
      <w:r>
        <w:rPr>
          <w:color w:val="000000"/>
          <w:sz w:val="24"/>
        </w:rPr>
        <w:t>создание в Елизовском муниципальном районе центра цифрового образования IT- куб;</w:t>
      </w:r>
    </w:p>
    <w:p w14:paraId="81040000">
      <w:pPr>
        <w:pStyle w:val="Style_2"/>
        <w:spacing w:line="240" w:lineRule="auto"/>
        <w:ind w:firstLine="709" w:left="0" w:right="0"/>
        <w:jc w:val="both"/>
        <w:rPr>
          <w:rFonts w:ascii="Times New Roman" w:hAnsi="Times New Roman"/>
        </w:rPr>
      </w:pPr>
      <w:r>
        <w:rPr>
          <w:color w:val="000000"/>
          <w:sz w:val="24"/>
        </w:rPr>
        <w:t xml:space="preserve">– </w:t>
      </w:r>
      <w:r>
        <w:rPr>
          <w:color w:val="000000"/>
          <w:sz w:val="24"/>
        </w:rPr>
        <w:t>создание в каждой общеобразовательной организации школьного спортивного клуба и школьного театра;</w:t>
      </w:r>
    </w:p>
    <w:p w14:paraId="82040000">
      <w:pPr>
        <w:pStyle w:val="Style_2"/>
        <w:spacing w:line="240" w:lineRule="auto"/>
        <w:ind w:firstLine="709" w:left="0" w:right="0"/>
        <w:jc w:val="both"/>
        <w:rPr>
          <w:rFonts w:ascii="Times New Roman" w:hAnsi="Times New Roman"/>
        </w:rPr>
      </w:pPr>
      <w:r>
        <w:rPr>
          <w:color w:val="000000"/>
          <w:sz w:val="24"/>
        </w:rPr>
        <w:t xml:space="preserve">– </w:t>
      </w:r>
      <w:r>
        <w:rPr>
          <w:color w:val="000000"/>
          <w:sz w:val="24"/>
        </w:rPr>
        <w:t>развитие объединений туристско-краеведческой направленности в муниципальных образовательных организациях Камчатского края.</w:t>
      </w:r>
    </w:p>
    <w:p w14:paraId="83040000">
      <w:pPr>
        <w:pStyle w:val="Style_2"/>
        <w:spacing w:line="240" w:lineRule="auto"/>
        <w:ind w:firstLine="709" w:left="0" w:right="0"/>
        <w:jc w:val="both"/>
        <w:rPr>
          <w:rFonts w:ascii="Times New Roman" w:hAnsi="Times New Roman"/>
        </w:rPr>
      </w:pPr>
      <w:r>
        <w:rPr>
          <w:color w:val="000000"/>
          <w:sz w:val="24"/>
        </w:rPr>
        <w:t>Система профессионального образования Камчатского края представлена 16 организациями, из них:</w:t>
      </w:r>
    </w:p>
    <w:p w14:paraId="84040000">
      <w:pPr>
        <w:pStyle w:val="Style_2"/>
        <w:spacing w:line="240" w:lineRule="auto"/>
        <w:ind w:firstLine="709" w:left="0" w:right="0"/>
        <w:jc w:val="both"/>
        <w:rPr>
          <w:rFonts w:ascii="Times New Roman" w:hAnsi="Times New Roman"/>
        </w:rPr>
      </w:pPr>
      <w:r>
        <w:rPr>
          <w:color w:val="000000"/>
          <w:sz w:val="24"/>
        </w:rPr>
        <w:t xml:space="preserve">– </w:t>
      </w:r>
      <w:r>
        <w:rPr>
          <w:color w:val="000000"/>
          <w:sz w:val="24"/>
        </w:rPr>
        <w:t>11 профессиональными образовательными организациями (в том числе 1 негосударственной профессиональной образовательной организацией);</w:t>
      </w:r>
    </w:p>
    <w:p w14:paraId="85040000">
      <w:pPr>
        <w:pStyle w:val="Style_2"/>
        <w:spacing w:line="240" w:lineRule="auto"/>
        <w:ind w:firstLine="709" w:left="0" w:right="0"/>
        <w:jc w:val="both"/>
        <w:rPr>
          <w:rFonts w:ascii="Times New Roman" w:hAnsi="Times New Roman"/>
        </w:rPr>
      </w:pPr>
      <w:r>
        <w:rPr>
          <w:color w:val="000000"/>
          <w:sz w:val="24"/>
        </w:rPr>
        <w:t xml:space="preserve">– </w:t>
      </w:r>
      <w:r>
        <w:rPr>
          <w:color w:val="000000"/>
          <w:sz w:val="24"/>
        </w:rPr>
        <w:t>5 организациями высшего образования (2 государственными организациями и 3 филиалами).</w:t>
      </w:r>
    </w:p>
    <w:p w14:paraId="86040000">
      <w:pPr>
        <w:pStyle w:val="Style_2"/>
        <w:spacing w:line="240" w:lineRule="auto"/>
        <w:ind w:firstLine="709" w:left="0" w:right="0"/>
        <w:jc w:val="both"/>
        <w:rPr>
          <w:rFonts w:ascii="Times New Roman" w:hAnsi="Times New Roman"/>
        </w:rPr>
      </w:pPr>
      <w:r>
        <w:rPr>
          <w:color w:val="000000"/>
          <w:sz w:val="24"/>
        </w:rPr>
        <w:t>Численность обучающихся, получающих среднее профессиональное образование в 11 профессиональных образовательных организациях в 2023-2024 учебном году составила 7 499 человек (2022-2023 учебный год – 7 426, 2021–2022 учебный год – 7 398, 2020–2021 учебный год –7 347).</w:t>
      </w:r>
    </w:p>
    <w:p w14:paraId="87040000">
      <w:pPr>
        <w:pStyle w:val="Style_2"/>
        <w:spacing w:line="240" w:lineRule="auto"/>
        <w:ind w:firstLine="709" w:left="0" w:right="0"/>
        <w:jc w:val="both"/>
        <w:rPr>
          <w:rFonts w:ascii="Times New Roman" w:hAnsi="Times New Roman"/>
        </w:rPr>
      </w:pPr>
      <w:r>
        <w:rPr>
          <w:color w:val="000000"/>
          <w:sz w:val="24"/>
        </w:rPr>
        <w:t>В Камчатском крае в 2022 году в рамках Федерального проекта «Профессионалитет» создан один образовательно-производственный центр (кластер) по подготовке кадров для горнодобывающей промышленности, включающий 4 профессиональных образовательных организации: базовым является Камчатский политехнический техникум, сетевыми являются: Камчатский промышленный техникум, Камчатский индустриальный техникум, Камчатский сельскохозяйственный техникум.</w:t>
      </w:r>
    </w:p>
    <w:p w14:paraId="88040000">
      <w:pPr>
        <w:pStyle w:val="Style_2"/>
        <w:spacing w:line="240" w:lineRule="auto"/>
        <w:ind w:firstLine="709" w:left="0" w:right="0"/>
        <w:jc w:val="both"/>
        <w:rPr>
          <w:rFonts w:ascii="Times New Roman" w:hAnsi="Times New Roman"/>
        </w:rPr>
      </w:pPr>
      <w:r>
        <w:rPr>
          <w:color w:val="000000"/>
          <w:sz w:val="24"/>
        </w:rPr>
        <w:t>Общее количество обучающихся в Камчатском кластере – 2 307 студентов, в том числе 250 студентов начали обучение в 2022 году по программам Профессионалитета. В 2023 году осуществлен набор 255 абитуриентов по программам Профессионалитета, с учетом обучающихся, поступивших в 2022 году всего обучающихся по профессионалитетным направлениям подготовки – 505 студентов.</w:t>
      </w:r>
    </w:p>
    <w:p w14:paraId="89040000">
      <w:pPr>
        <w:pStyle w:val="Style_2"/>
        <w:spacing w:line="240" w:lineRule="auto"/>
        <w:ind w:firstLine="709" w:left="0" w:right="0"/>
        <w:jc w:val="both"/>
        <w:rPr>
          <w:rFonts w:ascii="Times New Roman" w:hAnsi="Times New Roman"/>
        </w:rPr>
      </w:pPr>
      <w:r>
        <w:rPr>
          <w:color w:val="000000"/>
          <w:sz w:val="24"/>
        </w:rPr>
        <w:t>В рамках Федерального проекта «Профессионалитет» в Камчатском кластере к 2026 году планируется реализовывать 7 образовательных программ.</w:t>
      </w:r>
    </w:p>
    <w:p w14:paraId="8A040000">
      <w:pPr>
        <w:pStyle w:val="Style_2"/>
        <w:spacing w:line="240" w:lineRule="auto"/>
        <w:ind w:firstLine="709" w:left="0" w:right="0"/>
        <w:jc w:val="both"/>
        <w:rPr>
          <w:rFonts w:ascii="Times New Roman" w:hAnsi="Times New Roman"/>
          <w:color w:val="000000"/>
        </w:rPr>
      </w:pPr>
    </w:p>
    <w:p w14:paraId="8B040000">
      <w:pPr>
        <w:pStyle w:val="Style_2"/>
        <w:spacing w:line="240" w:lineRule="auto"/>
        <w:ind/>
        <w:jc w:val="both"/>
        <w:rPr>
          <w:rFonts w:ascii="Times New Roman" w:hAnsi="Times New Roman"/>
        </w:rPr>
      </w:pPr>
      <w:bookmarkStart w:id="7" w:name="bookmark2"/>
      <w:r>
        <w:rPr>
          <w:b w:val="1"/>
          <w:color w:val="000000"/>
        </w:rPr>
        <w:t>17. Физическая культура и спорт</w:t>
      </w:r>
      <w:bookmarkEnd w:id="7"/>
    </w:p>
    <w:p w14:paraId="8C040000">
      <w:pPr>
        <w:pStyle w:val="Style_2"/>
        <w:widowControl w:val="0"/>
        <w:tabs>
          <w:tab w:leader="none" w:pos="708" w:val="clear"/>
          <w:tab w:leader="none" w:pos="709"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spacing w:line="240" w:lineRule="auto"/>
        <w:ind w:firstLine="709" w:left="0" w:right="0"/>
        <w:jc w:val="both"/>
        <w:rPr>
          <w:rFonts w:ascii="Times New Roman" w:hAnsi="Times New Roman"/>
        </w:rPr>
      </w:pPr>
      <w:r>
        <w:rPr>
          <w:color w:val="000000"/>
          <w:sz w:val="24"/>
        </w:rPr>
        <w:t>В Камчатском крае в 2023 году систематически занимались физической культурой и спортом 145 936</w:t>
      </w:r>
      <w:r>
        <w:rPr>
          <w:color w:val="000000"/>
          <w:sz w:val="24"/>
        </w:rPr>
        <w:t xml:space="preserve"> </w:t>
      </w:r>
      <w:r>
        <w:rPr>
          <w:color w:val="000000"/>
          <w:sz w:val="24"/>
        </w:rPr>
        <w:t>человек (2022 год — 141 659 человек, что составило 53,6% в общей численности населения региона в возрасте от 3 до 79 лет и на 5,2% больше, чем в 2022 году (2022 год – 48,4%; 2021 год – 43,7%). По предварительной оценке доля граждан, систематически занимающихся физической культурой и спортом, в 2024 году составит 55,7%. Прогнозные значения на 2025 год – 58,1%, на 2026 – 60,5% и к 2027 году доля составит 65,6%.</w:t>
      </w:r>
    </w:p>
    <w:p w14:paraId="8D040000">
      <w:pPr>
        <w:pStyle w:val="Style_2"/>
        <w:widowControl w:val="0"/>
        <w:spacing w:after="0" w:before="0" w:line="240" w:lineRule="auto"/>
        <w:ind w:firstLine="709" w:left="0" w:right="0"/>
        <w:contextualSpacing w:val="1"/>
        <w:jc w:val="both"/>
        <w:rPr>
          <w:rFonts w:ascii="Times New Roman" w:hAnsi="Times New Roman"/>
        </w:rPr>
      </w:pPr>
      <w:r>
        <w:rPr>
          <w:color w:val="000000"/>
          <w:sz w:val="24"/>
        </w:rPr>
        <w:t xml:space="preserve">В 2023 году вместе с региональными спортивными федерациями проведено 295 официальных спортивных и физкультурных мероприятий календарного плана Камчатского края </w:t>
      </w:r>
      <w:bookmarkStart w:id="8" w:name="_Hlk30959443"/>
      <w:r>
        <w:rPr>
          <w:color w:val="000000"/>
          <w:sz w:val="24"/>
        </w:rPr>
        <w:t>(2022 год – 247 мероприятий, в их числе 21 мероприятие всероссийского и межрегионального уровня по альпинизму, биатлону, горнолыжному спорту, ездовому спорту, киокусинкаю, мотоциклетному спорту, самбо, смешанному боевому единоборству (ММА), тхэквондо, шахматам, футболу</w:t>
      </w:r>
      <w:bookmarkEnd w:id="8"/>
      <w:r>
        <w:rPr>
          <w:color w:val="000000"/>
          <w:sz w:val="24"/>
        </w:rPr>
        <w:t>.</w:t>
      </w:r>
    </w:p>
    <w:p w14:paraId="8E040000">
      <w:pPr>
        <w:pStyle w:val="Style_2"/>
        <w:widowControl w:val="0"/>
        <w:tabs>
          <w:tab w:leader="none" w:pos="567" w:val="left"/>
          <w:tab w:leader="none" w:pos="708" w:val="clear"/>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spacing w:line="240" w:lineRule="auto"/>
        <w:ind w:firstLine="709" w:left="0" w:right="0"/>
        <w:jc w:val="both"/>
        <w:rPr>
          <w:rFonts w:ascii="Times New Roman" w:hAnsi="Times New Roman"/>
        </w:rPr>
      </w:pPr>
      <w:r>
        <w:rPr>
          <w:color w:val="000000"/>
          <w:sz w:val="24"/>
        </w:rPr>
        <w:t>В 2023 году камчатскими спортсменами завоевано 862 медали по 32 видам спорта в межрегиональных, всероссийских и международных соревнованиях (2022 год – 751 медаль), среди них 207 медалей с чемпионатов и первенств России, официальных международных соревнований по 21 виду спорта (2022 год – 177 медалей).</w:t>
      </w:r>
    </w:p>
    <w:p w14:paraId="8F040000">
      <w:pPr>
        <w:pStyle w:val="Style_2"/>
        <w:widowControl w:val="0"/>
        <w:spacing w:line="240" w:lineRule="auto"/>
        <w:ind w:firstLine="709" w:left="0" w:right="0"/>
        <w:jc w:val="both"/>
        <w:rPr>
          <w:rFonts w:ascii="Times New Roman" w:hAnsi="Times New Roman"/>
        </w:rPr>
      </w:pPr>
      <w:r>
        <w:rPr>
          <w:color w:val="000000"/>
          <w:sz w:val="24"/>
        </w:rPr>
        <w:t>По результатам выступлений на всероссийских соревнованиях 103 камчатских спортсмена включены в составы спортивных сборных команд Российской Федерации (2022 год – 106 спортсменов).</w:t>
      </w:r>
    </w:p>
    <w:p w14:paraId="90040000">
      <w:pPr>
        <w:pStyle w:val="Style_2"/>
        <w:widowControl w:val="0"/>
        <w:spacing w:line="240" w:lineRule="auto"/>
        <w:ind w:firstLine="709" w:left="0" w:right="0"/>
        <w:jc w:val="both"/>
        <w:rPr>
          <w:rFonts w:ascii="Times New Roman" w:hAnsi="Times New Roman"/>
        </w:rPr>
      </w:pPr>
      <w:r>
        <w:rPr>
          <w:color w:val="000000"/>
          <w:sz w:val="24"/>
        </w:rPr>
        <w:t>Спортсменам, их тренерам и спортсменам-ведущим, добившимся высоких спортивных результатов, в соответствии с Законом Камчатского края «О мерах социальной поддержки спортсменов, их тренеров, а также спортсменов-ведущих» выплачены единовременные и ежемесячные денежные выплаты в общей сумме 6,6 млн руб. (2022 год – 9,96 млн рублей).</w:t>
      </w:r>
    </w:p>
    <w:p w14:paraId="91040000">
      <w:pPr>
        <w:pStyle w:val="Style_2"/>
        <w:widowControl w:val="0"/>
        <w:spacing w:line="240" w:lineRule="auto"/>
        <w:ind w:firstLine="709" w:left="0" w:right="0"/>
        <w:jc w:val="both"/>
        <w:rPr>
          <w:rFonts w:ascii="Times New Roman" w:hAnsi="Times New Roman"/>
        </w:rPr>
      </w:pPr>
      <w:r>
        <w:rPr>
          <w:color w:val="000000"/>
          <w:sz w:val="24"/>
        </w:rPr>
        <w:t xml:space="preserve">В 2023 году в Камчатском крае в 30 организациях, осуществляющих спортивную подготовку, занималось 14 222 человека по 36 видам спорта (2022 год – 13 971 человек). </w:t>
      </w:r>
    </w:p>
    <w:p w14:paraId="92040000">
      <w:pPr>
        <w:pStyle w:val="Style_2"/>
        <w:widowControl w:val="0"/>
        <w:spacing w:line="240" w:lineRule="auto"/>
        <w:ind w:firstLine="709" w:left="0" w:right="0"/>
        <w:jc w:val="both"/>
        <w:rPr>
          <w:rFonts w:ascii="Times New Roman" w:hAnsi="Times New Roman"/>
        </w:rPr>
      </w:pPr>
      <w:r>
        <w:rPr>
          <w:color w:val="000000"/>
          <w:sz w:val="24"/>
        </w:rPr>
        <w:t>В 2023 году в рамках федерального проекта «Спорт – норма жизни» нацпроекта «Демография» оказана государственная поддержка девяти организациям спортивной подготовки в общей сумме 17,8 млн рублей, бюджетные средства направлены на закупку инвентаря и оборудования для занятий альпинизмом, биатлоном, горнолыжным спортом, лыжными гонками, плаванием, тхэквондо, киокусинкай, а также на организацию и проведение тренировочных мероприятий.</w:t>
      </w:r>
    </w:p>
    <w:p w14:paraId="93040000">
      <w:pPr>
        <w:pStyle w:val="Style_2"/>
        <w:widowControl w:val="0"/>
        <w:spacing w:line="240" w:lineRule="auto"/>
        <w:ind w:firstLine="709" w:left="0" w:right="0"/>
        <w:jc w:val="both"/>
        <w:rPr>
          <w:rFonts w:ascii="Times New Roman" w:hAnsi="Times New Roman"/>
        </w:rPr>
      </w:pPr>
      <w:r>
        <w:rPr>
          <w:color w:val="000000"/>
          <w:sz w:val="24"/>
        </w:rPr>
        <w:t>В 2023 году продолжили работу 15 центров тестирования ГТО (14 муниципальных и один региональный центр), выполнили нормативы испытаний (тестов) комплекса ГТО на знаки отличия 2 397 человек (2022 год – 1465 человек). Общее количество мероприятий по оценке выполнения нормативов комплекса ГТО, проведенных в 2023 году в соответствии с календарными планами физкультурных и спортивных мероприятий, – 257, в их числе 137 муниципального и 10 регионального уровней.</w:t>
      </w:r>
    </w:p>
    <w:p w14:paraId="94040000">
      <w:pPr>
        <w:pStyle w:val="Style_2"/>
        <w:widowControl w:val="0"/>
        <w:spacing w:line="240" w:lineRule="auto"/>
        <w:ind w:firstLine="709" w:left="0" w:right="0"/>
        <w:jc w:val="both"/>
        <w:rPr>
          <w:rFonts w:ascii="Times New Roman" w:hAnsi="Times New Roman"/>
        </w:rPr>
      </w:pPr>
      <w:r>
        <w:rPr>
          <w:b w:val="1"/>
          <w:i w:val="1"/>
          <w:color w:val="000000"/>
          <w:sz w:val="24"/>
        </w:rPr>
        <w:t>Развитие спортивной инфраструктуры.</w:t>
      </w:r>
    </w:p>
    <w:p w14:paraId="95040000">
      <w:pPr>
        <w:pStyle w:val="Style_2"/>
        <w:widowControl w:val="0"/>
        <w:spacing w:line="240" w:lineRule="auto"/>
        <w:ind w:firstLine="709" w:left="0" w:right="0"/>
        <w:jc w:val="both"/>
        <w:rPr>
          <w:rFonts w:ascii="Times New Roman" w:hAnsi="Times New Roman"/>
        </w:rPr>
      </w:pPr>
      <w:r>
        <w:rPr>
          <w:color w:val="000000"/>
          <w:sz w:val="24"/>
        </w:rPr>
        <w:t>В 2023 году в Камчатском крае функционировало 871 спортивное сооружение, включая 162 объекта городской и рекреационной инфраструктуры, приспособленных для занятий физической культурой и спортом. Уровень обеспеченности населения спортивными сооружениями, исходя из единовременной пропускной способности объектов спорта, составил 94,6% от расчетного федерального норматива (2022 год – 87%).</w:t>
      </w:r>
    </w:p>
    <w:p w14:paraId="96040000">
      <w:pPr>
        <w:pStyle w:val="Style_2"/>
        <w:widowControl w:val="0"/>
        <w:spacing w:line="240" w:lineRule="auto"/>
        <w:ind w:firstLine="709" w:left="0" w:right="0"/>
        <w:jc w:val="both"/>
        <w:rPr>
          <w:rFonts w:ascii="Times New Roman" w:hAnsi="Times New Roman"/>
        </w:rPr>
      </w:pPr>
      <w:r>
        <w:rPr>
          <w:color w:val="000000"/>
          <w:sz w:val="24"/>
        </w:rPr>
        <w:t>В 2023 году продолжилась системная работа по укреплению и развитию спортивной инфраструктуры: введены в эксплуатацию спортивный зал единоборств в г. Елизово и спортивный зал в Козыревском сельском поселении; создано 11 плоскостных спортивных сооружений: площадка «ГТО» (Алеутский муниципальный округ); «умная» спортивная площадка (Вилючинский городской округ); площадка для занятий мини-футболом, волейболом и площадка роллердрома (Олюторский муниципальный район); площадка для игровых видов спорта, площадка «Скейтпарк», спортивная площадка (Соболевский муниципальный район); спортивная площадка (Тигильский муниципальный округ); плоскостное спортивное сооружение на стадионе «Строитель» (г. Елизово); хоккейная коробка (Мильковский муниципальный округ).</w:t>
      </w:r>
    </w:p>
    <w:p w14:paraId="97040000">
      <w:pPr>
        <w:pStyle w:val="Style_2"/>
        <w:spacing w:line="240" w:lineRule="auto"/>
        <w:ind w:firstLine="709" w:left="0" w:right="0"/>
        <w:jc w:val="both"/>
        <w:rPr>
          <w:rFonts w:ascii="Times New Roman" w:hAnsi="Times New Roman"/>
        </w:rPr>
      </w:pPr>
      <w:r>
        <w:rPr>
          <w:color w:val="000000"/>
          <w:sz w:val="24"/>
        </w:rPr>
        <w:t>Создание центра военно-спортивной подготовки прогнозируется в 2025 году. Завершение реконструкции спортивно-тренировочного комплекса в г. Петропавловске-Камчатском по ул. Карла Маркса запланировано на 2026 год.</w:t>
      </w:r>
    </w:p>
    <w:p w14:paraId="98040000">
      <w:pPr>
        <w:pStyle w:val="Style_2"/>
        <w:widowControl w:val="0"/>
        <w:spacing w:line="240" w:lineRule="auto"/>
        <w:ind/>
        <w:jc w:val="both"/>
        <w:rPr>
          <w:rFonts w:ascii="Times New Roman" w:hAnsi="Times New Roman"/>
          <w:b w:val="1"/>
          <w:i w:val="1"/>
          <w:color w:val="000000"/>
        </w:rPr>
      </w:pPr>
    </w:p>
    <w:p w14:paraId="99040000">
      <w:pPr>
        <w:pStyle w:val="Style_2"/>
        <w:widowControl w:val="0"/>
        <w:spacing w:line="240" w:lineRule="auto"/>
        <w:ind/>
        <w:jc w:val="both"/>
        <w:rPr>
          <w:rFonts w:ascii="Times New Roman" w:hAnsi="Times New Roman"/>
          <w:color w:val="000000"/>
        </w:rPr>
      </w:pPr>
      <w:r>
        <w:rPr>
          <w:b w:val="1"/>
          <w:color w:val="000000"/>
        </w:rPr>
        <w:t>18. Связь</w:t>
      </w:r>
    </w:p>
    <w:p w14:paraId="9A040000">
      <w:pPr>
        <w:pStyle w:val="Style_2"/>
        <w:spacing w:line="240" w:lineRule="auto"/>
        <w:ind w:firstLine="709" w:left="0" w:right="0"/>
        <w:jc w:val="both"/>
        <w:rPr>
          <w:rFonts w:ascii="Times New Roman" w:hAnsi="Times New Roman"/>
        </w:rPr>
      </w:pPr>
      <w:r>
        <w:rPr>
          <w:color w:val="000000"/>
          <w:sz w:val="24"/>
        </w:rPr>
        <w:t>Операторы связи предоставляют на территории Камчатского края весь спектр современных телекоммуникационных услуг: широкополосный доступ к сети Интернет, электронная почта, передача факсимильных и голосовых сообщений, передача файлов, работа с удаленными базами данных в режиме реального времени, интерактивное телевидение, телефонная связь, подвижная радиотелефонная (мобильная) связь, мобильный интернет и др.</w:t>
      </w:r>
    </w:p>
    <w:p w14:paraId="9B040000">
      <w:pPr>
        <w:pStyle w:val="Style_2"/>
        <w:spacing w:line="240" w:lineRule="auto"/>
        <w:ind w:firstLine="709" w:left="0" w:right="0"/>
        <w:jc w:val="both"/>
        <w:rPr>
          <w:rFonts w:ascii="Times New Roman" w:hAnsi="Times New Roman"/>
        </w:rPr>
      </w:pPr>
      <w:r>
        <w:rPr>
          <w:color w:val="000000"/>
          <w:sz w:val="24"/>
        </w:rPr>
        <w:t xml:space="preserve">На динамику рынка услуг связи влияет развитие сетей связи, внедрение новых видов услуг, рост/снижение потребления услуг, зависящие от платежеспособности потребителей услуг. </w:t>
      </w:r>
    </w:p>
    <w:p w14:paraId="9C040000">
      <w:pPr>
        <w:pStyle w:val="Style_2"/>
        <w:spacing w:line="240" w:lineRule="auto"/>
        <w:ind w:firstLine="709" w:left="0" w:right="0"/>
        <w:jc w:val="both"/>
        <w:rPr>
          <w:rFonts w:ascii="Times New Roman" w:hAnsi="Times New Roman"/>
        </w:rPr>
      </w:pPr>
      <w:r>
        <w:rPr>
          <w:color w:val="000000"/>
          <w:sz w:val="24"/>
        </w:rPr>
        <w:t xml:space="preserve">В противовес развитию рынка услуг связи играют международные санкции и значительный рост цен на высокотехнологичное оборудование, а также снижение покупательной способности населения. </w:t>
      </w:r>
    </w:p>
    <w:p w14:paraId="9D040000">
      <w:pPr>
        <w:pStyle w:val="Style_2"/>
        <w:spacing w:line="240" w:lineRule="auto"/>
        <w:ind w:firstLine="709" w:left="0" w:right="0"/>
        <w:jc w:val="both"/>
        <w:rPr>
          <w:rFonts w:ascii="Times New Roman" w:hAnsi="Times New Roman"/>
        </w:rPr>
      </w:pPr>
      <w:r>
        <w:rPr>
          <w:color w:val="000000"/>
          <w:sz w:val="24"/>
        </w:rPr>
        <w:t>В условиях внешнего санкционного давления и введенных ограничительных мер воздействия на российскую экономику действует запрет на поставку и поддержку иностранного телекоммуникационного оборудования. Отсутствуют прямые поставки основной номенклатуры коммуникационного оборудования, техники для ИТ-инфраструктуры и сетей радиодоступа. Наблюдается значительное удорожание аналогов, для доставки которых перестраиваются логистические маршруты и схемы импорта.</w:t>
      </w:r>
    </w:p>
    <w:p w14:paraId="9E040000">
      <w:pPr>
        <w:pStyle w:val="Style_2"/>
        <w:spacing w:line="240" w:lineRule="auto"/>
        <w:ind w:firstLine="709" w:left="0" w:right="0"/>
        <w:jc w:val="both"/>
        <w:rPr>
          <w:rFonts w:ascii="Times New Roman" w:hAnsi="Times New Roman"/>
        </w:rPr>
      </w:pPr>
      <w:r>
        <w:rPr>
          <w:color w:val="000000"/>
          <w:sz w:val="24"/>
        </w:rPr>
        <w:t>Существующий дефицит телекоммуникационного оборудования, составляющего основу функционирования сетей связи, оказывает отрицательное влияние на реализацию операторами связи инвестиционных программ развития, а также федеральных и региональных проектов, направленных на развитие информационной инфраструктуры на территории Российской Федерации.</w:t>
      </w:r>
    </w:p>
    <w:p w14:paraId="9F040000">
      <w:pPr>
        <w:pStyle w:val="Style_2"/>
        <w:widowControl w:val="0"/>
        <w:spacing w:after="0" w:before="0" w:line="240" w:lineRule="auto"/>
        <w:ind w:firstLine="709" w:left="0" w:right="0"/>
        <w:jc w:val="both"/>
        <w:rPr>
          <w:rFonts w:ascii="Times New Roman" w:hAnsi="Times New Roman"/>
        </w:rPr>
      </w:pPr>
      <w:r>
        <w:rPr>
          <w:color w:val="000000"/>
          <w:sz w:val="24"/>
        </w:rPr>
        <w:t>В 2023 году в Камчатском крае реализованы следующие мероприятия.</w:t>
      </w:r>
    </w:p>
    <w:p w14:paraId="A0040000">
      <w:pPr>
        <w:pStyle w:val="Style_2"/>
        <w:widowControl w:val="0"/>
        <w:spacing w:after="0" w:before="0" w:line="240" w:lineRule="auto"/>
        <w:ind w:firstLine="709" w:left="0" w:right="0"/>
        <w:jc w:val="both"/>
        <w:rPr>
          <w:rFonts w:ascii="Times New Roman" w:hAnsi="Times New Roman"/>
        </w:rPr>
      </w:pPr>
      <w:r>
        <w:rPr>
          <w:color w:val="000000"/>
          <w:sz w:val="24"/>
        </w:rPr>
        <w:t>1. Строительство волоконно-оптической линии связи (ВОЛС) по маршруту «Анавгай–Усть-Хайрюзово– Тигиль–Палана–Оссора».</w:t>
      </w:r>
    </w:p>
    <w:p w14:paraId="A1040000">
      <w:pPr>
        <w:pStyle w:val="Style_2"/>
        <w:spacing w:after="0" w:before="0" w:line="240" w:lineRule="auto"/>
        <w:ind w:firstLine="709" w:left="0" w:right="0"/>
        <w:jc w:val="both"/>
        <w:rPr>
          <w:rFonts w:ascii="Times New Roman" w:hAnsi="Times New Roman"/>
        </w:rPr>
      </w:pPr>
      <w:r>
        <w:rPr>
          <w:color w:val="000000"/>
          <w:sz w:val="24"/>
        </w:rPr>
        <w:t>Проект по созданию ВОЛС в направлении северных районов с подключением 9 населенных пунктов и протяженностью более 860 км реализован региональным оператором связи ООО «ИнтерКамСервис» в рамках Соглашения о сотрудничестве в целях реализации на территории Камчатского края инвестиционных проектов в сфере телекоммуникаций, заключенного на ВЭФ-2021.</w:t>
      </w:r>
    </w:p>
    <w:p w14:paraId="A2040000">
      <w:pPr>
        <w:pStyle w:val="Style_2"/>
        <w:spacing w:after="0" w:before="0" w:line="240" w:lineRule="auto"/>
        <w:ind w:firstLine="709" w:left="0" w:right="0"/>
        <w:jc w:val="both"/>
        <w:rPr>
          <w:rFonts w:ascii="Times New Roman" w:hAnsi="Times New Roman"/>
        </w:rPr>
      </w:pPr>
      <w:r>
        <w:rPr>
          <w:color w:val="000000"/>
          <w:sz w:val="24"/>
        </w:rPr>
        <w:t>Современные услуги связи, в том числе высокоскоростной интернет, стали доступны в 6 населенных пунктах Тигильского округа (Ковран, Воямполка, Седанка, Тигиль, Палана, Лесная). Во 2 квартале 2024 года обеспечено предоставление услуг связи по «оптике» в п. Оссора.</w:t>
      </w:r>
    </w:p>
    <w:p w14:paraId="A3040000">
      <w:pPr>
        <w:pStyle w:val="Style_2"/>
        <w:spacing w:after="0" w:before="0" w:line="240" w:lineRule="auto"/>
        <w:ind w:firstLine="709" w:left="0" w:right="0"/>
        <w:jc w:val="both"/>
        <w:rPr>
          <w:rFonts w:ascii="Times New Roman" w:hAnsi="Times New Roman"/>
        </w:rPr>
      </w:pPr>
      <w:r>
        <w:rPr>
          <w:color w:val="000000"/>
          <w:sz w:val="24"/>
        </w:rPr>
        <w:t>В 2024</w:t>
      </w:r>
      <w:r>
        <w:rPr>
          <w:color w:val="000000"/>
          <w:sz w:val="24"/>
        </w:rPr>
        <w:t>–</w:t>
      </w:r>
      <w:r>
        <w:rPr>
          <w:color w:val="000000"/>
          <w:sz w:val="24"/>
        </w:rPr>
        <w:t>2026 годах планируется продолжение строительства ВОЛС от Оссоры в направлении Тиличиков с охватом населенных пунктов Карагинского района (Карага, Кострома, Тымлат, Ивашка, Ильпырское) и Олюторского района (Вывенка, Корф, Тиличики) общей протяженностью порядка 440 км.</w:t>
      </w:r>
    </w:p>
    <w:p w14:paraId="A4040000">
      <w:pPr>
        <w:pStyle w:val="Style_2"/>
        <w:spacing w:after="0" w:before="0" w:line="240" w:lineRule="auto"/>
        <w:ind w:firstLine="709" w:left="0" w:right="0"/>
        <w:jc w:val="both"/>
        <w:rPr>
          <w:rFonts w:ascii="Times New Roman" w:hAnsi="Times New Roman"/>
        </w:rPr>
      </w:pPr>
      <w:r>
        <w:rPr>
          <w:color w:val="000000"/>
          <w:sz w:val="24"/>
        </w:rPr>
        <w:t>2. Организация мобильной связи вдоль автомобильных дорог общего пользования регионального значения.</w:t>
      </w:r>
    </w:p>
    <w:p w14:paraId="A5040000">
      <w:pPr>
        <w:pStyle w:val="Style_2"/>
        <w:spacing w:after="0" w:before="0" w:line="240" w:lineRule="auto"/>
        <w:ind w:firstLine="709" w:left="0" w:right="0"/>
        <w:jc w:val="both"/>
        <w:rPr>
          <w:rFonts w:ascii="Times New Roman" w:hAnsi="Times New Roman"/>
        </w:rPr>
      </w:pPr>
      <w:r>
        <w:rPr>
          <w:color w:val="000000"/>
          <w:sz w:val="24"/>
        </w:rPr>
        <w:t>В 2023 году в рамках государственной программы «Цифровая трансформация в Камчатском крае» Министерством цифрового развития Камчатского края совместно с оператором связи Билайн реализован проект по строительству первой базовой станции 2G/4G(LTE) в целях организации устойчивой мобильной связи на автодороге регионального значения «Мильково –Ключи–Усть-Камчатск» (132 км) в районе примыкания автомобильной дороги «Крапивная–Эссо».</w:t>
      </w:r>
    </w:p>
    <w:p w14:paraId="A6040000">
      <w:pPr>
        <w:pStyle w:val="Style_2"/>
        <w:spacing w:after="0" w:before="0" w:line="240" w:lineRule="auto"/>
        <w:ind w:firstLine="709" w:left="0" w:right="0"/>
        <w:jc w:val="both"/>
      </w:pPr>
      <w:r>
        <w:rPr>
          <w:color w:val="000000"/>
          <w:sz w:val="24"/>
        </w:rPr>
        <w:t>В 1 квартале 2024 года запущена в эксплуатацию базовая станция оператора Мегафон для организации голосовой связи и мобильного доступа к сети Интернет на автомобильной дороге регионального значения «Нагорный – Мирный» в районе кафе «13 кордон».</w:t>
      </w:r>
    </w:p>
    <w:p w14:paraId="A7040000">
      <w:pPr>
        <w:pStyle w:val="Style_2"/>
        <w:spacing w:after="0" w:before="0" w:line="240" w:lineRule="auto"/>
        <w:ind w:firstLine="709" w:left="0" w:right="0"/>
        <w:jc w:val="both"/>
      </w:pPr>
      <w:r>
        <w:rPr>
          <w:color w:val="000000"/>
          <w:sz w:val="24"/>
        </w:rPr>
        <w:t>3. Развитие «оптических» сетей передачи данных в муниципалитетах Камчатского края.</w:t>
      </w:r>
    </w:p>
    <w:p w14:paraId="A8040000">
      <w:pPr>
        <w:pStyle w:val="Style_2"/>
        <w:spacing w:after="0" w:before="0" w:line="240" w:lineRule="auto"/>
        <w:ind w:firstLine="709" w:left="0" w:right="0"/>
        <w:jc w:val="both"/>
        <w:rPr>
          <w:color w:val="000000"/>
        </w:rPr>
      </w:pPr>
      <w:r>
        <w:rPr>
          <w:color w:val="000000"/>
          <w:sz w:val="24"/>
        </w:rPr>
        <w:t>В 2023 году в населенных пунктах Камчатского края реализовано строительство внутрипоселковых распределительных оптических сетей связи по технологии GPON в населенных пунктах региона. При участии средств краевого бюджета современными телекоммуникационными услугами обеспечены жители п. Красный (Елизовский муниципальный район), п. Апача, ДРП Апача, п. Шумный (Усть-Большерецкий муниципальный район), п. Крутогоровский и с. Устьевое (Соболевский муниципальный район). За счет собственных инвестиций Ростелеком провел работы по строительству новых и замены устаревших медных линий связи в Елизовском муниципальном районе (Лесной, Термальный, Двуречье, Раздольный).</w:t>
      </w:r>
    </w:p>
    <w:p w14:paraId="A9040000">
      <w:pPr>
        <w:pStyle w:val="Style_2"/>
        <w:spacing w:after="0" w:before="0" w:line="240" w:lineRule="auto"/>
        <w:ind w:firstLine="709" w:left="0" w:right="0"/>
        <w:jc w:val="both"/>
      </w:pPr>
      <w:r>
        <w:rPr>
          <w:color w:val="000000"/>
          <w:sz w:val="24"/>
        </w:rPr>
        <w:t> </w:t>
      </w:r>
      <w:r>
        <w:rPr>
          <w:color w:val="000000"/>
          <w:sz w:val="24"/>
        </w:rPr>
        <w:t xml:space="preserve">4. В </w:t>
      </w:r>
      <w:r>
        <w:rPr>
          <w:color w:val="000000"/>
          <w:sz w:val="24"/>
        </w:rPr>
        <w:t>рамках федеральной программы по устранению цифрового неравенства (УЦН 2.0) ПАО «Ростелеком» обеспечивает в Камчатском крае предоставление универсальных услуг связи. Проект УЦН 2.0. предусматривает появление в населенных пунктах с численностью 100-500 человек современной мобильной связи по технологии LTE.</w:t>
      </w:r>
    </w:p>
    <w:p w14:paraId="AA040000">
      <w:pPr>
        <w:pStyle w:val="Style_2"/>
        <w:spacing w:after="0" w:before="0" w:line="240" w:lineRule="auto"/>
        <w:ind w:firstLine="709" w:left="0" w:right="0"/>
        <w:jc w:val="both"/>
      </w:pPr>
      <w:r>
        <w:rPr>
          <w:color w:val="000000"/>
          <w:sz w:val="24"/>
        </w:rPr>
        <w:t>По данной программе в 2023 году базовые станции LTE запущены в с. Майском (Усть-Камчатский район), п. Таежном (Мильковский муниципальный округ), с. Аянке (Пенжинский муниципальный район), с. Тымлате (Карагинский муниципальный район).</w:t>
      </w:r>
    </w:p>
    <w:p w14:paraId="AB040000">
      <w:pPr>
        <w:pStyle w:val="Style_2"/>
        <w:spacing w:after="0" w:before="0" w:line="240" w:lineRule="auto"/>
        <w:ind w:firstLine="709" w:left="0" w:right="0"/>
        <w:jc w:val="both"/>
        <w:rPr>
          <w:rFonts w:ascii="Times New Roman" w:hAnsi="Times New Roman"/>
        </w:rPr>
      </w:pPr>
      <w:r>
        <w:rPr>
          <w:color w:val="000000"/>
          <w:sz w:val="24"/>
        </w:rPr>
        <w:t>В 2024 году в соответствии с квотой запланировано строительство LTE еще в 2 населенных пунктах, отобранных по результатам голосования на портале Госуслу</w:t>
      </w:r>
      <w:r>
        <w:rPr>
          <w:color w:val="000000"/>
          <w:sz w:val="24"/>
        </w:rPr>
        <w:t>г, проводимого Миннцифрой России, в с. Слаутное Пенжинского муниципального района и с. Карага Карагинского муниципального района.</w:t>
      </w:r>
    </w:p>
    <w:p w14:paraId="AC040000">
      <w:pPr>
        <w:pStyle w:val="Style_2"/>
        <w:spacing w:after="0" w:before="0" w:line="240" w:lineRule="auto"/>
        <w:ind w:firstLine="709" w:left="0" w:right="0"/>
        <w:jc w:val="both"/>
        <w:rPr>
          <w:rFonts w:ascii="Times New Roman" w:hAnsi="Times New Roman"/>
        </w:rPr>
      </w:pPr>
      <w:r>
        <w:rPr>
          <w:color w:val="000000"/>
          <w:sz w:val="24"/>
        </w:rPr>
        <w:t>5. Почта России</w:t>
      </w:r>
    </w:p>
    <w:p w14:paraId="AD040000">
      <w:pPr>
        <w:pStyle w:val="Style_2"/>
        <w:spacing w:after="0" w:before="0" w:line="240" w:lineRule="auto"/>
        <w:ind w:firstLine="709" w:left="0" w:right="0"/>
        <w:jc w:val="both"/>
        <w:rPr>
          <w:rFonts w:ascii="Times New Roman" w:hAnsi="Times New Roman"/>
        </w:rPr>
      </w:pPr>
      <w:r>
        <w:rPr>
          <w:color w:val="000000"/>
          <w:sz w:val="24"/>
        </w:rPr>
        <w:t>2023 год стал значимым для развития сети почтовой связи региона. В текущем году в Камчатском крае осуществляется модернизация рекордного за последние пять лет количества отделений почтовой связи – 14 единиц, из них за счет средств краевого бюджета отремонтировано 4 почтовых отделения.</w:t>
      </w:r>
    </w:p>
    <w:p w14:paraId="AE040000">
      <w:pPr>
        <w:pStyle w:val="Style_2"/>
        <w:spacing w:after="0" w:before="0" w:line="240" w:lineRule="auto"/>
        <w:ind w:firstLine="709" w:left="0" w:right="0"/>
        <w:jc w:val="both"/>
        <w:rPr>
          <w:rFonts w:ascii="Times New Roman" w:hAnsi="Times New Roman"/>
        </w:rPr>
      </w:pPr>
      <w:r>
        <w:rPr>
          <w:color w:val="000000"/>
          <w:sz w:val="24"/>
        </w:rPr>
        <w:t>Совместная работа региона с Почтой России по модернизации региональной сети ОПС будет продолжена.</w:t>
      </w:r>
    </w:p>
    <w:p w14:paraId="AF040000">
      <w:pPr>
        <w:pStyle w:val="Style_2"/>
        <w:spacing w:line="240" w:lineRule="auto"/>
        <w:ind w:firstLine="709" w:left="0" w:right="0"/>
        <w:jc w:val="both"/>
        <w:rPr>
          <w:rFonts w:ascii="Times New Roman" w:hAnsi="Times New Roman"/>
        </w:rPr>
      </w:pPr>
      <w:r>
        <w:rPr>
          <w:color w:val="000000"/>
          <w:sz w:val="24"/>
        </w:rPr>
        <w:t>В случае сохранения негативного сценария развития событий (продолжающийся дефицит и увеличение стоимости телекоммуникационного оборудования, рост тарифов на электроэнергию для объектов связи) в регионе могут быть снижены темпы развития инфраструктуры связи, что в свою очередь в 2025–2027 годах может сказаться на стоимости, качестве и доступности услуг связи для населения.</w:t>
      </w:r>
    </w:p>
    <w:p w14:paraId="B0040000">
      <w:pPr>
        <w:pStyle w:val="Style_2"/>
        <w:spacing w:line="240" w:lineRule="auto"/>
        <w:ind w:firstLine="709" w:left="0" w:right="0"/>
        <w:jc w:val="both"/>
        <w:rPr>
          <w:rFonts w:ascii="Times New Roman" w:hAnsi="Times New Roman"/>
        </w:rPr>
      </w:pPr>
      <w:r>
        <w:rPr>
          <w:color w:val="000000"/>
          <w:sz w:val="24"/>
        </w:rPr>
        <w:t>При благоприятном сценарии функционирования экономики на территории Камчатского края ожидается рост объема услуг связи, обусловленный реализуемыми проектами по развитию сетей связи в регионе.</w:t>
      </w:r>
    </w:p>
    <w:p w14:paraId="B1040000">
      <w:pPr>
        <w:pStyle w:val="Style_2"/>
        <w:spacing w:line="240" w:lineRule="auto"/>
        <w:ind w:firstLine="709" w:left="0" w:right="0"/>
        <w:jc w:val="both"/>
        <w:rPr>
          <w:rFonts w:ascii="Times New Roman" w:hAnsi="Times New Roman"/>
        </w:rPr>
      </w:pPr>
      <w:r>
        <w:rPr>
          <w:color w:val="000000"/>
          <w:sz w:val="24"/>
        </w:rPr>
        <w:t xml:space="preserve">Инвестиционная деятельность отрасли в 2025–2027 годах будет направлена на реализацию политики технического и инновационного развития на базе отечественных разработок, на создание условий для развития телекоммуникационных услуг с высокой доходностью, а также обеспечение бесперебойной работы сети и повышения ее отказоустойчивости. На среднесрочную перспективу запланированы инвестиции в дальнейшее развитие информационной инфраструктуры, в том числе на развитие сети широкополосного доступа к сети Интернет и иных современных телекоммуникационных услуг. Основные источники финансирования – собственные инвестиции операторов связи, средства федерального бюджета, краевого бюджета. </w:t>
      </w:r>
    </w:p>
    <w:p w14:paraId="B2040000">
      <w:pPr>
        <w:pStyle w:val="Style_2"/>
        <w:widowControl w:val="0"/>
        <w:spacing w:line="240" w:lineRule="auto"/>
        <w:ind/>
        <w:jc w:val="both"/>
        <w:rPr>
          <w:rFonts w:ascii="Times New Roman" w:hAnsi="Times New Roman"/>
          <w:color w:val="632523"/>
        </w:rPr>
      </w:pPr>
    </w:p>
    <w:p w14:paraId="B3040000">
      <w:pPr>
        <w:pStyle w:val="Style_2"/>
        <w:widowControl w:val="0"/>
        <w:spacing w:line="240" w:lineRule="auto"/>
        <w:ind/>
        <w:jc w:val="both"/>
        <w:rPr>
          <w:rFonts w:ascii="Times New Roman" w:hAnsi="Times New Roman"/>
        </w:rPr>
      </w:pPr>
      <w:r>
        <w:rPr>
          <w:b w:val="1"/>
          <w:color w:val="000000"/>
        </w:rPr>
        <w:t>19. Охрана окружающей среды</w:t>
      </w:r>
    </w:p>
    <w:p w14:paraId="B4040000">
      <w:pPr>
        <w:pStyle w:val="Style_2"/>
        <w:spacing w:line="240" w:lineRule="auto"/>
        <w:ind w:firstLine="709" w:left="0" w:right="0"/>
        <w:jc w:val="both"/>
        <w:rPr>
          <w:rFonts w:ascii="Times New Roman" w:hAnsi="Times New Roman"/>
        </w:rPr>
      </w:pPr>
      <w:r>
        <w:t>На территории полуострова Камчатка антропогенной нагрузке в значительной степени подвержены такие крупные экосистемы, как Авачинская губа, на берегах которой расположена Петропавловск-Вилючинско-Елизовская агломерация, а также река Камчатка – самый крупный пресноводный объект полуострова, в устье и долине которой находятся населенные пункты и предприятия.</w:t>
      </w:r>
    </w:p>
    <w:p w14:paraId="B5040000">
      <w:pPr>
        <w:pStyle w:val="Style_2"/>
        <w:spacing w:line="240" w:lineRule="auto"/>
        <w:ind w:firstLine="709" w:left="0" w:right="0"/>
        <w:jc w:val="both"/>
        <w:rPr>
          <w:rFonts w:ascii="Times New Roman" w:hAnsi="Times New Roman"/>
        </w:rPr>
      </w:pPr>
      <w:r>
        <w:t>Основными источниками, оказывающими негативное воздействие на качество окружающей среды, являются предприятия теплоэнергетики, автотранспорта, горнорудной промышленности, рыбопереработки, а также суда военно-морского, рыбодобывающего, торгового и транспортного флотов. Отдельной экологической проблемой остаются войсковые части, объекты и предприятия Министерства обороны Российской Федерации.</w:t>
      </w:r>
    </w:p>
    <w:p w14:paraId="B6040000">
      <w:pPr>
        <w:pStyle w:val="Style_2"/>
        <w:spacing w:line="240" w:lineRule="auto"/>
        <w:ind w:firstLine="709" w:left="0" w:right="0"/>
        <w:jc w:val="both"/>
        <w:rPr>
          <w:rFonts w:ascii="Times New Roman" w:hAnsi="Times New Roman"/>
        </w:rPr>
      </w:pPr>
      <w:r>
        <w:t>Текущие (эксплуатационные) затраты на охрану окружающей среды по Камчатскому краю в 2023 году составили 2 006,7 млн руб., из них: 16,6% приходится на сбор и очистку сточных вод; 56,7% – на обращение с отходами; 22,3% – на защиту и реабилитацию земель, поверхностных и подземных вод; 1,2% – на охрану атмосферного воздуха и предотвращение изменений климата; 3,2% – на другие направления деятельности в сфере охраны окружающей среды.</w:t>
      </w:r>
    </w:p>
    <w:p w14:paraId="B7040000">
      <w:pPr>
        <w:pStyle w:val="Style_2"/>
        <w:widowControl w:val="0"/>
        <w:spacing w:line="240" w:lineRule="auto"/>
        <w:ind w:firstLine="709" w:left="0" w:right="0"/>
        <w:jc w:val="both"/>
        <w:rPr>
          <w:rFonts w:ascii="Times New Roman" w:hAnsi="Times New Roman"/>
        </w:rPr>
      </w:pPr>
      <w:r>
        <w:rPr>
          <w:b w:val="1"/>
          <w:i w:val="1"/>
        </w:rPr>
        <w:t>Охрана атмосферного воздуха</w:t>
      </w:r>
    </w:p>
    <w:p w14:paraId="B8040000">
      <w:pPr>
        <w:pStyle w:val="Style_2"/>
        <w:spacing w:line="240" w:lineRule="auto"/>
        <w:ind w:firstLine="709" w:left="0" w:right="0"/>
        <w:jc w:val="both"/>
        <w:rPr>
          <w:rFonts w:ascii="Times New Roman" w:hAnsi="Times New Roman"/>
        </w:rPr>
      </w:pPr>
      <w:r>
        <w:t>Основными источниками антропогенного загрязнения приземного слоя атмосферы в населенных пунктах Камчатского края являются предприятия топливно-энергетического комплекса и автотранспорт.</w:t>
      </w:r>
    </w:p>
    <w:p w14:paraId="B9040000">
      <w:pPr>
        <w:pStyle w:val="Style_2"/>
        <w:widowControl w:val="0"/>
        <w:spacing w:line="240" w:lineRule="auto"/>
        <w:ind w:firstLine="709" w:left="0" w:right="0"/>
        <w:jc w:val="both"/>
        <w:rPr>
          <w:rFonts w:ascii="Times New Roman" w:hAnsi="Times New Roman"/>
        </w:rPr>
      </w:pPr>
      <w:r>
        <w:t>Количество стационарных источников выбросов загрязняющих веществ в атмосферу в 2023 году составило 4 954 единицы (в 2022 году – 4 423 ед.). Общее количество загрязняющих веществ, выброшенных в атмосферу от всех стационарных источников выбросов в Камчатском крае, составило 46 601 т, что на 2 850 т больше соответствующего показателя 2022 года.</w:t>
      </w:r>
    </w:p>
    <w:p w14:paraId="BA040000">
      <w:pPr>
        <w:pStyle w:val="Style_2"/>
        <w:widowControl w:val="0"/>
        <w:spacing w:line="240" w:lineRule="auto"/>
        <w:ind w:firstLine="709" w:left="0" w:right="0"/>
        <w:jc w:val="both"/>
        <w:rPr>
          <w:rFonts w:ascii="Times New Roman" w:hAnsi="Times New Roman"/>
        </w:rPr>
      </w:pPr>
      <w:r>
        <w:t>В Камчатском крае одним из ведущих источников загрязнения атмосферного воздуха является автомобильный транспорт. Наблюдаемая в целом тенденция снижения объемов выбросов загрязняющих веществ в атмосферу при росте количества автотранспортных средств объясняется комплексом реализуемых Правительством Камчатского края программных мероприятий, таких как: развитие транспортной инфраструктуры; организация дорожного движения, в том числе улучшение качества дорожного покрытия, расширение параметров ряда магистральных улиц, ввод в эксплуатацию транспортных развязок; улучшением технических характеристик транспортных средств в части приобретения машин с двигателями евро стандарта; повышение качества применяемого топлива; перевод, хотя пока и незначительной, части автотранспорта на природные источники энергии.</w:t>
      </w:r>
    </w:p>
    <w:p w14:paraId="BB040000">
      <w:pPr>
        <w:pStyle w:val="Style_2"/>
        <w:spacing w:line="240" w:lineRule="auto"/>
        <w:ind w:firstLine="709" w:left="0" w:right="0"/>
        <w:jc w:val="both"/>
        <w:rPr>
          <w:rFonts w:ascii="Times New Roman" w:hAnsi="Times New Roman"/>
        </w:rPr>
      </w:pPr>
      <w:r>
        <w:t>Контроль за качеством атмосферного воздуха в городах Петропавловск-Камчатский и Елизово осуществляется Центром по мониторингу загрязнения окружающей среды ФГБУ «Камчатское УГМС» на 6-ти стационарных пунктах наблюдений. В других населенных пунктах края инструментальный контроль качества атмосферного воздуха не производился. Случаев высокого и экстремального загрязнения воздуха в 2023 году не зарегистрировано.</w:t>
      </w:r>
    </w:p>
    <w:p w14:paraId="BC040000">
      <w:pPr>
        <w:pStyle w:val="Style_2"/>
        <w:spacing w:line="240" w:lineRule="auto"/>
        <w:ind w:firstLine="709" w:left="0" w:right="0"/>
        <w:jc w:val="both"/>
        <w:rPr>
          <w:rFonts w:ascii="Times New Roman" w:hAnsi="Times New Roman"/>
        </w:rPr>
      </w:pPr>
      <w:r>
        <w:rPr>
          <w:b w:val="1"/>
          <w:i w:val="1"/>
        </w:rPr>
        <w:t>Радиационная обстановка</w:t>
      </w:r>
    </w:p>
    <w:p w14:paraId="BD040000">
      <w:pPr>
        <w:pStyle w:val="Style_2"/>
        <w:spacing w:line="240" w:lineRule="auto"/>
        <w:ind w:firstLine="709" w:left="0" w:right="0"/>
        <w:jc w:val="both"/>
        <w:rPr>
          <w:rFonts w:ascii="Times New Roman" w:hAnsi="Times New Roman"/>
        </w:rPr>
      </w:pPr>
      <w:r>
        <w:t>По данным, полученным в ходе проведения радиационно-гигиенического мониторинга в 2023 году, количественные и качественные показатели радиационной безопасности остались на уровне предыдущих лет, изменений в сторону ухудшений не отмечено. Зоны радиоактивного загрязнения, радиационные аномалии на территории Камчатского края не выявлены.</w:t>
      </w:r>
    </w:p>
    <w:p w14:paraId="BE040000">
      <w:pPr>
        <w:pStyle w:val="Style_2"/>
        <w:spacing w:line="240" w:lineRule="auto"/>
        <w:ind w:firstLine="709" w:left="0" w:right="0"/>
        <w:jc w:val="both"/>
        <w:rPr>
          <w:rFonts w:ascii="Times New Roman" w:hAnsi="Times New Roman"/>
        </w:rPr>
      </w:pPr>
      <w:r>
        <w:t xml:space="preserve">Наблюдения за радиоактивным загрязнением проводили 19 сетевых подразделений ФГБУ «Камчатское УГМС». Среднемесячные значения мощности амбиентного эквивалента дозы (МАЭД) гамма-излучения в отчетном году изменялось в пределах от 0,072 до 0,116 мкЗв/час. Максимальные значения МАЭД зарегистрированы на пункте радиометрической сети Ключи ОГМС в ноябре – 0,15 мкЗв/час, ниже критерия ВЗ. </w:t>
      </w:r>
    </w:p>
    <w:p w14:paraId="BF040000">
      <w:pPr>
        <w:pStyle w:val="Style_2"/>
        <w:spacing w:line="240" w:lineRule="auto"/>
        <w:ind w:firstLine="709" w:left="0" w:right="0"/>
        <w:jc w:val="both"/>
        <w:rPr>
          <w:rFonts w:ascii="Times New Roman" w:hAnsi="Times New Roman"/>
        </w:rPr>
      </w:pPr>
      <w:r>
        <w:rPr>
          <w:b w:val="1"/>
          <w:i w:val="1"/>
        </w:rPr>
        <w:t>Охрана водных ресурсов</w:t>
      </w:r>
    </w:p>
    <w:p w14:paraId="C0040000">
      <w:pPr>
        <w:pStyle w:val="Style_2"/>
        <w:spacing w:line="240" w:lineRule="auto"/>
        <w:ind w:firstLine="709" w:left="0" w:right="0"/>
        <w:jc w:val="both"/>
        <w:rPr>
          <w:rFonts w:ascii="Times New Roman" w:hAnsi="Times New Roman"/>
        </w:rPr>
      </w:pPr>
      <w:r>
        <w:t>В поверхностные водные объекты Камчатского края в 2023 году сброшено 123,4 млн м</w:t>
      </w:r>
      <w:r>
        <w:rPr>
          <w:vertAlign w:val="superscript"/>
        </w:rPr>
        <w:t>3</w:t>
      </w:r>
      <w:r>
        <w:t xml:space="preserve"> сточных вод (в 2022 году – 120,1 млн м</w:t>
      </w:r>
      <w:r>
        <w:rPr>
          <w:vertAlign w:val="superscript"/>
        </w:rPr>
        <w:t>3</w:t>
      </w:r>
      <w:r>
        <w:t>). Основными источниками загрязнения водных объектов в Камчатском крае по-прежнему являются предприятия жилищно-коммунального и энергетического комплекса, на долю которых приходится более 60% общего объема сброса сточных вод, требующих очистки и почти 60% массы загрязняющих веществ от общего количества сброса загрязняющих веществ по краю.</w:t>
      </w:r>
    </w:p>
    <w:p w14:paraId="C1040000">
      <w:pPr>
        <w:pStyle w:val="Style_2"/>
        <w:spacing w:after="0" w:before="0" w:line="240" w:lineRule="auto"/>
        <w:ind w:firstLine="709" w:left="0" w:right="0"/>
        <w:jc w:val="both"/>
        <w:rPr>
          <w:rFonts w:ascii="Times New Roman" w:hAnsi="Times New Roman"/>
        </w:rPr>
      </w:pPr>
      <w:r>
        <w:t>Из природных водных объектов Камчатского края в 2023 году было изъято 170,9 млн м</w:t>
      </w:r>
      <w:r>
        <w:rPr>
          <w:vertAlign w:val="superscript"/>
        </w:rPr>
        <w:t xml:space="preserve">3 </w:t>
      </w:r>
      <w:r>
        <w:rPr>
          <w:sz w:val="24"/>
        </w:rPr>
        <w:t>воды</w:t>
      </w:r>
      <w:r>
        <w:t>, что на 1,2% выше показателя 2022 года (168,8 млн м</w:t>
      </w:r>
      <w:r>
        <w:rPr>
          <w:vertAlign w:val="superscript"/>
        </w:rPr>
        <w:t>3</w:t>
      </w:r>
      <w:r>
        <w:t>).</w:t>
      </w:r>
    </w:p>
    <w:p w14:paraId="C2040000">
      <w:pPr>
        <w:pStyle w:val="Style_2"/>
        <w:spacing w:after="0" w:before="0" w:line="240" w:lineRule="auto"/>
        <w:ind w:firstLine="709" w:left="0" w:right="0"/>
        <w:jc w:val="both"/>
        <w:rPr>
          <w:rFonts w:ascii="Times New Roman" w:hAnsi="Times New Roman"/>
        </w:rPr>
      </w:pPr>
      <w:r>
        <w:t>Из поверхностных водных объектов в 2023 году, включая морскую воду, было забрано 103,1 млн м</w:t>
      </w:r>
      <w:r>
        <w:rPr>
          <w:vertAlign w:val="superscript"/>
        </w:rPr>
        <w:t>3</w:t>
      </w:r>
      <w:r>
        <w:rPr>
          <w:sz w:val="24"/>
        </w:rPr>
        <w:t xml:space="preserve"> воды</w:t>
      </w:r>
      <w:r>
        <w:t>, что на 3% выше показателя 2022 года (100,2 млн м</w:t>
      </w:r>
      <w:r>
        <w:rPr>
          <w:vertAlign w:val="superscript"/>
        </w:rPr>
        <w:t>3</w:t>
      </w:r>
      <w:r>
        <w:t>).</w:t>
      </w:r>
    </w:p>
    <w:p w14:paraId="C3040000">
      <w:pPr>
        <w:pStyle w:val="Style_2"/>
        <w:spacing w:after="0" w:before="0" w:line="240" w:lineRule="auto"/>
        <w:ind w:firstLine="709" w:left="0" w:right="0"/>
        <w:jc w:val="both"/>
        <w:rPr>
          <w:rFonts w:ascii="Times New Roman" w:hAnsi="Times New Roman"/>
        </w:rPr>
      </w:pPr>
      <w:r>
        <w:t>Фактический забор пресной воды из поверхностных водных объектов в 2023 году составил 73,9 млн м</w:t>
      </w:r>
      <w:r>
        <w:rPr>
          <w:vertAlign w:val="superscript"/>
        </w:rPr>
        <w:t>3</w:t>
      </w:r>
      <w:r>
        <w:t>, забор морской воды – 29,2 млн м</w:t>
      </w:r>
      <w:r>
        <w:rPr>
          <w:vertAlign w:val="superscript"/>
        </w:rPr>
        <w:t>3</w:t>
      </w:r>
      <w:r>
        <w:t>, забор подземной воды 67,9 млн м</w:t>
      </w:r>
      <w:r>
        <w:rPr>
          <w:vertAlign w:val="superscript"/>
        </w:rPr>
        <w:t>3</w:t>
      </w:r>
      <w:r>
        <w:t>.</w:t>
      </w:r>
    </w:p>
    <w:p w14:paraId="C4040000">
      <w:pPr>
        <w:pStyle w:val="Style_2"/>
        <w:spacing w:line="240" w:lineRule="auto"/>
        <w:ind w:firstLine="709" w:left="0" w:right="0"/>
        <w:jc w:val="both"/>
        <w:rPr>
          <w:rFonts w:ascii="Times New Roman" w:hAnsi="Times New Roman"/>
        </w:rPr>
      </w:pPr>
      <w:r>
        <w:rPr>
          <w:b w:val="1"/>
          <w:i w:val="1"/>
        </w:rPr>
        <w:t>Отходы</w:t>
      </w:r>
      <w:r>
        <w:t xml:space="preserve"> </w:t>
      </w:r>
      <w:r>
        <w:rPr>
          <w:b w:val="1"/>
          <w:i w:val="1"/>
        </w:rPr>
        <w:t>производства и потребления</w:t>
      </w:r>
    </w:p>
    <w:p w14:paraId="C5040000">
      <w:pPr>
        <w:pStyle w:val="Style_2"/>
        <w:spacing w:line="240" w:lineRule="auto"/>
        <w:ind w:firstLine="709" w:left="0" w:right="0"/>
        <w:jc w:val="both"/>
        <w:rPr>
          <w:rFonts w:ascii="Times New Roman" w:hAnsi="Times New Roman"/>
        </w:rPr>
      </w:pPr>
      <w:r>
        <w:t xml:space="preserve">Дальневосточным межрегиональным управлением Росприроднадзора в 2021 году осуществлялись сбор, обработка и систематизация статистических данных по форме № 2-ТП (отходы) с использованием программного комплекса: «Личный кабинет природопользователя». </w:t>
      </w:r>
    </w:p>
    <w:p w14:paraId="C6040000">
      <w:pPr>
        <w:pStyle w:val="Style_2"/>
        <w:spacing w:line="240" w:lineRule="auto"/>
        <w:ind w:firstLine="709" w:left="0" w:right="0"/>
        <w:jc w:val="both"/>
        <w:rPr>
          <w:rFonts w:ascii="Times New Roman" w:hAnsi="Times New Roman"/>
        </w:rPr>
      </w:pPr>
      <w:r>
        <w:t>В соответствии с Федеральным законом от 24.06.1998 № 89-ФЗ «Об отходах производства и потребления» биологические и медицинские отходы выведены из общей системы регулирования обращения с отходами и в сведениях статистической отчетности 2-ТП (отходы) не учитываются.</w:t>
      </w:r>
    </w:p>
    <w:p w14:paraId="C7040000">
      <w:pPr>
        <w:pStyle w:val="Style_2"/>
        <w:spacing w:line="240" w:lineRule="auto"/>
        <w:ind w:firstLine="709" w:left="0" w:right="0"/>
        <w:jc w:val="both"/>
        <w:rPr>
          <w:rFonts w:ascii="Times New Roman" w:hAnsi="Times New Roman"/>
        </w:rPr>
      </w:pPr>
      <w:r>
        <w:t>В 2023 году статистической отчетностью по форме 2–ТП (отходы) охвачено 470 респондентов, входящих в перечень основных предприятий и организаций Камчатского края, деятельность которых связана с образованием отходов производства и потребления, а также с осуществлением деятельности по сбору, транспортированию, обработке, утилизации, обезвреживанию и размещению отходов (в 2022 году – 463 респондента).</w:t>
      </w:r>
    </w:p>
    <w:p w14:paraId="C8040000">
      <w:pPr>
        <w:pStyle w:val="Style_2"/>
        <w:spacing w:line="240" w:lineRule="auto"/>
        <w:ind/>
        <w:jc w:val="center"/>
        <w:rPr>
          <w:rFonts w:ascii="Times New Roman" w:hAnsi="Times New Roman"/>
          <w:b w:val="1"/>
        </w:rPr>
      </w:pPr>
    </w:p>
    <w:p w14:paraId="C9040000">
      <w:pPr>
        <w:pStyle w:val="Style_2"/>
        <w:spacing w:line="240" w:lineRule="auto"/>
        <w:ind/>
        <w:jc w:val="center"/>
        <w:rPr>
          <w:rFonts w:ascii="Times New Roman" w:hAnsi="Times New Roman"/>
          <w:b w:val="0"/>
        </w:rPr>
      </w:pPr>
      <w:r>
        <w:rPr>
          <w:b w:val="0"/>
        </w:rPr>
        <w:t xml:space="preserve">Показатели образования отходов и обращения с ними в Камчатском крае в 2023 году </w:t>
      </w:r>
    </w:p>
    <w:p w14:paraId="CA040000">
      <w:pPr>
        <w:pStyle w:val="Style_2"/>
        <w:spacing w:line="240" w:lineRule="auto"/>
        <w:ind/>
        <w:jc w:val="center"/>
        <w:rPr>
          <w:rFonts w:ascii="Times New Roman" w:hAnsi="Times New Roman"/>
        </w:rPr>
      </w:pPr>
    </w:p>
    <w:p w14:paraId="CB040000">
      <w:pPr>
        <w:pStyle w:val="Style_2"/>
        <w:spacing w:line="240" w:lineRule="auto"/>
        <w:ind/>
        <w:jc w:val="right"/>
        <w:rPr>
          <w:rFonts w:ascii="Times New Roman" w:hAnsi="Times New Roman"/>
        </w:rPr>
      </w:pPr>
      <w:r>
        <w:t xml:space="preserve">тонн </w:t>
      </w:r>
    </w:p>
    <w:tbl>
      <w:tblPr>
        <w:tblStyle w:val="Style_6"/>
        <w:tblInd w:type="dxa" w:w="69"/>
        <w:tblLayout w:type="fixed"/>
        <w:tblCellMar>
          <w:top w:type="dxa" w:w="0"/>
          <w:left w:type="dxa" w:w="108"/>
          <w:bottom w:type="dxa" w:w="0"/>
          <w:right w:type="dxa" w:w="108"/>
        </w:tblCellMar>
      </w:tblPr>
      <w:tblGrid>
        <w:gridCol w:w="2780"/>
        <w:gridCol w:w="1397"/>
        <w:gridCol w:w="981"/>
        <w:gridCol w:w="1070"/>
        <w:gridCol w:w="1175"/>
        <w:gridCol w:w="1359"/>
        <w:gridCol w:w="1374"/>
      </w:tblGrid>
      <w:tr>
        <w:trPr>
          <w:trHeight w:hRule="atLeast" w:val="300"/>
        </w:trPr>
        <w:tc>
          <w:tcPr>
            <w:tcW w:type="dxa" w:w="2780"/>
            <w:vMerge w:val="restart"/>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vAlign w:val="center"/>
          </w:tcPr>
          <w:p w14:paraId="CC040000">
            <w:pPr>
              <w:pStyle w:val="Style_2"/>
              <w:widowControl w:val="1"/>
              <w:spacing w:after="0" w:before="0" w:line="240" w:lineRule="auto"/>
              <w:ind w:firstLine="0" w:left="0" w:right="0"/>
              <w:jc w:val="center"/>
              <w:rPr>
                <w:rFonts w:ascii="Times New Roman" w:hAnsi="Times New Roman"/>
              </w:rPr>
            </w:pPr>
            <w:r>
              <w:rPr>
                <w:b w:val="1"/>
                <w:color w:val="000000"/>
                <w:spacing w:val="0"/>
                <w:sz w:val="20"/>
              </w:rPr>
              <w:t>Показатели</w:t>
            </w:r>
          </w:p>
        </w:tc>
        <w:tc>
          <w:tcPr>
            <w:tcW w:type="dxa" w:w="1397"/>
            <w:vMerge w:val="restart"/>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vAlign w:val="center"/>
          </w:tcPr>
          <w:p w14:paraId="CD040000">
            <w:pPr>
              <w:pStyle w:val="Style_2"/>
              <w:widowControl w:val="1"/>
              <w:spacing w:after="0" w:before="0" w:line="240" w:lineRule="auto"/>
              <w:ind w:firstLine="0" w:left="0" w:right="0"/>
              <w:jc w:val="center"/>
              <w:rPr>
                <w:rFonts w:ascii="Times New Roman" w:hAnsi="Times New Roman"/>
              </w:rPr>
            </w:pPr>
            <w:r>
              <w:rPr>
                <w:b w:val="1"/>
                <w:color w:val="000000"/>
                <w:spacing w:val="0"/>
                <w:sz w:val="20"/>
              </w:rPr>
              <w:t>Всего (тонн)</w:t>
            </w:r>
          </w:p>
        </w:tc>
        <w:tc>
          <w:tcPr>
            <w:tcW w:type="dxa" w:w="5959"/>
            <w:gridSpan w:val="5"/>
            <w:tcBorders>
              <w:top w:color="000000" w:sz="4" w:val="single"/>
              <w:bottom w:color="000000" w:sz="4" w:val="single"/>
              <w:right w:color="000000" w:sz="4" w:val="single"/>
            </w:tcBorders>
            <w:shd w:fill="auto" w:val="clear"/>
            <w:tcMar>
              <w:top w:type="dxa" w:w="0"/>
              <w:left w:type="dxa" w:w="108"/>
              <w:bottom w:type="dxa" w:w="0"/>
              <w:right w:type="dxa" w:w="108"/>
            </w:tcMar>
            <w:vAlign w:val="center"/>
          </w:tcPr>
          <w:p w14:paraId="CE040000">
            <w:pPr>
              <w:pStyle w:val="Style_2"/>
              <w:widowControl w:val="1"/>
              <w:spacing w:after="0" w:before="0" w:line="240" w:lineRule="auto"/>
              <w:ind w:firstLine="0" w:left="0" w:right="0"/>
              <w:jc w:val="center"/>
              <w:rPr>
                <w:rFonts w:ascii="Times New Roman" w:hAnsi="Times New Roman"/>
              </w:rPr>
            </w:pPr>
            <w:r>
              <w:rPr>
                <w:b w:val="1"/>
                <w:color w:val="000000"/>
                <w:spacing w:val="0"/>
                <w:sz w:val="20"/>
              </w:rPr>
              <w:t>В том числе (по классу опасности) (тонн)</w:t>
            </w:r>
          </w:p>
        </w:tc>
      </w:tr>
      <w:tr>
        <w:trPr>
          <w:trHeight w:hRule="atLeast" w:val="300"/>
        </w:trPr>
        <w:tc>
          <w:tcPr>
            <w:tcW w:type="dxa" w:w="2780"/>
            <w:gridSpan w:val="1"/>
            <w:vMerge w:val="continue"/>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vAlign w:val="center"/>
          </w:tcPr>
          <w:p/>
        </w:tc>
        <w:tc>
          <w:tcPr>
            <w:tcW w:type="dxa" w:w="1397"/>
            <w:gridSpan w:val="1"/>
            <w:vMerge w:val="continue"/>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vAlign w:val="center"/>
          </w:tcPr>
          <w:p/>
        </w:tc>
        <w:tc>
          <w:tcPr>
            <w:tcW w:type="dxa" w:w="981"/>
            <w:tcBorders>
              <w:bottom w:color="000000" w:sz="4" w:val="single"/>
              <w:right w:color="000000" w:sz="4" w:val="single"/>
            </w:tcBorders>
            <w:shd w:fill="auto" w:val="clear"/>
            <w:tcMar>
              <w:top w:type="dxa" w:w="0"/>
              <w:left w:type="dxa" w:w="108"/>
              <w:bottom w:type="dxa" w:w="0"/>
              <w:right w:type="dxa" w:w="108"/>
            </w:tcMar>
            <w:vAlign w:val="center"/>
          </w:tcPr>
          <w:p w14:paraId="CF040000">
            <w:pPr>
              <w:pStyle w:val="Style_2"/>
              <w:widowControl w:val="1"/>
              <w:spacing w:after="0" w:before="0" w:line="240" w:lineRule="auto"/>
              <w:ind w:firstLine="0" w:left="0" w:right="0"/>
              <w:jc w:val="center"/>
              <w:rPr>
                <w:rFonts w:ascii="Times New Roman" w:hAnsi="Times New Roman"/>
              </w:rPr>
            </w:pPr>
            <w:r>
              <w:rPr>
                <w:b w:val="1"/>
                <w:color w:val="000000"/>
                <w:spacing w:val="0"/>
                <w:sz w:val="20"/>
              </w:rPr>
              <w:t>I</w:t>
            </w:r>
          </w:p>
        </w:tc>
        <w:tc>
          <w:tcPr>
            <w:tcW w:type="dxa" w:w="1070"/>
            <w:tcBorders>
              <w:bottom w:color="000000" w:sz="4" w:val="single"/>
              <w:right w:color="000000" w:sz="4" w:val="single"/>
            </w:tcBorders>
            <w:shd w:fill="auto" w:val="clear"/>
            <w:tcMar>
              <w:top w:type="dxa" w:w="0"/>
              <w:left w:type="dxa" w:w="108"/>
              <w:bottom w:type="dxa" w:w="0"/>
              <w:right w:type="dxa" w:w="108"/>
            </w:tcMar>
            <w:vAlign w:val="center"/>
          </w:tcPr>
          <w:p w14:paraId="D0040000">
            <w:pPr>
              <w:pStyle w:val="Style_2"/>
              <w:widowControl w:val="1"/>
              <w:spacing w:after="0" w:before="0" w:line="240" w:lineRule="auto"/>
              <w:ind w:firstLine="0" w:left="0" w:right="0"/>
              <w:jc w:val="center"/>
              <w:rPr>
                <w:rFonts w:ascii="Times New Roman" w:hAnsi="Times New Roman"/>
              </w:rPr>
            </w:pPr>
            <w:r>
              <w:rPr>
                <w:b w:val="1"/>
                <w:color w:val="000000"/>
                <w:spacing w:val="0"/>
                <w:sz w:val="20"/>
              </w:rPr>
              <w:t>II</w:t>
            </w:r>
          </w:p>
        </w:tc>
        <w:tc>
          <w:tcPr>
            <w:tcW w:type="dxa" w:w="1175"/>
            <w:tcBorders>
              <w:bottom w:color="000000" w:sz="4" w:val="single"/>
              <w:right w:color="000000" w:sz="4" w:val="single"/>
            </w:tcBorders>
            <w:shd w:fill="auto" w:val="clear"/>
            <w:tcMar>
              <w:top w:type="dxa" w:w="0"/>
              <w:left w:type="dxa" w:w="108"/>
              <w:bottom w:type="dxa" w:w="0"/>
              <w:right w:type="dxa" w:w="108"/>
            </w:tcMar>
            <w:vAlign w:val="center"/>
          </w:tcPr>
          <w:p w14:paraId="D1040000">
            <w:pPr>
              <w:pStyle w:val="Style_2"/>
              <w:widowControl w:val="1"/>
              <w:spacing w:after="0" w:before="0" w:line="240" w:lineRule="auto"/>
              <w:ind w:firstLine="0" w:left="0" w:right="0"/>
              <w:jc w:val="center"/>
              <w:rPr>
                <w:rFonts w:ascii="Times New Roman" w:hAnsi="Times New Roman"/>
              </w:rPr>
            </w:pPr>
            <w:r>
              <w:rPr>
                <w:b w:val="1"/>
                <w:color w:val="000000"/>
                <w:spacing w:val="0"/>
                <w:sz w:val="20"/>
              </w:rPr>
              <w:t>III</w:t>
            </w:r>
          </w:p>
        </w:tc>
        <w:tc>
          <w:tcPr>
            <w:tcW w:type="dxa" w:w="1359"/>
            <w:tcBorders>
              <w:bottom w:color="000000" w:sz="4" w:val="single"/>
              <w:right w:color="000000" w:sz="4" w:val="single"/>
            </w:tcBorders>
            <w:shd w:fill="auto" w:val="clear"/>
            <w:tcMar>
              <w:top w:type="dxa" w:w="0"/>
              <w:left w:type="dxa" w:w="108"/>
              <w:bottom w:type="dxa" w:w="0"/>
              <w:right w:type="dxa" w:w="108"/>
            </w:tcMar>
            <w:vAlign w:val="center"/>
          </w:tcPr>
          <w:p w14:paraId="D2040000">
            <w:pPr>
              <w:pStyle w:val="Style_2"/>
              <w:widowControl w:val="1"/>
              <w:spacing w:after="0" w:before="0" w:line="240" w:lineRule="auto"/>
              <w:ind w:firstLine="0" w:left="0" w:right="0"/>
              <w:jc w:val="center"/>
              <w:rPr>
                <w:rFonts w:ascii="Times New Roman" w:hAnsi="Times New Roman"/>
              </w:rPr>
            </w:pPr>
            <w:r>
              <w:rPr>
                <w:b w:val="1"/>
                <w:color w:val="000000"/>
                <w:spacing w:val="0"/>
                <w:sz w:val="20"/>
              </w:rPr>
              <w:t>IV</w:t>
            </w:r>
          </w:p>
        </w:tc>
        <w:tc>
          <w:tcPr>
            <w:tcW w:type="dxa" w:w="1374"/>
            <w:tcBorders>
              <w:bottom w:color="000000" w:sz="4" w:val="single"/>
              <w:right w:color="000000" w:sz="4" w:val="single"/>
            </w:tcBorders>
            <w:shd w:fill="auto" w:val="clear"/>
            <w:tcMar>
              <w:top w:type="dxa" w:w="0"/>
              <w:left w:type="dxa" w:w="108"/>
              <w:bottom w:type="dxa" w:w="0"/>
              <w:right w:type="dxa" w:w="108"/>
            </w:tcMar>
            <w:vAlign w:val="center"/>
          </w:tcPr>
          <w:p w14:paraId="D3040000">
            <w:pPr>
              <w:pStyle w:val="Style_2"/>
              <w:widowControl w:val="1"/>
              <w:spacing w:after="0" w:before="0" w:line="240" w:lineRule="auto"/>
              <w:ind w:firstLine="0" w:left="0" w:right="0"/>
              <w:jc w:val="center"/>
              <w:rPr>
                <w:rFonts w:ascii="Times New Roman" w:hAnsi="Times New Roman"/>
              </w:rPr>
            </w:pPr>
            <w:r>
              <w:rPr>
                <w:b w:val="1"/>
                <w:color w:val="000000"/>
                <w:spacing w:val="0"/>
                <w:sz w:val="20"/>
              </w:rPr>
              <w:t>V</w:t>
            </w:r>
          </w:p>
        </w:tc>
      </w:tr>
      <w:tr>
        <w:trPr>
          <w:trHeight w:hRule="atLeast" w:val="300"/>
        </w:trPr>
        <w:tc>
          <w:tcPr>
            <w:tcW w:type="dxa" w:w="2780"/>
            <w:tcBorders>
              <w:left w:color="000000" w:sz="4" w:val="single"/>
              <w:bottom w:color="000000" w:sz="4" w:val="single"/>
              <w:right w:color="000000" w:sz="4" w:val="single"/>
            </w:tcBorders>
            <w:shd w:fill="auto" w:val="clear"/>
            <w:tcMar>
              <w:top w:type="dxa" w:w="0"/>
              <w:left w:type="dxa" w:w="108"/>
              <w:bottom w:type="dxa" w:w="0"/>
              <w:right w:type="dxa" w:w="108"/>
            </w:tcMar>
            <w:vAlign w:val="center"/>
          </w:tcPr>
          <w:p w14:paraId="D4040000">
            <w:pPr>
              <w:pStyle w:val="Style_2"/>
              <w:widowControl w:val="1"/>
              <w:spacing w:after="0" w:before="0" w:line="240" w:lineRule="auto"/>
              <w:ind w:firstLine="0" w:left="0" w:right="0"/>
              <w:jc w:val="left"/>
              <w:rPr>
                <w:rFonts w:ascii="Times New Roman" w:hAnsi="Times New Roman"/>
              </w:rPr>
            </w:pPr>
            <w:r>
              <w:rPr>
                <w:color w:val="000000"/>
                <w:spacing w:val="0"/>
                <w:sz w:val="20"/>
              </w:rPr>
              <w:t>Наличие отходов на начало отчетного года</w:t>
            </w:r>
          </w:p>
        </w:tc>
        <w:tc>
          <w:tcPr>
            <w:tcW w:type="dxa" w:w="1397"/>
            <w:tcBorders>
              <w:bottom w:color="000000" w:sz="4" w:val="single"/>
              <w:right w:color="000000" w:sz="4" w:val="single"/>
            </w:tcBorders>
            <w:shd w:fill="auto" w:val="clear"/>
            <w:tcMar>
              <w:top w:type="dxa" w:w="0"/>
              <w:left w:type="dxa" w:w="108"/>
              <w:bottom w:type="dxa" w:w="0"/>
              <w:right w:type="dxa" w:w="108"/>
            </w:tcMar>
            <w:vAlign w:val="center"/>
          </w:tcPr>
          <w:p w14:paraId="D5040000">
            <w:pPr>
              <w:pStyle w:val="Style_2"/>
              <w:widowControl w:val="1"/>
              <w:spacing w:after="0" w:before="0" w:line="240" w:lineRule="auto"/>
              <w:ind w:firstLine="0" w:left="0" w:right="0"/>
              <w:jc w:val="center"/>
              <w:rPr>
                <w:rFonts w:ascii="Times New Roman" w:hAnsi="Times New Roman"/>
              </w:rPr>
            </w:pPr>
            <w:r>
              <w:rPr>
                <w:color w:val="000000"/>
                <w:spacing w:val="0"/>
                <w:sz w:val="20"/>
              </w:rPr>
              <w:t>651 967,678</w:t>
            </w:r>
          </w:p>
        </w:tc>
        <w:tc>
          <w:tcPr>
            <w:tcW w:type="dxa" w:w="981"/>
            <w:tcBorders>
              <w:bottom w:color="000000" w:sz="4" w:val="single"/>
              <w:right w:color="000000" w:sz="4" w:val="single"/>
            </w:tcBorders>
            <w:shd w:fill="auto" w:val="clear"/>
            <w:tcMar>
              <w:top w:type="dxa" w:w="0"/>
              <w:left w:type="dxa" w:w="108"/>
              <w:bottom w:type="dxa" w:w="0"/>
              <w:right w:type="dxa" w:w="108"/>
            </w:tcMar>
            <w:vAlign w:val="center"/>
          </w:tcPr>
          <w:p w14:paraId="D6040000">
            <w:pPr>
              <w:pStyle w:val="Style_2"/>
              <w:widowControl w:val="1"/>
              <w:spacing w:after="0" w:before="0" w:line="240" w:lineRule="auto"/>
              <w:ind w:firstLine="0" w:left="0" w:right="0"/>
              <w:jc w:val="center"/>
              <w:rPr>
                <w:rFonts w:ascii="Times New Roman" w:hAnsi="Times New Roman"/>
              </w:rPr>
            </w:pPr>
            <w:r>
              <w:rPr>
                <w:color w:val="000000"/>
                <w:spacing w:val="0"/>
                <w:sz w:val="20"/>
              </w:rPr>
              <w:t>2,374</w:t>
            </w:r>
          </w:p>
        </w:tc>
        <w:tc>
          <w:tcPr>
            <w:tcW w:type="dxa" w:w="1070"/>
            <w:tcBorders>
              <w:bottom w:color="000000" w:sz="4" w:val="single"/>
              <w:right w:color="000000" w:sz="4" w:val="single"/>
            </w:tcBorders>
            <w:shd w:fill="auto" w:val="clear"/>
            <w:tcMar>
              <w:top w:type="dxa" w:w="0"/>
              <w:left w:type="dxa" w:w="108"/>
              <w:bottom w:type="dxa" w:w="0"/>
              <w:right w:type="dxa" w:w="108"/>
            </w:tcMar>
            <w:vAlign w:val="center"/>
          </w:tcPr>
          <w:p w14:paraId="D7040000">
            <w:pPr>
              <w:pStyle w:val="Style_2"/>
              <w:widowControl w:val="1"/>
              <w:spacing w:after="0" w:before="0" w:line="240" w:lineRule="auto"/>
              <w:ind w:firstLine="0" w:left="0" w:right="0"/>
              <w:jc w:val="center"/>
              <w:rPr>
                <w:rFonts w:ascii="Times New Roman" w:hAnsi="Times New Roman"/>
              </w:rPr>
            </w:pPr>
            <w:r>
              <w:rPr>
                <w:color w:val="000000"/>
                <w:spacing w:val="0"/>
                <w:sz w:val="20"/>
              </w:rPr>
              <w:t>18,761</w:t>
            </w:r>
          </w:p>
        </w:tc>
        <w:tc>
          <w:tcPr>
            <w:tcW w:type="dxa" w:w="1175"/>
            <w:tcBorders>
              <w:bottom w:color="000000" w:sz="4" w:val="single"/>
              <w:right w:color="000000" w:sz="4" w:val="single"/>
            </w:tcBorders>
            <w:shd w:fill="auto" w:val="clear"/>
            <w:tcMar>
              <w:top w:type="dxa" w:w="0"/>
              <w:left w:type="dxa" w:w="108"/>
              <w:bottom w:type="dxa" w:w="0"/>
              <w:right w:type="dxa" w:w="108"/>
            </w:tcMar>
            <w:vAlign w:val="center"/>
          </w:tcPr>
          <w:p w14:paraId="D8040000">
            <w:pPr>
              <w:pStyle w:val="Style_2"/>
              <w:widowControl w:val="1"/>
              <w:spacing w:after="0" w:before="0" w:line="240" w:lineRule="auto"/>
              <w:ind w:firstLine="0" w:left="0" w:right="0"/>
              <w:jc w:val="center"/>
              <w:rPr>
                <w:rFonts w:ascii="Times New Roman" w:hAnsi="Times New Roman"/>
              </w:rPr>
            </w:pPr>
            <w:r>
              <w:rPr>
                <w:color w:val="000000"/>
                <w:spacing w:val="0"/>
                <w:sz w:val="20"/>
              </w:rPr>
              <w:t>31 842,771</w:t>
            </w:r>
          </w:p>
        </w:tc>
        <w:tc>
          <w:tcPr>
            <w:tcW w:type="dxa" w:w="1359"/>
            <w:tcBorders>
              <w:bottom w:color="000000" w:sz="4" w:val="single"/>
              <w:right w:color="000000" w:sz="4" w:val="single"/>
            </w:tcBorders>
            <w:shd w:fill="auto" w:val="clear"/>
            <w:tcMar>
              <w:top w:type="dxa" w:w="0"/>
              <w:left w:type="dxa" w:w="108"/>
              <w:bottom w:type="dxa" w:w="0"/>
              <w:right w:type="dxa" w:w="108"/>
            </w:tcMar>
            <w:vAlign w:val="center"/>
          </w:tcPr>
          <w:p w14:paraId="D9040000">
            <w:pPr>
              <w:pStyle w:val="Style_2"/>
              <w:widowControl w:val="1"/>
              <w:spacing w:after="0" w:before="0" w:line="240" w:lineRule="auto"/>
              <w:ind w:firstLine="0" w:left="0" w:right="0"/>
              <w:jc w:val="center"/>
              <w:rPr>
                <w:rFonts w:ascii="Times New Roman" w:hAnsi="Times New Roman"/>
              </w:rPr>
            </w:pPr>
            <w:r>
              <w:rPr>
                <w:color w:val="000000"/>
                <w:spacing w:val="0"/>
                <w:sz w:val="20"/>
              </w:rPr>
              <w:t>17 456,555</w:t>
            </w:r>
          </w:p>
        </w:tc>
        <w:tc>
          <w:tcPr>
            <w:tcW w:type="dxa" w:w="1374"/>
            <w:tcBorders>
              <w:bottom w:color="000000" w:sz="4" w:val="single"/>
              <w:right w:color="000000" w:sz="4" w:val="single"/>
            </w:tcBorders>
            <w:shd w:fill="auto" w:val="clear"/>
            <w:tcMar>
              <w:top w:type="dxa" w:w="0"/>
              <w:left w:type="dxa" w:w="108"/>
              <w:bottom w:type="dxa" w:w="0"/>
              <w:right w:type="dxa" w:w="108"/>
            </w:tcMar>
            <w:vAlign w:val="center"/>
          </w:tcPr>
          <w:p w14:paraId="DA040000">
            <w:pPr>
              <w:pStyle w:val="Style_2"/>
              <w:widowControl w:val="1"/>
              <w:spacing w:after="0" w:before="0" w:line="240" w:lineRule="auto"/>
              <w:ind w:firstLine="0" w:left="0" w:right="0"/>
              <w:jc w:val="center"/>
              <w:rPr>
                <w:rFonts w:ascii="Times New Roman" w:hAnsi="Times New Roman"/>
              </w:rPr>
            </w:pPr>
            <w:r>
              <w:rPr>
                <w:color w:val="000000"/>
                <w:spacing w:val="0"/>
                <w:sz w:val="20"/>
              </w:rPr>
              <w:t>602 647,217</w:t>
            </w:r>
          </w:p>
        </w:tc>
      </w:tr>
      <w:tr>
        <w:trPr>
          <w:trHeight w:hRule="atLeast" w:val="300"/>
        </w:trPr>
        <w:tc>
          <w:tcPr>
            <w:tcW w:type="dxa" w:w="2780"/>
            <w:tcBorders>
              <w:left w:color="000000" w:sz="4" w:val="single"/>
              <w:bottom w:color="000000" w:sz="4" w:val="single"/>
              <w:right w:color="000000" w:sz="4" w:val="single"/>
            </w:tcBorders>
            <w:shd w:fill="auto" w:val="clear"/>
            <w:tcMar>
              <w:top w:type="dxa" w:w="0"/>
              <w:left w:type="dxa" w:w="108"/>
              <w:bottom w:type="dxa" w:w="0"/>
              <w:right w:type="dxa" w:w="108"/>
            </w:tcMar>
            <w:vAlign w:val="center"/>
          </w:tcPr>
          <w:p w14:paraId="DB040000">
            <w:pPr>
              <w:pStyle w:val="Style_2"/>
              <w:widowControl w:val="1"/>
              <w:spacing w:after="0" w:before="0" w:line="240" w:lineRule="auto"/>
              <w:ind w:firstLine="0" w:left="0" w:right="0"/>
              <w:jc w:val="left"/>
              <w:rPr>
                <w:rFonts w:ascii="Times New Roman" w:hAnsi="Times New Roman"/>
              </w:rPr>
            </w:pPr>
            <w:r>
              <w:rPr>
                <w:color w:val="000000"/>
                <w:spacing w:val="0"/>
                <w:sz w:val="20"/>
              </w:rPr>
              <w:t>Образование отходов за отчетный год</w:t>
            </w:r>
          </w:p>
        </w:tc>
        <w:tc>
          <w:tcPr>
            <w:tcW w:type="dxa" w:w="1397"/>
            <w:tcBorders>
              <w:bottom w:color="000000" w:sz="4" w:val="single"/>
              <w:right w:color="000000" w:sz="4" w:val="single"/>
            </w:tcBorders>
            <w:shd w:fill="auto" w:val="clear"/>
            <w:tcMar>
              <w:top w:type="dxa" w:w="0"/>
              <w:left w:type="dxa" w:w="108"/>
              <w:bottom w:type="dxa" w:w="0"/>
              <w:right w:type="dxa" w:w="108"/>
            </w:tcMar>
            <w:vAlign w:val="center"/>
          </w:tcPr>
          <w:p w14:paraId="DC040000">
            <w:pPr>
              <w:pStyle w:val="Style_2"/>
              <w:widowControl w:val="1"/>
              <w:spacing w:after="0" w:before="0" w:line="240" w:lineRule="auto"/>
              <w:ind w:firstLine="0" w:left="0" w:right="0"/>
              <w:jc w:val="center"/>
              <w:rPr>
                <w:rFonts w:ascii="Times New Roman" w:hAnsi="Times New Roman"/>
              </w:rPr>
            </w:pPr>
            <w:r>
              <w:rPr>
                <w:color w:val="000000"/>
                <w:spacing w:val="0"/>
                <w:sz w:val="20"/>
              </w:rPr>
              <w:t>6 259 801,490</w:t>
            </w:r>
          </w:p>
        </w:tc>
        <w:tc>
          <w:tcPr>
            <w:tcW w:type="dxa" w:w="981"/>
            <w:tcBorders>
              <w:bottom w:color="000000" w:sz="4" w:val="single"/>
              <w:right w:color="000000" w:sz="4" w:val="single"/>
            </w:tcBorders>
            <w:shd w:fill="auto" w:val="clear"/>
            <w:tcMar>
              <w:top w:type="dxa" w:w="0"/>
              <w:left w:type="dxa" w:w="108"/>
              <w:bottom w:type="dxa" w:w="0"/>
              <w:right w:type="dxa" w:w="108"/>
            </w:tcMar>
            <w:vAlign w:val="center"/>
          </w:tcPr>
          <w:p w14:paraId="DD040000">
            <w:pPr>
              <w:pStyle w:val="Style_2"/>
              <w:widowControl w:val="1"/>
              <w:spacing w:after="0" w:before="0" w:line="240" w:lineRule="auto"/>
              <w:ind w:firstLine="0" w:left="0" w:right="0"/>
              <w:jc w:val="center"/>
              <w:rPr>
                <w:rFonts w:ascii="Times New Roman" w:hAnsi="Times New Roman"/>
              </w:rPr>
            </w:pPr>
            <w:r>
              <w:rPr>
                <w:color w:val="000000"/>
                <w:spacing w:val="0"/>
                <w:sz w:val="20"/>
              </w:rPr>
              <w:t>1,988</w:t>
            </w:r>
          </w:p>
        </w:tc>
        <w:tc>
          <w:tcPr>
            <w:tcW w:type="dxa" w:w="1070"/>
            <w:tcBorders>
              <w:bottom w:color="000000" w:sz="4" w:val="single"/>
              <w:right w:color="000000" w:sz="4" w:val="single"/>
            </w:tcBorders>
            <w:shd w:fill="auto" w:val="clear"/>
            <w:tcMar>
              <w:top w:type="dxa" w:w="0"/>
              <w:left w:type="dxa" w:w="108"/>
              <w:bottom w:type="dxa" w:w="0"/>
              <w:right w:type="dxa" w:w="108"/>
            </w:tcMar>
            <w:vAlign w:val="center"/>
          </w:tcPr>
          <w:p w14:paraId="DE040000">
            <w:pPr>
              <w:pStyle w:val="Style_2"/>
              <w:widowControl w:val="1"/>
              <w:spacing w:after="0" w:before="0" w:line="240" w:lineRule="auto"/>
              <w:ind w:firstLine="0" w:left="0" w:right="0"/>
              <w:jc w:val="center"/>
              <w:rPr>
                <w:rFonts w:ascii="Times New Roman" w:hAnsi="Times New Roman"/>
              </w:rPr>
            </w:pPr>
            <w:r>
              <w:rPr>
                <w:color w:val="000000"/>
                <w:spacing w:val="0"/>
                <w:sz w:val="20"/>
              </w:rPr>
              <w:t>23,158</w:t>
            </w:r>
          </w:p>
        </w:tc>
        <w:tc>
          <w:tcPr>
            <w:tcW w:type="dxa" w:w="1175"/>
            <w:tcBorders>
              <w:bottom w:color="000000" w:sz="4" w:val="single"/>
              <w:right w:color="000000" w:sz="4" w:val="single"/>
            </w:tcBorders>
            <w:shd w:fill="auto" w:val="clear"/>
            <w:tcMar>
              <w:top w:type="dxa" w:w="0"/>
              <w:left w:type="dxa" w:w="108"/>
              <w:bottom w:type="dxa" w:w="0"/>
              <w:right w:type="dxa" w:w="108"/>
            </w:tcMar>
            <w:vAlign w:val="center"/>
          </w:tcPr>
          <w:p w14:paraId="DF040000">
            <w:pPr>
              <w:pStyle w:val="Style_2"/>
              <w:widowControl w:val="1"/>
              <w:spacing w:after="0" w:before="0" w:line="240" w:lineRule="auto"/>
              <w:ind w:firstLine="0" w:left="0" w:right="0"/>
              <w:jc w:val="center"/>
              <w:rPr>
                <w:rFonts w:ascii="Times New Roman" w:hAnsi="Times New Roman"/>
              </w:rPr>
            </w:pPr>
            <w:r>
              <w:rPr>
                <w:color w:val="000000"/>
                <w:spacing w:val="0"/>
                <w:sz w:val="20"/>
              </w:rPr>
              <w:t>62 315,575</w:t>
            </w:r>
          </w:p>
        </w:tc>
        <w:tc>
          <w:tcPr>
            <w:tcW w:type="dxa" w:w="1359"/>
            <w:tcBorders>
              <w:bottom w:color="000000" w:sz="4" w:val="single"/>
              <w:right w:color="000000" w:sz="4" w:val="single"/>
            </w:tcBorders>
            <w:shd w:fill="auto" w:val="clear"/>
            <w:tcMar>
              <w:top w:type="dxa" w:w="0"/>
              <w:left w:type="dxa" w:w="108"/>
              <w:bottom w:type="dxa" w:w="0"/>
              <w:right w:type="dxa" w:w="108"/>
            </w:tcMar>
            <w:vAlign w:val="center"/>
          </w:tcPr>
          <w:p w14:paraId="E0040000">
            <w:pPr>
              <w:pStyle w:val="Style_2"/>
              <w:widowControl w:val="1"/>
              <w:spacing w:after="0" w:before="0" w:line="240" w:lineRule="auto"/>
              <w:ind w:firstLine="0" w:left="0" w:right="0"/>
              <w:jc w:val="center"/>
              <w:rPr>
                <w:rFonts w:ascii="Times New Roman" w:hAnsi="Times New Roman"/>
              </w:rPr>
            </w:pPr>
            <w:r>
              <w:rPr>
                <w:color w:val="000000"/>
                <w:spacing w:val="0"/>
                <w:sz w:val="20"/>
              </w:rPr>
              <w:t>80 495,676</w:t>
            </w:r>
          </w:p>
        </w:tc>
        <w:tc>
          <w:tcPr>
            <w:tcW w:type="dxa" w:w="1374"/>
            <w:tcBorders>
              <w:bottom w:color="000000" w:sz="4" w:val="single"/>
              <w:right w:color="000000" w:sz="4" w:val="single"/>
            </w:tcBorders>
            <w:shd w:fill="auto" w:val="clear"/>
            <w:tcMar>
              <w:top w:type="dxa" w:w="0"/>
              <w:left w:type="dxa" w:w="108"/>
              <w:bottom w:type="dxa" w:w="0"/>
              <w:right w:type="dxa" w:w="108"/>
            </w:tcMar>
            <w:vAlign w:val="center"/>
          </w:tcPr>
          <w:p w14:paraId="E1040000">
            <w:pPr>
              <w:pStyle w:val="Style_2"/>
              <w:widowControl w:val="1"/>
              <w:spacing w:after="0" w:before="0" w:line="240" w:lineRule="auto"/>
              <w:ind w:firstLine="0" w:left="0" w:right="0"/>
              <w:jc w:val="center"/>
              <w:rPr>
                <w:rFonts w:ascii="Times New Roman" w:hAnsi="Times New Roman"/>
              </w:rPr>
            </w:pPr>
            <w:r>
              <w:rPr>
                <w:color w:val="000000"/>
                <w:spacing w:val="0"/>
                <w:sz w:val="20"/>
              </w:rPr>
              <w:t>6 116 965,093</w:t>
            </w:r>
          </w:p>
        </w:tc>
      </w:tr>
      <w:tr>
        <w:trPr>
          <w:trHeight w:hRule="atLeast" w:val="864"/>
        </w:trPr>
        <w:tc>
          <w:tcPr>
            <w:tcW w:type="dxa" w:w="2780"/>
            <w:tcBorders>
              <w:left w:color="000000" w:sz="4" w:val="single"/>
              <w:bottom w:color="000000" w:sz="4" w:val="single"/>
              <w:right w:color="000000" w:sz="4" w:val="single"/>
            </w:tcBorders>
            <w:shd w:fill="auto" w:val="clear"/>
            <w:tcMar>
              <w:top w:type="dxa" w:w="0"/>
              <w:left w:type="dxa" w:w="108"/>
              <w:bottom w:type="dxa" w:w="0"/>
              <w:right w:type="dxa" w:w="108"/>
            </w:tcMar>
            <w:vAlign w:val="center"/>
          </w:tcPr>
          <w:p w14:paraId="E2040000">
            <w:pPr>
              <w:pStyle w:val="Style_2"/>
              <w:widowControl w:val="1"/>
              <w:spacing w:after="0" w:before="0" w:line="240" w:lineRule="auto"/>
              <w:ind w:firstLine="0" w:left="0" w:right="0"/>
              <w:jc w:val="left"/>
              <w:rPr>
                <w:rFonts w:ascii="Times New Roman" w:hAnsi="Times New Roman"/>
              </w:rPr>
            </w:pPr>
            <w:r>
              <w:rPr>
                <w:color w:val="000000"/>
                <w:spacing w:val="0"/>
                <w:sz w:val="20"/>
              </w:rPr>
              <w:t>Поступление отходов из других хозяйствующих субъектов</w:t>
            </w:r>
          </w:p>
        </w:tc>
        <w:tc>
          <w:tcPr>
            <w:tcW w:type="dxa" w:w="1397"/>
            <w:tcBorders>
              <w:bottom w:color="000000" w:sz="4" w:val="single"/>
              <w:right w:color="000000" w:sz="4" w:val="single"/>
            </w:tcBorders>
            <w:shd w:fill="auto" w:val="clear"/>
            <w:tcMar>
              <w:top w:type="dxa" w:w="0"/>
              <w:left w:type="dxa" w:w="108"/>
              <w:bottom w:type="dxa" w:w="0"/>
              <w:right w:type="dxa" w:w="108"/>
            </w:tcMar>
            <w:vAlign w:val="center"/>
          </w:tcPr>
          <w:p w14:paraId="E3040000">
            <w:pPr>
              <w:pStyle w:val="Style_2"/>
              <w:widowControl w:val="1"/>
              <w:spacing w:after="0" w:before="0" w:line="240" w:lineRule="auto"/>
              <w:ind w:firstLine="0" w:left="0" w:right="0"/>
              <w:jc w:val="center"/>
              <w:rPr>
                <w:rFonts w:ascii="Times New Roman" w:hAnsi="Times New Roman"/>
              </w:rPr>
            </w:pPr>
            <w:r>
              <w:rPr>
                <w:color w:val="000000"/>
                <w:spacing w:val="0"/>
                <w:sz w:val="20"/>
              </w:rPr>
              <w:t>127 256,965</w:t>
            </w:r>
          </w:p>
        </w:tc>
        <w:tc>
          <w:tcPr>
            <w:tcW w:type="dxa" w:w="981"/>
            <w:tcBorders>
              <w:bottom w:color="000000" w:sz="4" w:val="single"/>
              <w:right w:color="000000" w:sz="4" w:val="single"/>
            </w:tcBorders>
            <w:shd w:fill="auto" w:val="clear"/>
            <w:tcMar>
              <w:top w:type="dxa" w:w="0"/>
              <w:left w:type="dxa" w:w="108"/>
              <w:bottom w:type="dxa" w:w="0"/>
              <w:right w:type="dxa" w:w="108"/>
            </w:tcMar>
            <w:vAlign w:val="center"/>
          </w:tcPr>
          <w:p w14:paraId="E4040000">
            <w:pPr>
              <w:pStyle w:val="Style_2"/>
              <w:widowControl w:val="1"/>
              <w:spacing w:after="0" w:before="0" w:line="240" w:lineRule="auto"/>
              <w:ind w:firstLine="0" w:left="0" w:right="0"/>
              <w:jc w:val="center"/>
              <w:rPr>
                <w:rFonts w:ascii="Times New Roman" w:hAnsi="Times New Roman"/>
              </w:rPr>
            </w:pPr>
            <w:r>
              <w:rPr>
                <w:color w:val="000000"/>
                <w:spacing w:val="0"/>
                <w:sz w:val="20"/>
              </w:rPr>
              <w:t>0</w:t>
            </w:r>
          </w:p>
        </w:tc>
        <w:tc>
          <w:tcPr>
            <w:tcW w:type="dxa" w:w="1070"/>
            <w:tcBorders>
              <w:bottom w:color="000000" w:sz="4" w:val="single"/>
              <w:right w:color="000000" w:sz="4" w:val="single"/>
            </w:tcBorders>
            <w:shd w:fill="auto" w:val="clear"/>
            <w:tcMar>
              <w:top w:type="dxa" w:w="0"/>
              <w:left w:type="dxa" w:w="108"/>
              <w:bottom w:type="dxa" w:w="0"/>
              <w:right w:type="dxa" w:w="108"/>
            </w:tcMar>
            <w:vAlign w:val="center"/>
          </w:tcPr>
          <w:p w14:paraId="E5040000">
            <w:pPr>
              <w:pStyle w:val="Style_2"/>
              <w:widowControl w:val="1"/>
              <w:spacing w:after="0" w:before="0" w:line="240" w:lineRule="auto"/>
              <w:ind w:firstLine="0" w:left="0" w:right="0"/>
              <w:jc w:val="center"/>
              <w:rPr>
                <w:rFonts w:ascii="Times New Roman" w:hAnsi="Times New Roman"/>
              </w:rPr>
            </w:pPr>
            <w:r>
              <w:rPr>
                <w:color w:val="000000"/>
                <w:spacing w:val="0"/>
                <w:sz w:val="20"/>
              </w:rPr>
              <w:t>0</w:t>
            </w:r>
          </w:p>
        </w:tc>
        <w:tc>
          <w:tcPr>
            <w:tcW w:type="dxa" w:w="1175"/>
            <w:tcBorders>
              <w:bottom w:color="000000" w:sz="4" w:val="single"/>
              <w:right w:color="000000" w:sz="4" w:val="single"/>
            </w:tcBorders>
            <w:shd w:fill="auto" w:val="clear"/>
            <w:tcMar>
              <w:top w:type="dxa" w:w="0"/>
              <w:left w:type="dxa" w:w="108"/>
              <w:bottom w:type="dxa" w:w="0"/>
              <w:right w:type="dxa" w:w="108"/>
            </w:tcMar>
            <w:vAlign w:val="center"/>
          </w:tcPr>
          <w:p w14:paraId="E6040000">
            <w:pPr>
              <w:pStyle w:val="Style_2"/>
              <w:widowControl w:val="1"/>
              <w:spacing w:after="0" w:before="0" w:line="240" w:lineRule="auto"/>
              <w:ind w:firstLine="0" w:left="0" w:right="0"/>
              <w:jc w:val="center"/>
              <w:rPr>
                <w:rFonts w:ascii="Times New Roman" w:hAnsi="Times New Roman"/>
              </w:rPr>
            </w:pPr>
            <w:r>
              <w:rPr>
                <w:color w:val="000000"/>
                <w:spacing w:val="0"/>
                <w:sz w:val="20"/>
              </w:rPr>
              <w:t>3 592,763</w:t>
            </w:r>
          </w:p>
        </w:tc>
        <w:tc>
          <w:tcPr>
            <w:tcW w:type="dxa" w:w="1359"/>
            <w:tcBorders>
              <w:bottom w:color="000000" w:sz="4" w:val="single"/>
              <w:right w:color="000000" w:sz="4" w:val="single"/>
            </w:tcBorders>
            <w:shd w:fill="auto" w:val="clear"/>
            <w:tcMar>
              <w:top w:type="dxa" w:w="0"/>
              <w:left w:type="dxa" w:w="108"/>
              <w:bottom w:type="dxa" w:w="0"/>
              <w:right w:type="dxa" w:w="108"/>
            </w:tcMar>
            <w:vAlign w:val="center"/>
          </w:tcPr>
          <w:p w14:paraId="E7040000">
            <w:pPr>
              <w:pStyle w:val="Style_2"/>
              <w:widowControl w:val="1"/>
              <w:spacing w:after="0" w:before="0" w:line="240" w:lineRule="auto"/>
              <w:ind w:firstLine="0" w:left="0" w:right="0"/>
              <w:jc w:val="center"/>
              <w:rPr>
                <w:rFonts w:ascii="Times New Roman" w:hAnsi="Times New Roman"/>
              </w:rPr>
            </w:pPr>
            <w:r>
              <w:rPr>
                <w:color w:val="000000"/>
                <w:spacing w:val="0"/>
                <w:sz w:val="20"/>
              </w:rPr>
              <w:t>69 600,526</w:t>
            </w:r>
          </w:p>
        </w:tc>
        <w:tc>
          <w:tcPr>
            <w:tcW w:type="dxa" w:w="1374"/>
            <w:tcBorders>
              <w:bottom w:color="000000" w:sz="4" w:val="single"/>
              <w:right w:color="000000" w:sz="4" w:val="single"/>
            </w:tcBorders>
            <w:shd w:fill="auto" w:val="clear"/>
            <w:tcMar>
              <w:top w:type="dxa" w:w="0"/>
              <w:left w:type="dxa" w:w="108"/>
              <w:bottom w:type="dxa" w:w="0"/>
              <w:right w:type="dxa" w:w="108"/>
            </w:tcMar>
            <w:vAlign w:val="center"/>
          </w:tcPr>
          <w:p w14:paraId="E8040000">
            <w:pPr>
              <w:pStyle w:val="Style_2"/>
              <w:widowControl w:val="1"/>
              <w:spacing w:after="0" w:before="0" w:line="240" w:lineRule="auto"/>
              <w:ind w:firstLine="0" w:left="0" w:right="0"/>
              <w:jc w:val="center"/>
              <w:rPr>
                <w:rFonts w:ascii="Times New Roman" w:hAnsi="Times New Roman"/>
              </w:rPr>
            </w:pPr>
            <w:r>
              <w:rPr>
                <w:color w:val="000000"/>
                <w:spacing w:val="0"/>
                <w:sz w:val="20"/>
              </w:rPr>
              <w:t>54 063,676</w:t>
            </w:r>
          </w:p>
        </w:tc>
      </w:tr>
      <w:tr>
        <w:trPr>
          <w:trHeight w:hRule="atLeast" w:val="521"/>
        </w:trPr>
        <w:tc>
          <w:tcPr>
            <w:tcW w:type="dxa" w:w="2780"/>
            <w:tcBorders>
              <w:left w:color="000000" w:sz="4" w:val="single"/>
              <w:bottom w:color="000000" w:sz="4" w:val="single"/>
              <w:right w:color="000000" w:sz="4" w:val="single"/>
            </w:tcBorders>
            <w:shd w:fill="auto" w:val="clear"/>
            <w:tcMar>
              <w:top w:type="dxa" w:w="0"/>
              <w:left w:type="dxa" w:w="108"/>
              <w:bottom w:type="dxa" w:w="0"/>
              <w:right w:type="dxa" w:w="108"/>
            </w:tcMar>
            <w:vAlign w:val="center"/>
          </w:tcPr>
          <w:p w14:paraId="E9040000">
            <w:pPr>
              <w:pStyle w:val="Style_2"/>
              <w:widowControl w:val="1"/>
              <w:spacing w:after="0" w:before="0" w:line="240" w:lineRule="auto"/>
              <w:ind w:firstLine="0" w:left="0" w:right="0"/>
              <w:jc w:val="left"/>
              <w:rPr>
                <w:rFonts w:ascii="Times New Roman" w:hAnsi="Times New Roman"/>
              </w:rPr>
            </w:pPr>
            <w:r>
              <w:rPr>
                <w:color w:val="000000"/>
                <w:spacing w:val="0"/>
                <w:sz w:val="20"/>
              </w:rPr>
              <w:t>Поступление отходов с собственных объектов</w:t>
            </w:r>
          </w:p>
        </w:tc>
        <w:tc>
          <w:tcPr>
            <w:tcW w:type="dxa" w:w="1397"/>
            <w:tcBorders>
              <w:bottom w:color="000000" w:sz="4" w:val="single"/>
              <w:right w:color="000000" w:sz="4" w:val="single"/>
            </w:tcBorders>
            <w:shd w:fill="auto" w:val="clear"/>
            <w:tcMar>
              <w:top w:type="dxa" w:w="0"/>
              <w:left w:type="dxa" w:w="108"/>
              <w:bottom w:type="dxa" w:w="0"/>
              <w:right w:type="dxa" w:w="108"/>
            </w:tcMar>
            <w:vAlign w:val="center"/>
          </w:tcPr>
          <w:p w14:paraId="EA040000">
            <w:pPr>
              <w:pStyle w:val="Style_2"/>
              <w:widowControl w:val="1"/>
              <w:spacing w:after="0" w:before="0" w:line="240" w:lineRule="auto"/>
              <w:ind w:firstLine="0" w:left="0" w:right="0"/>
              <w:jc w:val="center"/>
              <w:rPr>
                <w:rFonts w:ascii="Times New Roman" w:hAnsi="Times New Roman"/>
              </w:rPr>
            </w:pPr>
            <w:r>
              <w:rPr>
                <w:color w:val="000000"/>
                <w:spacing w:val="0"/>
                <w:sz w:val="20"/>
              </w:rPr>
              <w:t>3 216,373</w:t>
            </w:r>
          </w:p>
        </w:tc>
        <w:tc>
          <w:tcPr>
            <w:tcW w:type="dxa" w:w="981"/>
            <w:tcBorders>
              <w:bottom w:color="000000" w:sz="4" w:val="single"/>
              <w:right w:color="000000" w:sz="4" w:val="single"/>
            </w:tcBorders>
            <w:shd w:fill="auto" w:val="clear"/>
            <w:tcMar>
              <w:top w:type="dxa" w:w="0"/>
              <w:left w:type="dxa" w:w="108"/>
              <w:bottom w:type="dxa" w:w="0"/>
              <w:right w:type="dxa" w:w="108"/>
            </w:tcMar>
            <w:vAlign w:val="center"/>
          </w:tcPr>
          <w:p w14:paraId="EB040000">
            <w:pPr>
              <w:pStyle w:val="Style_2"/>
              <w:widowControl w:val="1"/>
              <w:spacing w:after="0" w:before="0" w:line="240" w:lineRule="auto"/>
              <w:ind w:firstLine="0" w:left="0" w:right="0"/>
              <w:jc w:val="center"/>
              <w:rPr>
                <w:rFonts w:ascii="Times New Roman" w:hAnsi="Times New Roman"/>
              </w:rPr>
            </w:pPr>
            <w:r>
              <w:rPr>
                <w:color w:val="000000"/>
                <w:spacing w:val="0"/>
                <w:sz w:val="20"/>
              </w:rPr>
              <w:t>0</w:t>
            </w:r>
          </w:p>
        </w:tc>
        <w:tc>
          <w:tcPr>
            <w:tcW w:type="dxa" w:w="1070"/>
            <w:tcBorders>
              <w:bottom w:color="000000" w:sz="4" w:val="single"/>
              <w:right w:color="000000" w:sz="4" w:val="single"/>
            </w:tcBorders>
            <w:shd w:fill="auto" w:val="clear"/>
            <w:tcMar>
              <w:top w:type="dxa" w:w="0"/>
              <w:left w:type="dxa" w:w="108"/>
              <w:bottom w:type="dxa" w:w="0"/>
              <w:right w:type="dxa" w:w="108"/>
            </w:tcMar>
            <w:vAlign w:val="center"/>
          </w:tcPr>
          <w:p w14:paraId="EC040000">
            <w:pPr>
              <w:pStyle w:val="Style_2"/>
              <w:widowControl w:val="1"/>
              <w:spacing w:after="0" w:before="0" w:line="240" w:lineRule="auto"/>
              <w:ind w:firstLine="0" w:left="0" w:right="0"/>
              <w:jc w:val="center"/>
              <w:rPr>
                <w:rFonts w:ascii="Times New Roman" w:hAnsi="Times New Roman"/>
              </w:rPr>
            </w:pPr>
            <w:r>
              <w:rPr>
                <w:color w:val="000000"/>
                <w:spacing w:val="0"/>
                <w:sz w:val="20"/>
              </w:rPr>
              <w:t>0</w:t>
            </w:r>
          </w:p>
        </w:tc>
        <w:tc>
          <w:tcPr>
            <w:tcW w:type="dxa" w:w="1175"/>
            <w:tcBorders>
              <w:bottom w:color="000000" w:sz="4" w:val="single"/>
              <w:right w:color="000000" w:sz="4" w:val="single"/>
            </w:tcBorders>
            <w:shd w:fill="auto" w:val="clear"/>
            <w:tcMar>
              <w:top w:type="dxa" w:w="0"/>
              <w:left w:type="dxa" w:w="108"/>
              <w:bottom w:type="dxa" w:w="0"/>
              <w:right w:type="dxa" w:w="108"/>
            </w:tcMar>
            <w:vAlign w:val="center"/>
          </w:tcPr>
          <w:p w14:paraId="ED040000">
            <w:pPr>
              <w:pStyle w:val="Style_2"/>
              <w:widowControl w:val="1"/>
              <w:spacing w:after="0" w:before="0" w:line="240" w:lineRule="auto"/>
              <w:ind w:firstLine="0" w:left="0" w:right="0"/>
              <w:jc w:val="center"/>
              <w:rPr>
                <w:rFonts w:ascii="Times New Roman" w:hAnsi="Times New Roman"/>
              </w:rPr>
            </w:pPr>
            <w:r>
              <w:rPr>
                <w:color w:val="000000"/>
                <w:spacing w:val="0"/>
                <w:sz w:val="20"/>
              </w:rPr>
              <w:t>0</w:t>
            </w:r>
          </w:p>
        </w:tc>
        <w:tc>
          <w:tcPr>
            <w:tcW w:type="dxa" w:w="1359"/>
            <w:tcBorders>
              <w:bottom w:color="000000" w:sz="4" w:val="single"/>
              <w:right w:color="000000" w:sz="4" w:val="single"/>
            </w:tcBorders>
            <w:shd w:fill="auto" w:val="clear"/>
            <w:tcMar>
              <w:top w:type="dxa" w:w="0"/>
              <w:left w:type="dxa" w:w="108"/>
              <w:bottom w:type="dxa" w:w="0"/>
              <w:right w:type="dxa" w:w="108"/>
            </w:tcMar>
            <w:vAlign w:val="center"/>
          </w:tcPr>
          <w:p w14:paraId="EE040000">
            <w:pPr>
              <w:pStyle w:val="Style_2"/>
              <w:widowControl w:val="1"/>
              <w:spacing w:after="0" w:before="0" w:line="240" w:lineRule="auto"/>
              <w:ind w:firstLine="0" w:left="0" w:right="0"/>
              <w:jc w:val="center"/>
              <w:rPr>
                <w:rFonts w:ascii="Times New Roman" w:hAnsi="Times New Roman"/>
              </w:rPr>
            </w:pPr>
            <w:r>
              <w:rPr>
                <w:color w:val="000000"/>
                <w:spacing w:val="0"/>
                <w:sz w:val="20"/>
              </w:rPr>
              <w:t>38,120</w:t>
            </w:r>
          </w:p>
        </w:tc>
        <w:tc>
          <w:tcPr>
            <w:tcW w:type="dxa" w:w="1374"/>
            <w:tcBorders>
              <w:bottom w:color="000000" w:sz="4" w:val="single"/>
              <w:right w:color="000000" w:sz="4" w:val="single"/>
            </w:tcBorders>
            <w:shd w:fill="auto" w:val="clear"/>
            <w:tcMar>
              <w:top w:type="dxa" w:w="0"/>
              <w:left w:type="dxa" w:w="108"/>
              <w:bottom w:type="dxa" w:w="0"/>
              <w:right w:type="dxa" w:w="108"/>
            </w:tcMar>
            <w:vAlign w:val="center"/>
          </w:tcPr>
          <w:p w14:paraId="EF040000">
            <w:pPr>
              <w:pStyle w:val="Style_2"/>
              <w:widowControl w:val="1"/>
              <w:spacing w:after="0" w:before="0" w:line="240" w:lineRule="auto"/>
              <w:ind w:firstLine="0" w:left="0" w:right="0"/>
              <w:jc w:val="center"/>
              <w:rPr>
                <w:rFonts w:ascii="Times New Roman" w:hAnsi="Times New Roman"/>
              </w:rPr>
            </w:pPr>
            <w:r>
              <w:rPr>
                <w:color w:val="000000"/>
                <w:spacing w:val="0"/>
                <w:sz w:val="20"/>
              </w:rPr>
              <w:t>3 178,253</w:t>
            </w:r>
          </w:p>
        </w:tc>
      </w:tr>
      <w:tr>
        <w:trPr>
          <w:trHeight w:hRule="atLeast" w:val="521"/>
        </w:trPr>
        <w:tc>
          <w:tcPr>
            <w:tcW w:type="dxa" w:w="2780"/>
            <w:tcBorders>
              <w:left w:color="000000" w:sz="4" w:val="single"/>
              <w:bottom w:color="000000" w:sz="4" w:val="single"/>
              <w:right w:color="000000" w:sz="4" w:val="single"/>
            </w:tcBorders>
            <w:shd w:fill="auto" w:val="clear"/>
            <w:tcMar>
              <w:top w:type="dxa" w:w="0"/>
              <w:left w:type="dxa" w:w="108"/>
              <w:bottom w:type="dxa" w:w="0"/>
              <w:right w:type="dxa" w:w="108"/>
            </w:tcMar>
            <w:vAlign w:val="center"/>
          </w:tcPr>
          <w:p w14:paraId="F0040000">
            <w:pPr>
              <w:pStyle w:val="Style_2"/>
              <w:widowControl w:val="1"/>
              <w:spacing w:after="0" w:before="0" w:line="240" w:lineRule="auto"/>
              <w:ind w:firstLine="0" w:left="0" w:right="0"/>
              <w:jc w:val="left"/>
              <w:rPr>
                <w:rFonts w:ascii="Times New Roman" w:hAnsi="Times New Roman"/>
              </w:rPr>
            </w:pPr>
            <w:r>
              <w:rPr>
                <w:color w:val="000000"/>
                <w:spacing w:val="0"/>
                <w:sz w:val="20"/>
              </w:rPr>
              <w:t>Образование после обработки других видов отходов</w:t>
            </w:r>
          </w:p>
        </w:tc>
        <w:tc>
          <w:tcPr>
            <w:tcW w:type="dxa" w:w="1397"/>
            <w:tcBorders>
              <w:bottom w:color="000000" w:sz="4" w:val="single"/>
              <w:right w:color="000000" w:sz="4" w:val="single"/>
            </w:tcBorders>
            <w:shd w:fill="auto" w:val="clear"/>
            <w:tcMar>
              <w:top w:type="dxa" w:w="0"/>
              <w:left w:type="dxa" w:w="108"/>
              <w:bottom w:type="dxa" w:w="0"/>
              <w:right w:type="dxa" w:w="108"/>
            </w:tcMar>
            <w:vAlign w:val="center"/>
          </w:tcPr>
          <w:p w14:paraId="F1040000">
            <w:pPr>
              <w:pStyle w:val="Style_2"/>
              <w:widowControl w:val="1"/>
              <w:spacing w:after="0" w:before="0" w:line="240" w:lineRule="auto"/>
              <w:ind w:firstLine="0" w:left="0" w:right="0"/>
              <w:jc w:val="center"/>
              <w:rPr>
                <w:rFonts w:ascii="Times New Roman" w:hAnsi="Times New Roman"/>
              </w:rPr>
            </w:pPr>
            <w:r>
              <w:rPr>
                <w:color w:val="000000"/>
                <w:spacing w:val="0"/>
                <w:sz w:val="20"/>
              </w:rPr>
              <w:t>85 608,350</w:t>
            </w:r>
          </w:p>
        </w:tc>
        <w:tc>
          <w:tcPr>
            <w:tcW w:type="dxa" w:w="981"/>
            <w:tcBorders>
              <w:bottom w:color="000000" w:sz="4" w:val="single"/>
              <w:right w:color="000000" w:sz="4" w:val="single"/>
            </w:tcBorders>
            <w:shd w:fill="auto" w:val="clear"/>
            <w:tcMar>
              <w:top w:type="dxa" w:w="0"/>
              <w:left w:type="dxa" w:w="108"/>
              <w:bottom w:type="dxa" w:w="0"/>
              <w:right w:type="dxa" w:w="108"/>
            </w:tcMar>
            <w:vAlign w:val="center"/>
          </w:tcPr>
          <w:p w14:paraId="F2040000">
            <w:pPr>
              <w:pStyle w:val="Style_2"/>
              <w:widowControl w:val="1"/>
              <w:spacing w:after="0" w:before="0" w:line="240" w:lineRule="auto"/>
              <w:ind w:firstLine="0" w:left="0" w:right="0"/>
              <w:jc w:val="center"/>
              <w:rPr>
                <w:rFonts w:ascii="Times New Roman" w:hAnsi="Times New Roman"/>
              </w:rPr>
            </w:pPr>
            <w:r>
              <w:rPr>
                <w:color w:val="000000"/>
                <w:spacing w:val="0"/>
                <w:sz w:val="20"/>
              </w:rPr>
              <w:t>0</w:t>
            </w:r>
          </w:p>
        </w:tc>
        <w:tc>
          <w:tcPr>
            <w:tcW w:type="dxa" w:w="1070"/>
            <w:tcBorders>
              <w:bottom w:color="000000" w:sz="4" w:val="single"/>
              <w:right w:color="000000" w:sz="4" w:val="single"/>
            </w:tcBorders>
            <w:shd w:fill="auto" w:val="clear"/>
            <w:tcMar>
              <w:top w:type="dxa" w:w="0"/>
              <w:left w:type="dxa" w:w="108"/>
              <w:bottom w:type="dxa" w:w="0"/>
              <w:right w:type="dxa" w:w="108"/>
            </w:tcMar>
            <w:vAlign w:val="center"/>
          </w:tcPr>
          <w:p w14:paraId="F3040000">
            <w:pPr>
              <w:pStyle w:val="Style_2"/>
              <w:widowControl w:val="1"/>
              <w:spacing w:after="0" w:before="0" w:line="240" w:lineRule="auto"/>
              <w:ind w:firstLine="0" w:left="0" w:right="0"/>
              <w:jc w:val="center"/>
              <w:rPr>
                <w:rFonts w:ascii="Times New Roman" w:hAnsi="Times New Roman"/>
              </w:rPr>
            </w:pPr>
            <w:r>
              <w:rPr>
                <w:color w:val="000000"/>
                <w:spacing w:val="0"/>
                <w:sz w:val="20"/>
              </w:rPr>
              <w:t>0</w:t>
            </w:r>
          </w:p>
        </w:tc>
        <w:tc>
          <w:tcPr>
            <w:tcW w:type="dxa" w:w="1175"/>
            <w:tcBorders>
              <w:bottom w:color="000000" w:sz="4" w:val="single"/>
              <w:right w:color="000000" w:sz="4" w:val="single"/>
            </w:tcBorders>
            <w:shd w:fill="auto" w:val="clear"/>
            <w:tcMar>
              <w:top w:type="dxa" w:w="0"/>
              <w:left w:type="dxa" w:w="108"/>
              <w:bottom w:type="dxa" w:w="0"/>
              <w:right w:type="dxa" w:w="108"/>
            </w:tcMar>
            <w:vAlign w:val="center"/>
          </w:tcPr>
          <w:p w14:paraId="F4040000">
            <w:pPr>
              <w:pStyle w:val="Style_2"/>
              <w:widowControl w:val="1"/>
              <w:spacing w:after="0" w:before="0" w:line="240" w:lineRule="auto"/>
              <w:ind w:firstLine="0" w:left="0" w:right="0"/>
              <w:jc w:val="center"/>
              <w:rPr>
                <w:rFonts w:ascii="Times New Roman" w:hAnsi="Times New Roman"/>
              </w:rPr>
            </w:pPr>
            <w:r>
              <w:rPr>
                <w:color w:val="000000"/>
                <w:spacing w:val="0"/>
                <w:sz w:val="20"/>
              </w:rPr>
              <w:t>0</w:t>
            </w:r>
          </w:p>
        </w:tc>
        <w:tc>
          <w:tcPr>
            <w:tcW w:type="dxa" w:w="1359"/>
            <w:tcBorders>
              <w:bottom w:color="000000" w:sz="4" w:val="single"/>
              <w:right w:color="000000" w:sz="4" w:val="single"/>
            </w:tcBorders>
            <w:shd w:fill="auto" w:val="clear"/>
            <w:tcMar>
              <w:top w:type="dxa" w:w="0"/>
              <w:left w:type="dxa" w:w="108"/>
              <w:bottom w:type="dxa" w:w="0"/>
              <w:right w:type="dxa" w:w="108"/>
            </w:tcMar>
            <w:vAlign w:val="center"/>
          </w:tcPr>
          <w:p w14:paraId="F5040000">
            <w:pPr>
              <w:pStyle w:val="Style_2"/>
              <w:widowControl w:val="1"/>
              <w:spacing w:after="0" w:before="0" w:line="240" w:lineRule="auto"/>
              <w:ind w:firstLine="0" w:left="0" w:right="0"/>
              <w:jc w:val="center"/>
              <w:rPr>
                <w:rFonts w:ascii="Times New Roman" w:hAnsi="Times New Roman"/>
              </w:rPr>
            </w:pPr>
            <w:r>
              <w:rPr>
                <w:color w:val="000000"/>
                <w:spacing w:val="0"/>
                <w:sz w:val="20"/>
              </w:rPr>
              <w:t>20 696,250</w:t>
            </w:r>
          </w:p>
        </w:tc>
        <w:tc>
          <w:tcPr>
            <w:tcW w:type="dxa" w:w="1374"/>
            <w:tcBorders>
              <w:bottom w:color="000000" w:sz="4" w:val="single"/>
              <w:right w:color="000000" w:sz="4" w:val="single"/>
            </w:tcBorders>
            <w:shd w:fill="auto" w:val="clear"/>
            <w:tcMar>
              <w:top w:type="dxa" w:w="0"/>
              <w:left w:type="dxa" w:w="108"/>
              <w:bottom w:type="dxa" w:w="0"/>
              <w:right w:type="dxa" w:w="108"/>
            </w:tcMar>
            <w:vAlign w:val="center"/>
          </w:tcPr>
          <w:p w14:paraId="F6040000">
            <w:pPr>
              <w:pStyle w:val="Style_2"/>
              <w:widowControl w:val="1"/>
              <w:spacing w:after="0" w:before="0" w:line="240" w:lineRule="auto"/>
              <w:ind w:firstLine="0" w:left="0" w:right="0"/>
              <w:jc w:val="center"/>
              <w:rPr>
                <w:rFonts w:ascii="Times New Roman" w:hAnsi="Times New Roman"/>
              </w:rPr>
            </w:pPr>
            <w:r>
              <w:rPr>
                <w:color w:val="000000"/>
                <w:spacing w:val="0"/>
                <w:sz w:val="20"/>
              </w:rPr>
              <w:t>64 912,100</w:t>
            </w:r>
          </w:p>
        </w:tc>
      </w:tr>
      <w:tr>
        <w:trPr>
          <w:trHeight w:hRule="atLeast" w:val="521"/>
        </w:trPr>
        <w:tc>
          <w:tcPr>
            <w:tcW w:type="dxa" w:w="2780"/>
            <w:tcBorders>
              <w:left w:color="000000" w:sz="4" w:val="single"/>
              <w:bottom w:color="000000" w:sz="4" w:val="single"/>
              <w:right w:color="000000" w:sz="4" w:val="single"/>
            </w:tcBorders>
            <w:shd w:fill="auto" w:val="clear"/>
            <w:tcMar>
              <w:top w:type="dxa" w:w="0"/>
              <w:left w:type="dxa" w:w="108"/>
              <w:bottom w:type="dxa" w:w="0"/>
              <w:right w:type="dxa" w:w="108"/>
            </w:tcMar>
            <w:vAlign w:val="center"/>
          </w:tcPr>
          <w:p w14:paraId="F7040000">
            <w:pPr>
              <w:pStyle w:val="Style_2"/>
              <w:widowControl w:val="1"/>
              <w:spacing w:after="0" w:before="0" w:line="240" w:lineRule="auto"/>
              <w:ind w:firstLine="0" w:left="0" w:right="0"/>
              <w:jc w:val="left"/>
              <w:rPr>
                <w:rFonts w:ascii="Times New Roman" w:hAnsi="Times New Roman"/>
              </w:rPr>
            </w:pPr>
            <w:r>
              <w:rPr>
                <w:color w:val="000000"/>
                <w:spacing w:val="0"/>
                <w:sz w:val="20"/>
              </w:rPr>
              <w:t>Обработано отходов</w:t>
            </w:r>
          </w:p>
        </w:tc>
        <w:tc>
          <w:tcPr>
            <w:tcW w:type="dxa" w:w="1397"/>
            <w:tcBorders>
              <w:bottom w:color="000000" w:sz="4" w:val="single"/>
              <w:right w:color="000000" w:sz="4" w:val="single"/>
            </w:tcBorders>
            <w:shd w:fill="auto" w:val="clear"/>
            <w:tcMar>
              <w:top w:type="dxa" w:w="0"/>
              <w:left w:type="dxa" w:w="108"/>
              <w:bottom w:type="dxa" w:w="0"/>
              <w:right w:type="dxa" w:w="108"/>
            </w:tcMar>
            <w:vAlign w:val="center"/>
          </w:tcPr>
          <w:p w14:paraId="F8040000">
            <w:pPr>
              <w:pStyle w:val="Style_2"/>
              <w:widowControl w:val="1"/>
              <w:spacing w:after="0" w:before="0" w:line="240" w:lineRule="auto"/>
              <w:ind w:firstLine="0" w:left="0" w:right="0"/>
              <w:jc w:val="center"/>
              <w:rPr>
                <w:rFonts w:ascii="Times New Roman" w:hAnsi="Times New Roman"/>
              </w:rPr>
            </w:pPr>
            <w:r>
              <w:rPr>
                <w:color w:val="000000"/>
                <w:spacing w:val="0"/>
                <w:sz w:val="20"/>
              </w:rPr>
              <w:t>85 608,350</w:t>
            </w:r>
          </w:p>
        </w:tc>
        <w:tc>
          <w:tcPr>
            <w:tcW w:type="dxa" w:w="981"/>
            <w:tcBorders>
              <w:bottom w:color="000000" w:sz="4" w:val="single"/>
              <w:right w:color="000000" w:sz="4" w:val="single"/>
            </w:tcBorders>
            <w:shd w:fill="auto" w:val="clear"/>
            <w:tcMar>
              <w:top w:type="dxa" w:w="0"/>
              <w:left w:type="dxa" w:w="108"/>
              <w:bottom w:type="dxa" w:w="0"/>
              <w:right w:type="dxa" w:w="108"/>
            </w:tcMar>
            <w:vAlign w:val="center"/>
          </w:tcPr>
          <w:p w14:paraId="F9040000">
            <w:pPr>
              <w:pStyle w:val="Style_2"/>
              <w:widowControl w:val="1"/>
              <w:spacing w:after="0" w:before="0" w:line="240" w:lineRule="auto"/>
              <w:ind w:firstLine="0" w:left="0" w:right="0"/>
              <w:jc w:val="center"/>
              <w:rPr>
                <w:rFonts w:ascii="Times New Roman" w:hAnsi="Times New Roman"/>
              </w:rPr>
            </w:pPr>
            <w:r>
              <w:rPr>
                <w:color w:val="000000"/>
                <w:spacing w:val="0"/>
                <w:sz w:val="20"/>
              </w:rPr>
              <w:t>0</w:t>
            </w:r>
          </w:p>
        </w:tc>
        <w:tc>
          <w:tcPr>
            <w:tcW w:type="dxa" w:w="1070"/>
            <w:tcBorders>
              <w:bottom w:color="000000" w:sz="4" w:val="single"/>
              <w:right w:color="000000" w:sz="4" w:val="single"/>
            </w:tcBorders>
            <w:shd w:fill="auto" w:val="clear"/>
            <w:tcMar>
              <w:top w:type="dxa" w:w="0"/>
              <w:left w:type="dxa" w:w="108"/>
              <w:bottom w:type="dxa" w:w="0"/>
              <w:right w:type="dxa" w:w="108"/>
            </w:tcMar>
            <w:vAlign w:val="center"/>
          </w:tcPr>
          <w:p w14:paraId="FA040000">
            <w:pPr>
              <w:pStyle w:val="Style_2"/>
              <w:widowControl w:val="1"/>
              <w:spacing w:after="0" w:before="0" w:line="240" w:lineRule="auto"/>
              <w:ind w:firstLine="0" w:left="0" w:right="0"/>
              <w:jc w:val="center"/>
              <w:rPr>
                <w:rFonts w:ascii="Times New Roman" w:hAnsi="Times New Roman"/>
              </w:rPr>
            </w:pPr>
            <w:r>
              <w:rPr>
                <w:color w:val="000000"/>
                <w:spacing w:val="0"/>
                <w:sz w:val="20"/>
              </w:rPr>
              <w:t>0</w:t>
            </w:r>
          </w:p>
        </w:tc>
        <w:tc>
          <w:tcPr>
            <w:tcW w:type="dxa" w:w="1175"/>
            <w:tcBorders>
              <w:bottom w:color="000000" w:sz="4" w:val="single"/>
              <w:right w:color="000000" w:sz="4" w:val="single"/>
            </w:tcBorders>
            <w:shd w:fill="auto" w:val="clear"/>
            <w:tcMar>
              <w:top w:type="dxa" w:w="0"/>
              <w:left w:type="dxa" w:w="108"/>
              <w:bottom w:type="dxa" w:w="0"/>
              <w:right w:type="dxa" w:w="108"/>
            </w:tcMar>
            <w:vAlign w:val="center"/>
          </w:tcPr>
          <w:p w14:paraId="FB040000">
            <w:pPr>
              <w:pStyle w:val="Style_2"/>
              <w:widowControl w:val="1"/>
              <w:spacing w:after="0" w:before="0" w:line="240" w:lineRule="auto"/>
              <w:ind w:firstLine="0" w:left="0" w:right="0"/>
              <w:jc w:val="center"/>
              <w:rPr>
                <w:rFonts w:ascii="Times New Roman" w:hAnsi="Times New Roman"/>
              </w:rPr>
            </w:pPr>
            <w:r>
              <w:rPr>
                <w:color w:val="000000"/>
                <w:spacing w:val="0"/>
                <w:sz w:val="20"/>
              </w:rPr>
              <w:t>0</w:t>
            </w:r>
          </w:p>
        </w:tc>
        <w:tc>
          <w:tcPr>
            <w:tcW w:type="dxa" w:w="1359"/>
            <w:tcBorders>
              <w:bottom w:color="000000" w:sz="4" w:val="single"/>
              <w:right w:color="000000" w:sz="4" w:val="single"/>
            </w:tcBorders>
            <w:shd w:fill="auto" w:val="clear"/>
            <w:tcMar>
              <w:top w:type="dxa" w:w="0"/>
              <w:left w:type="dxa" w:w="108"/>
              <w:bottom w:type="dxa" w:w="0"/>
              <w:right w:type="dxa" w:w="108"/>
            </w:tcMar>
            <w:vAlign w:val="center"/>
          </w:tcPr>
          <w:p w14:paraId="FC040000">
            <w:pPr>
              <w:pStyle w:val="Style_2"/>
              <w:widowControl w:val="1"/>
              <w:spacing w:after="0" w:before="0" w:line="240" w:lineRule="auto"/>
              <w:ind w:firstLine="0" w:left="0" w:right="0"/>
              <w:jc w:val="center"/>
              <w:rPr>
                <w:rFonts w:ascii="Times New Roman" w:hAnsi="Times New Roman"/>
              </w:rPr>
            </w:pPr>
            <w:r>
              <w:rPr>
                <w:color w:val="000000"/>
                <w:spacing w:val="0"/>
                <w:sz w:val="20"/>
              </w:rPr>
              <w:t>76 097,050</w:t>
            </w:r>
          </w:p>
        </w:tc>
        <w:tc>
          <w:tcPr>
            <w:tcW w:type="dxa" w:w="1374"/>
            <w:tcBorders>
              <w:bottom w:color="000000" w:sz="4" w:val="single"/>
              <w:right w:color="000000" w:sz="4" w:val="single"/>
            </w:tcBorders>
            <w:shd w:fill="auto" w:val="clear"/>
            <w:tcMar>
              <w:top w:type="dxa" w:w="0"/>
              <w:left w:type="dxa" w:w="108"/>
              <w:bottom w:type="dxa" w:w="0"/>
              <w:right w:type="dxa" w:w="108"/>
            </w:tcMar>
            <w:vAlign w:val="center"/>
          </w:tcPr>
          <w:p w14:paraId="FD040000">
            <w:pPr>
              <w:pStyle w:val="Style_2"/>
              <w:widowControl w:val="1"/>
              <w:spacing w:after="0" w:before="0" w:line="240" w:lineRule="auto"/>
              <w:ind w:firstLine="0" w:left="0" w:right="0"/>
              <w:jc w:val="center"/>
              <w:rPr>
                <w:rFonts w:ascii="Times New Roman" w:hAnsi="Times New Roman"/>
              </w:rPr>
            </w:pPr>
            <w:r>
              <w:rPr>
                <w:color w:val="000000"/>
                <w:spacing w:val="0"/>
                <w:sz w:val="20"/>
              </w:rPr>
              <w:t>9 511,300</w:t>
            </w:r>
          </w:p>
        </w:tc>
      </w:tr>
      <w:tr>
        <w:trPr>
          <w:trHeight w:hRule="atLeast" w:val="545"/>
        </w:trPr>
        <w:tc>
          <w:tcPr>
            <w:tcW w:type="dxa" w:w="2780"/>
            <w:tcBorders>
              <w:left w:color="000000" w:sz="4" w:val="single"/>
              <w:bottom w:color="000000" w:sz="4" w:val="single"/>
              <w:right w:color="000000" w:sz="4" w:val="single"/>
            </w:tcBorders>
            <w:shd w:fill="auto" w:val="clear"/>
            <w:tcMar>
              <w:top w:type="dxa" w:w="0"/>
              <w:left w:type="dxa" w:w="108"/>
              <w:bottom w:type="dxa" w:w="0"/>
              <w:right w:type="dxa" w:w="108"/>
            </w:tcMar>
            <w:vAlign w:val="center"/>
          </w:tcPr>
          <w:p w14:paraId="FE040000">
            <w:pPr>
              <w:pStyle w:val="Style_2"/>
              <w:widowControl w:val="1"/>
              <w:spacing w:after="0" w:before="0" w:line="240" w:lineRule="auto"/>
              <w:ind w:firstLine="0" w:left="0" w:right="0"/>
              <w:jc w:val="left"/>
              <w:rPr>
                <w:rFonts w:ascii="Times New Roman" w:hAnsi="Times New Roman"/>
              </w:rPr>
            </w:pPr>
            <w:r>
              <w:rPr>
                <w:color w:val="000000"/>
                <w:spacing w:val="0"/>
                <w:sz w:val="20"/>
              </w:rPr>
              <w:t>Утилизировано отходов</w:t>
            </w:r>
          </w:p>
        </w:tc>
        <w:tc>
          <w:tcPr>
            <w:tcW w:type="dxa" w:w="1397"/>
            <w:tcBorders>
              <w:bottom w:color="000000" w:sz="4" w:val="single"/>
              <w:right w:color="000000" w:sz="4" w:val="single"/>
            </w:tcBorders>
            <w:shd w:fill="auto" w:val="clear"/>
            <w:tcMar>
              <w:top w:type="dxa" w:w="0"/>
              <w:left w:type="dxa" w:w="108"/>
              <w:bottom w:type="dxa" w:w="0"/>
              <w:right w:type="dxa" w:w="108"/>
            </w:tcMar>
            <w:vAlign w:val="center"/>
          </w:tcPr>
          <w:p w14:paraId="FF040000">
            <w:pPr>
              <w:pStyle w:val="Style_2"/>
              <w:widowControl w:val="1"/>
              <w:spacing w:after="0" w:before="0" w:line="240" w:lineRule="auto"/>
              <w:ind w:firstLine="0" w:left="0" w:right="0"/>
              <w:jc w:val="center"/>
              <w:rPr>
                <w:rFonts w:ascii="Times New Roman" w:hAnsi="Times New Roman"/>
              </w:rPr>
            </w:pPr>
            <w:r>
              <w:rPr>
                <w:color w:val="000000"/>
                <w:spacing w:val="0"/>
                <w:sz w:val="20"/>
              </w:rPr>
              <w:t>260 087,561</w:t>
            </w:r>
          </w:p>
        </w:tc>
        <w:tc>
          <w:tcPr>
            <w:tcW w:type="dxa" w:w="981"/>
            <w:tcBorders>
              <w:bottom w:color="000000" w:sz="4" w:val="single"/>
              <w:right w:color="000000" w:sz="4" w:val="single"/>
            </w:tcBorders>
            <w:shd w:fill="auto" w:val="clear"/>
            <w:tcMar>
              <w:top w:type="dxa" w:w="0"/>
              <w:left w:type="dxa" w:w="108"/>
              <w:bottom w:type="dxa" w:w="0"/>
              <w:right w:type="dxa" w:w="108"/>
            </w:tcMar>
            <w:vAlign w:val="center"/>
          </w:tcPr>
          <w:p w14:paraId="00050000">
            <w:pPr>
              <w:pStyle w:val="Style_2"/>
              <w:widowControl w:val="1"/>
              <w:spacing w:after="0" w:before="0" w:line="240" w:lineRule="auto"/>
              <w:ind w:firstLine="0" w:left="0" w:right="0"/>
              <w:jc w:val="center"/>
              <w:rPr>
                <w:rFonts w:ascii="Times New Roman" w:hAnsi="Times New Roman"/>
              </w:rPr>
            </w:pPr>
            <w:r>
              <w:rPr>
                <w:color w:val="000000"/>
                <w:spacing w:val="0"/>
                <w:sz w:val="20"/>
              </w:rPr>
              <w:t>0</w:t>
            </w:r>
          </w:p>
        </w:tc>
        <w:tc>
          <w:tcPr>
            <w:tcW w:type="dxa" w:w="1070"/>
            <w:tcBorders>
              <w:bottom w:color="000000" w:sz="4" w:val="single"/>
              <w:right w:color="000000" w:sz="4" w:val="single"/>
            </w:tcBorders>
            <w:shd w:fill="auto" w:val="clear"/>
            <w:tcMar>
              <w:top w:type="dxa" w:w="0"/>
              <w:left w:type="dxa" w:w="108"/>
              <w:bottom w:type="dxa" w:w="0"/>
              <w:right w:type="dxa" w:w="108"/>
            </w:tcMar>
            <w:vAlign w:val="center"/>
          </w:tcPr>
          <w:p w14:paraId="01050000">
            <w:pPr>
              <w:pStyle w:val="Style_2"/>
              <w:widowControl w:val="1"/>
              <w:spacing w:after="0" w:before="0" w:line="240" w:lineRule="auto"/>
              <w:ind w:firstLine="0" w:left="0" w:right="0"/>
              <w:jc w:val="center"/>
              <w:rPr>
                <w:rFonts w:ascii="Times New Roman" w:hAnsi="Times New Roman"/>
              </w:rPr>
            </w:pPr>
            <w:r>
              <w:rPr>
                <w:color w:val="000000"/>
                <w:spacing w:val="0"/>
                <w:sz w:val="20"/>
              </w:rPr>
              <w:t>0</w:t>
            </w:r>
          </w:p>
        </w:tc>
        <w:tc>
          <w:tcPr>
            <w:tcW w:type="dxa" w:w="1175"/>
            <w:tcBorders>
              <w:bottom w:color="000000" w:sz="4" w:val="single"/>
              <w:right w:color="000000" w:sz="4" w:val="single"/>
            </w:tcBorders>
            <w:shd w:fill="auto" w:val="clear"/>
            <w:tcMar>
              <w:top w:type="dxa" w:w="0"/>
              <w:left w:type="dxa" w:w="108"/>
              <w:bottom w:type="dxa" w:w="0"/>
              <w:right w:type="dxa" w:w="108"/>
            </w:tcMar>
            <w:vAlign w:val="center"/>
          </w:tcPr>
          <w:p w14:paraId="02050000">
            <w:pPr>
              <w:pStyle w:val="Style_2"/>
              <w:widowControl w:val="1"/>
              <w:spacing w:after="0" w:before="0" w:line="240" w:lineRule="auto"/>
              <w:ind w:firstLine="0" w:left="0" w:right="0"/>
              <w:jc w:val="center"/>
              <w:rPr>
                <w:rFonts w:ascii="Times New Roman" w:hAnsi="Times New Roman"/>
              </w:rPr>
            </w:pPr>
            <w:r>
              <w:rPr>
                <w:color w:val="000000"/>
                <w:spacing w:val="0"/>
                <w:sz w:val="20"/>
              </w:rPr>
              <w:t>61 002,650</w:t>
            </w:r>
          </w:p>
        </w:tc>
        <w:tc>
          <w:tcPr>
            <w:tcW w:type="dxa" w:w="1359"/>
            <w:tcBorders>
              <w:bottom w:color="000000" w:sz="4" w:val="single"/>
              <w:right w:color="000000" w:sz="4" w:val="single"/>
            </w:tcBorders>
            <w:shd w:fill="auto" w:val="clear"/>
            <w:tcMar>
              <w:top w:type="dxa" w:w="0"/>
              <w:left w:type="dxa" w:w="108"/>
              <w:bottom w:type="dxa" w:w="0"/>
              <w:right w:type="dxa" w:w="108"/>
            </w:tcMar>
            <w:vAlign w:val="center"/>
          </w:tcPr>
          <w:p w14:paraId="03050000">
            <w:pPr>
              <w:pStyle w:val="Style_2"/>
              <w:widowControl w:val="1"/>
              <w:spacing w:after="0" w:before="0" w:line="240" w:lineRule="auto"/>
              <w:ind w:firstLine="0" w:left="0" w:right="0"/>
              <w:jc w:val="center"/>
              <w:rPr>
                <w:rFonts w:ascii="Times New Roman" w:hAnsi="Times New Roman"/>
              </w:rPr>
            </w:pPr>
            <w:r>
              <w:rPr>
                <w:color w:val="000000"/>
                <w:spacing w:val="0"/>
                <w:sz w:val="20"/>
              </w:rPr>
              <w:t>7 245,146</w:t>
            </w:r>
          </w:p>
        </w:tc>
        <w:tc>
          <w:tcPr>
            <w:tcW w:type="dxa" w:w="1374"/>
            <w:tcBorders>
              <w:bottom w:color="000000" w:sz="4" w:val="single"/>
              <w:right w:color="000000" w:sz="4" w:val="single"/>
            </w:tcBorders>
            <w:shd w:fill="auto" w:val="clear"/>
            <w:tcMar>
              <w:top w:type="dxa" w:w="0"/>
              <w:left w:type="dxa" w:w="108"/>
              <w:bottom w:type="dxa" w:w="0"/>
              <w:right w:type="dxa" w:w="108"/>
            </w:tcMar>
            <w:vAlign w:val="center"/>
          </w:tcPr>
          <w:p w14:paraId="04050000">
            <w:pPr>
              <w:pStyle w:val="Style_2"/>
              <w:widowControl w:val="1"/>
              <w:spacing w:after="0" w:before="0" w:line="240" w:lineRule="auto"/>
              <w:ind w:firstLine="0" w:left="0" w:right="0"/>
              <w:jc w:val="center"/>
              <w:rPr>
                <w:rFonts w:ascii="Times New Roman" w:hAnsi="Times New Roman"/>
              </w:rPr>
            </w:pPr>
            <w:r>
              <w:rPr>
                <w:color w:val="000000"/>
                <w:spacing w:val="0"/>
                <w:sz w:val="20"/>
              </w:rPr>
              <w:t>191 839,765</w:t>
            </w:r>
          </w:p>
        </w:tc>
      </w:tr>
      <w:tr>
        <w:trPr>
          <w:trHeight w:hRule="atLeast" w:val="567"/>
        </w:trPr>
        <w:tc>
          <w:tcPr>
            <w:tcW w:type="dxa" w:w="2780"/>
            <w:tcBorders>
              <w:left w:color="000000" w:sz="4" w:val="single"/>
              <w:bottom w:color="000000" w:sz="4" w:val="single"/>
              <w:right w:color="000000" w:sz="4" w:val="single"/>
            </w:tcBorders>
            <w:shd w:fill="auto" w:val="clear"/>
            <w:tcMar>
              <w:top w:type="dxa" w:w="0"/>
              <w:left w:type="dxa" w:w="108"/>
              <w:bottom w:type="dxa" w:w="0"/>
              <w:right w:type="dxa" w:w="108"/>
            </w:tcMar>
            <w:vAlign w:val="center"/>
          </w:tcPr>
          <w:p w14:paraId="05050000">
            <w:pPr>
              <w:pStyle w:val="Style_2"/>
              <w:widowControl w:val="1"/>
              <w:spacing w:after="0" w:before="0" w:line="240" w:lineRule="auto"/>
              <w:ind w:firstLine="0" w:left="0" w:right="0"/>
              <w:jc w:val="left"/>
              <w:rPr>
                <w:rFonts w:ascii="Times New Roman" w:hAnsi="Times New Roman"/>
              </w:rPr>
            </w:pPr>
            <w:r>
              <w:rPr>
                <w:color w:val="000000"/>
                <w:spacing w:val="0"/>
                <w:sz w:val="20"/>
              </w:rPr>
              <w:t>Обезвреживание отходов</w:t>
            </w:r>
          </w:p>
        </w:tc>
        <w:tc>
          <w:tcPr>
            <w:tcW w:type="dxa" w:w="1397"/>
            <w:tcBorders>
              <w:bottom w:color="000000" w:sz="4" w:val="single"/>
              <w:right w:color="000000" w:sz="4" w:val="single"/>
            </w:tcBorders>
            <w:shd w:fill="auto" w:val="clear"/>
            <w:tcMar>
              <w:top w:type="dxa" w:w="0"/>
              <w:left w:type="dxa" w:w="108"/>
              <w:bottom w:type="dxa" w:w="0"/>
              <w:right w:type="dxa" w:w="108"/>
            </w:tcMar>
            <w:vAlign w:val="center"/>
          </w:tcPr>
          <w:p w14:paraId="06050000">
            <w:pPr>
              <w:pStyle w:val="Style_2"/>
              <w:widowControl w:val="1"/>
              <w:spacing w:after="0" w:before="0" w:line="240" w:lineRule="auto"/>
              <w:ind w:firstLine="0" w:left="0" w:right="0"/>
              <w:jc w:val="center"/>
              <w:rPr>
                <w:rFonts w:ascii="Times New Roman" w:hAnsi="Times New Roman"/>
              </w:rPr>
            </w:pPr>
            <w:r>
              <w:rPr>
                <w:color w:val="000000"/>
                <w:spacing w:val="0"/>
                <w:sz w:val="20"/>
              </w:rPr>
              <w:t>26 222,156</w:t>
            </w:r>
          </w:p>
        </w:tc>
        <w:tc>
          <w:tcPr>
            <w:tcW w:type="dxa" w:w="981"/>
            <w:tcBorders>
              <w:bottom w:color="000000" w:sz="4" w:val="single"/>
              <w:right w:color="000000" w:sz="4" w:val="single"/>
            </w:tcBorders>
            <w:shd w:fill="auto" w:val="clear"/>
            <w:tcMar>
              <w:top w:type="dxa" w:w="0"/>
              <w:left w:type="dxa" w:w="108"/>
              <w:bottom w:type="dxa" w:w="0"/>
              <w:right w:type="dxa" w:w="108"/>
            </w:tcMar>
            <w:vAlign w:val="center"/>
          </w:tcPr>
          <w:p w14:paraId="07050000">
            <w:pPr>
              <w:pStyle w:val="Style_2"/>
              <w:widowControl w:val="1"/>
              <w:spacing w:after="0" w:before="0" w:line="240" w:lineRule="auto"/>
              <w:ind w:firstLine="0" w:left="0" w:right="0"/>
              <w:jc w:val="center"/>
              <w:rPr>
                <w:rFonts w:ascii="Times New Roman" w:hAnsi="Times New Roman"/>
              </w:rPr>
            </w:pPr>
            <w:r>
              <w:rPr>
                <w:color w:val="000000"/>
                <w:spacing w:val="0"/>
                <w:sz w:val="20"/>
              </w:rPr>
              <w:t>0</w:t>
            </w:r>
          </w:p>
        </w:tc>
        <w:tc>
          <w:tcPr>
            <w:tcW w:type="dxa" w:w="1070"/>
            <w:tcBorders>
              <w:bottom w:color="000000" w:sz="4" w:val="single"/>
              <w:right w:color="000000" w:sz="4" w:val="single"/>
            </w:tcBorders>
            <w:shd w:fill="auto" w:val="clear"/>
            <w:tcMar>
              <w:top w:type="dxa" w:w="0"/>
              <w:left w:type="dxa" w:w="108"/>
              <w:bottom w:type="dxa" w:w="0"/>
              <w:right w:type="dxa" w:w="108"/>
            </w:tcMar>
            <w:vAlign w:val="center"/>
          </w:tcPr>
          <w:p w14:paraId="08050000">
            <w:pPr>
              <w:pStyle w:val="Style_2"/>
              <w:widowControl w:val="1"/>
              <w:spacing w:after="0" w:before="0" w:line="240" w:lineRule="auto"/>
              <w:ind w:firstLine="0" w:left="0" w:right="0"/>
              <w:jc w:val="center"/>
              <w:rPr>
                <w:rFonts w:ascii="Times New Roman" w:hAnsi="Times New Roman"/>
              </w:rPr>
            </w:pPr>
            <w:r>
              <w:rPr>
                <w:color w:val="000000"/>
                <w:spacing w:val="0"/>
                <w:sz w:val="20"/>
              </w:rPr>
              <w:t>0</w:t>
            </w:r>
          </w:p>
        </w:tc>
        <w:tc>
          <w:tcPr>
            <w:tcW w:type="dxa" w:w="1175"/>
            <w:tcBorders>
              <w:bottom w:color="000000" w:sz="4" w:val="single"/>
              <w:right w:color="000000" w:sz="4" w:val="single"/>
            </w:tcBorders>
            <w:shd w:fill="auto" w:val="clear"/>
            <w:tcMar>
              <w:top w:type="dxa" w:w="0"/>
              <w:left w:type="dxa" w:w="108"/>
              <w:bottom w:type="dxa" w:w="0"/>
              <w:right w:type="dxa" w:w="108"/>
            </w:tcMar>
            <w:vAlign w:val="center"/>
          </w:tcPr>
          <w:p w14:paraId="09050000">
            <w:pPr>
              <w:pStyle w:val="Style_2"/>
              <w:widowControl w:val="1"/>
              <w:spacing w:after="0" w:before="0" w:line="240" w:lineRule="auto"/>
              <w:ind w:firstLine="0" w:left="0" w:right="0"/>
              <w:jc w:val="center"/>
              <w:rPr>
                <w:rFonts w:ascii="Times New Roman" w:hAnsi="Times New Roman"/>
              </w:rPr>
            </w:pPr>
            <w:r>
              <w:rPr>
                <w:color w:val="000000"/>
                <w:spacing w:val="0"/>
                <w:sz w:val="20"/>
              </w:rPr>
              <w:t>3 432,525</w:t>
            </w:r>
          </w:p>
        </w:tc>
        <w:tc>
          <w:tcPr>
            <w:tcW w:type="dxa" w:w="1359"/>
            <w:tcBorders>
              <w:bottom w:color="000000" w:sz="4" w:val="single"/>
              <w:right w:color="000000" w:sz="4" w:val="single"/>
            </w:tcBorders>
            <w:shd w:fill="auto" w:val="clear"/>
            <w:tcMar>
              <w:top w:type="dxa" w:w="0"/>
              <w:left w:type="dxa" w:w="108"/>
              <w:bottom w:type="dxa" w:w="0"/>
              <w:right w:type="dxa" w:w="108"/>
            </w:tcMar>
            <w:vAlign w:val="center"/>
          </w:tcPr>
          <w:p w14:paraId="0A050000">
            <w:pPr>
              <w:pStyle w:val="Style_2"/>
              <w:widowControl w:val="1"/>
              <w:spacing w:after="0" w:before="0" w:line="240" w:lineRule="auto"/>
              <w:ind w:firstLine="0" w:left="0" w:right="0"/>
              <w:jc w:val="center"/>
              <w:rPr>
                <w:rFonts w:ascii="Times New Roman" w:hAnsi="Times New Roman"/>
              </w:rPr>
            </w:pPr>
            <w:r>
              <w:rPr>
                <w:color w:val="000000"/>
                <w:spacing w:val="0"/>
                <w:sz w:val="20"/>
              </w:rPr>
              <w:t>18 785,456</w:t>
            </w:r>
          </w:p>
        </w:tc>
        <w:tc>
          <w:tcPr>
            <w:tcW w:type="dxa" w:w="1374"/>
            <w:tcBorders>
              <w:bottom w:color="000000" w:sz="4" w:val="single"/>
              <w:right w:color="000000" w:sz="4" w:val="single"/>
            </w:tcBorders>
            <w:shd w:fill="auto" w:val="clear"/>
            <w:tcMar>
              <w:top w:type="dxa" w:w="0"/>
              <w:left w:type="dxa" w:w="108"/>
              <w:bottom w:type="dxa" w:w="0"/>
              <w:right w:type="dxa" w:w="108"/>
            </w:tcMar>
            <w:vAlign w:val="center"/>
          </w:tcPr>
          <w:p w14:paraId="0B050000">
            <w:pPr>
              <w:pStyle w:val="Style_2"/>
              <w:widowControl w:val="1"/>
              <w:spacing w:after="0" w:before="0" w:line="240" w:lineRule="auto"/>
              <w:ind w:firstLine="0" w:left="0" w:right="0"/>
              <w:jc w:val="center"/>
              <w:rPr>
                <w:rFonts w:ascii="Times New Roman" w:hAnsi="Times New Roman"/>
              </w:rPr>
            </w:pPr>
            <w:r>
              <w:rPr>
                <w:color w:val="000000"/>
                <w:spacing w:val="0"/>
                <w:sz w:val="20"/>
              </w:rPr>
              <w:t>4 004,175</w:t>
            </w:r>
          </w:p>
        </w:tc>
      </w:tr>
      <w:tr>
        <w:trPr>
          <w:trHeight w:hRule="atLeast" w:val="300"/>
        </w:trPr>
        <w:tc>
          <w:tcPr>
            <w:tcW w:type="dxa" w:w="2780"/>
            <w:tcBorders>
              <w:left w:color="000000" w:sz="4" w:val="single"/>
              <w:bottom w:color="000000" w:sz="4" w:val="single"/>
              <w:right w:color="000000" w:sz="4" w:val="single"/>
            </w:tcBorders>
            <w:shd w:fill="auto" w:val="clear"/>
            <w:tcMar>
              <w:top w:type="dxa" w:w="0"/>
              <w:left w:type="dxa" w:w="108"/>
              <w:bottom w:type="dxa" w:w="0"/>
              <w:right w:type="dxa" w:w="108"/>
            </w:tcMar>
            <w:vAlign w:val="center"/>
          </w:tcPr>
          <w:p w14:paraId="0C050000">
            <w:pPr>
              <w:pStyle w:val="Style_2"/>
              <w:widowControl w:val="1"/>
              <w:spacing w:after="0" w:before="0" w:line="240" w:lineRule="auto"/>
              <w:ind w:firstLine="0" w:left="0" w:right="0"/>
              <w:jc w:val="left"/>
              <w:rPr>
                <w:rFonts w:ascii="Times New Roman" w:hAnsi="Times New Roman"/>
              </w:rPr>
            </w:pPr>
            <w:r>
              <w:rPr>
                <w:color w:val="000000"/>
                <w:spacing w:val="0"/>
                <w:sz w:val="20"/>
              </w:rPr>
              <w:t>Передача твердых коммунальных отходов региональному оператору</w:t>
            </w:r>
          </w:p>
        </w:tc>
        <w:tc>
          <w:tcPr>
            <w:tcW w:type="dxa" w:w="1397"/>
            <w:tcBorders>
              <w:bottom w:color="000000" w:sz="4" w:val="single"/>
              <w:right w:color="000000" w:sz="4" w:val="single"/>
            </w:tcBorders>
            <w:shd w:fill="auto" w:val="clear"/>
            <w:tcMar>
              <w:top w:type="dxa" w:w="0"/>
              <w:left w:type="dxa" w:w="108"/>
              <w:bottom w:type="dxa" w:w="0"/>
              <w:right w:type="dxa" w:w="108"/>
            </w:tcMar>
            <w:vAlign w:val="center"/>
          </w:tcPr>
          <w:p w14:paraId="0D050000">
            <w:pPr>
              <w:pStyle w:val="Style_2"/>
              <w:widowControl w:val="1"/>
              <w:spacing w:after="0" w:before="0" w:line="240" w:lineRule="auto"/>
              <w:ind w:firstLine="0" w:left="0" w:right="0"/>
              <w:jc w:val="center"/>
              <w:rPr>
                <w:rFonts w:ascii="Times New Roman" w:hAnsi="Times New Roman"/>
              </w:rPr>
            </w:pPr>
            <w:r>
              <w:rPr>
                <w:color w:val="000000"/>
                <w:spacing w:val="0"/>
                <w:sz w:val="20"/>
              </w:rPr>
              <w:t>44 368,143</w:t>
            </w:r>
          </w:p>
        </w:tc>
        <w:tc>
          <w:tcPr>
            <w:tcW w:type="dxa" w:w="981"/>
            <w:tcBorders>
              <w:bottom w:color="000000" w:sz="4" w:val="single"/>
              <w:right w:color="000000" w:sz="4" w:val="single"/>
            </w:tcBorders>
            <w:shd w:fill="auto" w:val="clear"/>
            <w:tcMar>
              <w:top w:type="dxa" w:w="0"/>
              <w:left w:type="dxa" w:w="108"/>
              <w:bottom w:type="dxa" w:w="0"/>
              <w:right w:type="dxa" w:w="108"/>
            </w:tcMar>
            <w:vAlign w:val="center"/>
          </w:tcPr>
          <w:p w14:paraId="0E050000">
            <w:pPr>
              <w:pStyle w:val="Style_2"/>
              <w:widowControl w:val="1"/>
              <w:spacing w:after="0" w:before="0" w:line="240" w:lineRule="auto"/>
              <w:ind w:firstLine="0" w:left="0" w:right="0"/>
              <w:jc w:val="center"/>
              <w:rPr>
                <w:rFonts w:ascii="Times New Roman" w:hAnsi="Times New Roman"/>
              </w:rPr>
            </w:pPr>
            <w:r>
              <w:rPr>
                <w:color w:val="000000"/>
                <w:spacing w:val="0"/>
                <w:sz w:val="20"/>
              </w:rPr>
              <w:t>0</w:t>
            </w:r>
          </w:p>
        </w:tc>
        <w:tc>
          <w:tcPr>
            <w:tcW w:type="dxa" w:w="1070"/>
            <w:tcBorders>
              <w:bottom w:color="000000" w:sz="4" w:val="single"/>
              <w:right w:color="000000" w:sz="4" w:val="single"/>
            </w:tcBorders>
            <w:shd w:fill="auto" w:val="clear"/>
            <w:tcMar>
              <w:top w:type="dxa" w:w="0"/>
              <w:left w:type="dxa" w:w="108"/>
              <w:bottom w:type="dxa" w:w="0"/>
              <w:right w:type="dxa" w:w="108"/>
            </w:tcMar>
            <w:vAlign w:val="center"/>
          </w:tcPr>
          <w:p w14:paraId="0F050000">
            <w:pPr>
              <w:pStyle w:val="Style_2"/>
              <w:widowControl w:val="1"/>
              <w:spacing w:after="0" w:before="0" w:line="240" w:lineRule="auto"/>
              <w:ind w:firstLine="0" w:left="0" w:right="0"/>
              <w:jc w:val="center"/>
              <w:rPr>
                <w:rFonts w:ascii="Times New Roman" w:hAnsi="Times New Roman"/>
              </w:rPr>
            </w:pPr>
            <w:r>
              <w:rPr>
                <w:color w:val="000000"/>
                <w:spacing w:val="0"/>
                <w:sz w:val="20"/>
              </w:rPr>
              <w:t>0</w:t>
            </w:r>
          </w:p>
        </w:tc>
        <w:tc>
          <w:tcPr>
            <w:tcW w:type="dxa" w:w="1175"/>
            <w:tcBorders>
              <w:bottom w:color="000000" w:sz="4" w:val="single"/>
              <w:right w:color="000000" w:sz="4" w:val="single"/>
            </w:tcBorders>
            <w:shd w:fill="auto" w:val="clear"/>
            <w:tcMar>
              <w:top w:type="dxa" w:w="0"/>
              <w:left w:type="dxa" w:w="108"/>
              <w:bottom w:type="dxa" w:w="0"/>
              <w:right w:type="dxa" w:w="108"/>
            </w:tcMar>
            <w:vAlign w:val="center"/>
          </w:tcPr>
          <w:p w14:paraId="10050000">
            <w:pPr>
              <w:pStyle w:val="Style_2"/>
              <w:widowControl w:val="1"/>
              <w:spacing w:after="0" w:before="0" w:line="240" w:lineRule="auto"/>
              <w:ind w:firstLine="0" w:left="0" w:right="0"/>
              <w:jc w:val="center"/>
              <w:rPr>
                <w:rFonts w:ascii="Times New Roman" w:hAnsi="Times New Roman"/>
              </w:rPr>
            </w:pPr>
            <w:r>
              <w:rPr>
                <w:color w:val="000000"/>
                <w:spacing w:val="0"/>
                <w:sz w:val="20"/>
              </w:rPr>
              <w:t>0</w:t>
            </w:r>
          </w:p>
        </w:tc>
        <w:tc>
          <w:tcPr>
            <w:tcW w:type="dxa" w:w="1359"/>
            <w:tcBorders>
              <w:bottom w:color="000000" w:sz="4" w:val="single"/>
              <w:right w:color="000000" w:sz="4" w:val="single"/>
            </w:tcBorders>
            <w:shd w:fill="auto" w:val="clear"/>
            <w:tcMar>
              <w:top w:type="dxa" w:w="0"/>
              <w:left w:type="dxa" w:w="108"/>
              <w:bottom w:type="dxa" w:w="0"/>
              <w:right w:type="dxa" w:w="108"/>
            </w:tcMar>
            <w:vAlign w:val="center"/>
          </w:tcPr>
          <w:p w14:paraId="11050000">
            <w:pPr>
              <w:pStyle w:val="Style_2"/>
              <w:widowControl w:val="1"/>
              <w:spacing w:after="0" w:before="0" w:line="240" w:lineRule="auto"/>
              <w:ind w:firstLine="0" w:left="0" w:right="0"/>
              <w:jc w:val="center"/>
              <w:rPr>
                <w:rFonts w:ascii="Times New Roman" w:hAnsi="Times New Roman"/>
              </w:rPr>
            </w:pPr>
            <w:r>
              <w:rPr>
                <w:color w:val="000000"/>
                <w:spacing w:val="0"/>
                <w:sz w:val="20"/>
              </w:rPr>
              <w:t>33 644,828</w:t>
            </w:r>
          </w:p>
        </w:tc>
        <w:tc>
          <w:tcPr>
            <w:tcW w:type="dxa" w:w="1374"/>
            <w:tcBorders>
              <w:bottom w:color="000000" w:sz="4" w:val="single"/>
              <w:right w:color="000000" w:sz="4" w:val="single"/>
            </w:tcBorders>
            <w:shd w:fill="auto" w:val="clear"/>
            <w:tcMar>
              <w:top w:type="dxa" w:w="0"/>
              <w:left w:type="dxa" w:w="108"/>
              <w:bottom w:type="dxa" w:w="0"/>
              <w:right w:type="dxa" w:w="108"/>
            </w:tcMar>
            <w:vAlign w:val="center"/>
          </w:tcPr>
          <w:p w14:paraId="12050000">
            <w:pPr>
              <w:pStyle w:val="Style_2"/>
              <w:widowControl w:val="1"/>
              <w:spacing w:after="0" w:before="0" w:line="240" w:lineRule="auto"/>
              <w:ind w:firstLine="0" w:left="0" w:right="0"/>
              <w:jc w:val="center"/>
              <w:rPr>
                <w:rFonts w:ascii="Times New Roman" w:hAnsi="Times New Roman"/>
              </w:rPr>
            </w:pPr>
            <w:r>
              <w:rPr>
                <w:color w:val="000000"/>
                <w:spacing w:val="0"/>
                <w:sz w:val="20"/>
              </w:rPr>
              <w:t>10 723,315</w:t>
            </w:r>
          </w:p>
        </w:tc>
      </w:tr>
      <w:tr>
        <w:trPr>
          <w:trHeight w:hRule="atLeast" w:val="300"/>
        </w:trPr>
        <w:tc>
          <w:tcPr>
            <w:tcW w:type="dxa" w:w="2780"/>
            <w:tcBorders>
              <w:left w:color="000000" w:sz="4" w:val="single"/>
              <w:bottom w:color="000000" w:sz="4" w:val="single"/>
              <w:right w:color="000000" w:sz="4" w:val="single"/>
            </w:tcBorders>
            <w:shd w:fill="auto" w:val="clear"/>
            <w:tcMar>
              <w:top w:type="dxa" w:w="0"/>
              <w:left w:type="dxa" w:w="108"/>
              <w:bottom w:type="dxa" w:w="0"/>
              <w:right w:type="dxa" w:w="108"/>
            </w:tcMar>
            <w:vAlign w:val="center"/>
          </w:tcPr>
          <w:p w14:paraId="13050000">
            <w:pPr>
              <w:pStyle w:val="Style_2"/>
              <w:widowControl w:val="1"/>
              <w:spacing w:after="0" w:before="0" w:line="240" w:lineRule="auto"/>
              <w:ind w:firstLine="0" w:left="0" w:right="0"/>
              <w:jc w:val="left"/>
              <w:rPr>
                <w:rFonts w:ascii="Times New Roman" w:hAnsi="Times New Roman"/>
              </w:rPr>
            </w:pPr>
            <w:r>
              <w:rPr>
                <w:color w:val="000000"/>
                <w:spacing w:val="0"/>
                <w:sz w:val="20"/>
              </w:rPr>
              <w:t>Передача отходов другим организациям (за исключением ТКО) - для обработки</w:t>
            </w:r>
          </w:p>
          <w:p w14:paraId="14050000">
            <w:pPr>
              <w:pStyle w:val="Style_2"/>
              <w:widowControl w:val="1"/>
              <w:spacing w:after="0" w:before="0" w:line="240" w:lineRule="auto"/>
              <w:ind w:firstLine="0" w:left="0" w:right="0"/>
              <w:jc w:val="left"/>
              <w:rPr>
                <w:rFonts w:ascii="Times New Roman" w:hAnsi="Times New Roman"/>
                <w:color w:val="000000"/>
                <w:sz w:val="20"/>
              </w:rPr>
            </w:pPr>
          </w:p>
        </w:tc>
        <w:tc>
          <w:tcPr>
            <w:tcW w:type="dxa" w:w="1397"/>
            <w:tcBorders>
              <w:bottom w:color="000000" w:sz="4" w:val="single"/>
              <w:right w:color="000000" w:sz="4" w:val="single"/>
            </w:tcBorders>
            <w:shd w:fill="auto" w:val="clear"/>
            <w:tcMar>
              <w:top w:type="dxa" w:w="0"/>
              <w:left w:type="dxa" w:w="108"/>
              <w:bottom w:type="dxa" w:w="0"/>
              <w:right w:type="dxa" w:w="108"/>
            </w:tcMar>
            <w:vAlign w:val="center"/>
          </w:tcPr>
          <w:p w14:paraId="15050000">
            <w:pPr>
              <w:pStyle w:val="Style_2"/>
              <w:widowControl w:val="1"/>
              <w:spacing w:after="0" w:before="0" w:line="240" w:lineRule="auto"/>
              <w:ind w:firstLine="0" w:left="0" w:right="0"/>
              <w:jc w:val="center"/>
              <w:rPr>
                <w:rFonts w:ascii="Times New Roman" w:hAnsi="Times New Roman"/>
              </w:rPr>
            </w:pPr>
            <w:r>
              <w:rPr>
                <w:color w:val="000000"/>
                <w:spacing w:val="0"/>
                <w:sz w:val="20"/>
              </w:rPr>
              <w:t>683,407</w:t>
            </w:r>
          </w:p>
        </w:tc>
        <w:tc>
          <w:tcPr>
            <w:tcW w:type="dxa" w:w="981"/>
            <w:tcBorders>
              <w:bottom w:color="000000" w:sz="4" w:val="single"/>
              <w:right w:color="000000" w:sz="4" w:val="single"/>
            </w:tcBorders>
            <w:shd w:fill="auto" w:val="clear"/>
            <w:tcMar>
              <w:top w:type="dxa" w:w="0"/>
              <w:left w:type="dxa" w:w="108"/>
              <w:bottom w:type="dxa" w:w="0"/>
              <w:right w:type="dxa" w:w="108"/>
            </w:tcMar>
            <w:vAlign w:val="center"/>
          </w:tcPr>
          <w:p w14:paraId="16050000">
            <w:pPr>
              <w:pStyle w:val="Style_2"/>
              <w:widowControl w:val="1"/>
              <w:spacing w:after="0" w:before="0" w:line="240" w:lineRule="auto"/>
              <w:ind w:firstLine="0" w:left="0" w:right="0"/>
              <w:jc w:val="center"/>
              <w:rPr>
                <w:rFonts w:ascii="Times New Roman" w:hAnsi="Times New Roman"/>
              </w:rPr>
            </w:pPr>
            <w:r>
              <w:rPr>
                <w:color w:val="000000"/>
                <w:spacing w:val="0"/>
                <w:sz w:val="20"/>
              </w:rPr>
              <w:t>0</w:t>
            </w:r>
          </w:p>
        </w:tc>
        <w:tc>
          <w:tcPr>
            <w:tcW w:type="dxa" w:w="1070"/>
            <w:tcBorders>
              <w:bottom w:color="000000" w:sz="4" w:val="single"/>
              <w:right w:color="000000" w:sz="4" w:val="single"/>
            </w:tcBorders>
            <w:shd w:fill="auto" w:val="clear"/>
            <w:tcMar>
              <w:top w:type="dxa" w:w="0"/>
              <w:left w:type="dxa" w:w="108"/>
              <w:bottom w:type="dxa" w:w="0"/>
              <w:right w:type="dxa" w:w="108"/>
            </w:tcMar>
            <w:vAlign w:val="center"/>
          </w:tcPr>
          <w:p w14:paraId="17050000">
            <w:pPr>
              <w:pStyle w:val="Style_2"/>
              <w:widowControl w:val="1"/>
              <w:spacing w:after="0" w:before="0" w:line="240" w:lineRule="auto"/>
              <w:ind w:firstLine="0" w:left="0" w:right="0"/>
              <w:jc w:val="center"/>
              <w:rPr>
                <w:rFonts w:ascii="Times New Roman" w:hAnsi="Times New Roman"/>
              </w:rPr>
            </w:pPr>
            <w:r>
              <w:rPr>
                <w:color w:val="000000"/>
                <w:spacing w:val="0"/>
                <w:sz w:val="20"/>
              </w:rPr>
              <w:t>0</w:t>
            </w:r>
          </w:p>
        </w:tc>
        <w:tc>
          <w:tcPr>
            <w:tcW w:type="dxa" w:w="1175"/>
            <w:tcBorders>
              <w:bottom w:color="000000" w:sz="4" w:val="single"/>
              <w:right w:color="000000" w:sz="4" w:val="single"/>
            </w:tcBorders>
            <w:shd w:fill="auto" w:val="clear"/>
            <w:tcMar>
              <w:top w:type="dxa" w:w="0"/>
              <w:left w:type="dxa" w:w="108"/>
              <w:bottom w:type="dxa" w:w="0"/>
              <w:right w:type="dxa" w:w="108"/>
            </w:tcMar>
            <w:vAlign w:val="center"/>
          </w:tcPr>
          <w:p w14:paraId="18050000">
            <w:pPr>
              <w:pStyle w:val="Style_2"/>
              <w:widowControl w:val="1"/>
              <w:spacing w:after="0" w:before="0" w:line="240" w:lineRule="auto"/>
              <w:ind w:firstLine="0" w:left="0" w:right="0"/>
              <w:jc w:val="center"/>
              <w:rPr>
                <w:rFonts w:ascii="Times New Roman" w:hAnsi="Times New Roman"/>
              </w:rPr>
            </w:pPr>
            <w:r>
              <w:rPr>
                <w:color w:val="000000"/>
                <w:spacing w:val="0"/>
                <w:sz w:val="20"/>
              </w:rPr>
              <w:t>0,648</w:t>
            </w:r>
          </w:p>
        </w:tc>
        <w:tc>
          <w:tcPr>
            <w:tcW w:type="dxa" w:w="1359"/>
            <w:tcBorders>
              <w:bottom w:color="000000" w:sz="4" w:val="single"/>
              <w:right w:color="000000" w:sz="4" w:val="single"/>
            </w:tcBorders>
            <w:shd w:fill="auto" w:val="clear"/>
            <w:tcMar>
              <w:top w:type="dxa" w:w="0"/>
              <w:left w:type="dxa" w:w="108"/>
              <w:bottom w:type="dxa" w:w="0"/>
              <w:right w:type="dxa" w:w="108"/>
            </w:tcMar>
            <w:vAlign w:val="center"/>
          </w:tcPr>
          <w:p w14:paraId="19050000">
            <w:pPr>
              <w:pStyle w:val="Style_2"/>
              <w:widowControl w:val="1"/>
              <w:spacing w:after="0" w:before="0" w:line="240" w:lineRule="auto"/>
              <w:ind w:firstLine="0" w:left="0" w:right="0"/>
              <w:jc w:val="center"/>
              <w:rPr>
                <w:rFonts w:ascii="Times New Roman" w:hAnsi="Times New Roman"/>
              </w:rPr>
            </w:pPr>
            <w:r>
              <w:rPr>
                <w:color w:val="000000"/>
                <w:spacing w:val="0"/>
                <w:sz w:val="20"/>
              </w:rPr>
              <w:t>236,926</w:t>
            </w:r>
          </w:p>
        </w:tc>
        <w:tc>
          <w:tcPr>
            <w:tcW w:type="dxa" w:w="1374"/>
            <w:tcBorders>
              <w:bottom w:color="000000" w:sz="4" w:val="single"/>
              <w:right w:color="000000" w:sz="4" w:val="single"/>
            </w:tcBorders>
            <w:shd w:fill="auto" w:val="clear"/>
            <w:tcMar>
              <w:top w:type="dxa" w:w="0"/>
              <w:left w:type="dxa" w:w="108"/>
              <w:bottom w:type="dxa" w:w="0"/>
              <w:right w:type="dxa" w:w="108"/>
            </w:tcMar>
            <w:vAlign w:val="center"/>
          </w:tcPr>
          <w:p w14:paraId="1A050000">
            <w:pPr>
              <w:pStyle w:val="Style_2"/>
              <w:widowControl w:val="1"/>
              <w:spacing w:after="0" w:before="0" w:line="240" w:lineRule="auto"/>
              <w:ind w:firstLine="0" w:left="0" w:right="0"/>
              <w:jc w:val="center"/>
              <w:rPr>
                <w:rFonts w:ascii="Times New Roman" w:hAnsi="Times New Roman"/>
              </w:rPr>
            </w:pPr>
            <w:r>
              <w:rPr>
                <w:color w:val="000000"/>
                <w:spacing w:val="0"/>
                <w:sz w:val="20"/>
              </w:rPr>
              <w:t>445,833</w:t>
            </w:r>
          </w:p>
        </w:tc>
      </w:tr>
      <w:tr>
        <w:trPr>
          <w:trHeight w:hRule="atLeast" w:val="300"/>
        </w:trPr>
        <w:tc>
          <w:tcPr>
            <w:tcW w:type="dxa" w:w="2780"/>
            <w:tcBorders>
              <w:left w:color="000000" w:sz="4" w:val="single"/>
              <w:bottom w:color="000000" w:sz="4" w:val="single"/>
              <w:right w:color="000000" w:sz="4" w:val="single"/>
            </w:tcBorders>
            <w:shd w:fill="auto" w:val="clear"/>
            <w:tcMar>
              <w:top w:type="dxa" w:w="0"/>
              <w:left w:type="dxa" w:w="108"/>
              <w:bottom w:type="dxa" w:w="0"/>
              <w:right w:type="dxa" w:w="108"/>
            </w:tcMar>
            <w:vAlign w:val="center"/>
          </w:tcPr>
          <w:p w14:paraId="1B050000">
            <w:pPr>
              <w:pStyle w:val="Style_2"/>
              <w:widowControl w:val="1"/>
              <w:spacing w:after="0" w:before="0" w:line="240" w:lineRule="auto"/>
              <w:ind w:firstLine="0" w:left="0" w:right="0"/>
              <w:jc w:val="left"/>
              <w:rPr>
                <w:rFonts w:ascii="Times New Roman" w:hAnsi="Times New Roman"/>
              </w:rPr>
            </w:pPr>
            <w:r>
              <w:rPr>
                <w:color w:val="000000"/>
                <w:spacing w:val="0"/>
                <w:sz w:val="20"/>
              </w:rPr>
              <w:t>из  них  в другие субъекты  РФ</w:t>
            </w:r>
          </w:p>
        </w:tc>
        <w:tc>
          <w:tcPr>
            <w:tcW w:type="dxa" w:w="1397"/>
            <w:tcBorders>
              <w:bottom w:color="000000" w:sz="4" w:val="single"/>
              <w:right w:color="000000" w:sz="4" w:val="single"/>
            </w:tcBorders>
            <w:shd w:fill="auto" w:val="clear"/>
            <w:tcMar>
              <w:top w:type="dxa" w:w="0"/>
              <w:left w:type="dxa" w:w="108"/>
              <w:bottom w:type="dxa" w:w="0"/>
              <w:right w:type="dxa" w:w="108"/>
            </w:tcMar>
            <w:vAlign w:val="center"/>
          </w:tcPr>
          <w:p w14:paraId="1C050000">
            <w:pPr>
              <w:pStyle w:val="Style_2"/>
              <w:widowControl w:val="1"/>
              <w:spacing w:after="0" w:before="0" w:line="240" w:lineRule="auto"/>
              <w:ind w:firstLine="0" w:left="0" w:right="0"/>
              <w:jc w:val="center"/>
              <w:rPr>
                <w:rFonts w:ascii="Times New Roman" w:hAnsi="Times New Roman"/>
              </w:rPr>
            </w:pPr>
            <w:r>
              <w:rPr>
                <w:color w:val="000000"/>
                <w:spacing w:val="0"/>
                <w:sz w:val="20"/>
              </w:rPr>
              <w:t>0,977</w:t>
            </w:r>
          </w:p>
        </w:tc>
        <w:tc>
          <w:tcPr>
            <w:tcW w:type="dxa" w:w="981"/>
            <w:tcBorders>
              <w:bottom w:color="000000" w:sz="4" w:val="single"/>
              <w:right w:color="000000" w:sz="4" w:val="single"/>
            </w:tcBorders>
            <w:shd w:fill="auto" w:val="clear"/>
            <w:tcMar>
              <w:top w:type="dxa" w:w="0"/>
              <w:left w:type="dxa" w:w="108"/>
              <w:bottom w:type="dxa" w:w="0"/>
              <w:right w:type="dxa" w:w="108"/>
            </w:tcMar>
            <w:vAlign w:val="center"/>
          </w:tcPr>
          <w:p w14:paraId="1D050000">
            <w:pPr>
              <w:pStyle w:val="Style_2"/>
              <w:widowControl w:val="1"/>
              <w:spacing w:after="0" w:before="0" w:line="240" w:lineRule="auto"/>
              <w:ind w:firstLine="0" w:left="0" w:right="0"/>
              <w:jc w:val="center"/>
              <w:rPr>
                <w:rFonts w:ascii="Times New Roman" w:hAnsi="Times New Roman"/>
              </w:rPr>
            </w:pPr>
            <w:r>
              <w:rPr>
                <w:color w:val="000000"/>
                <w:spacing w:val="0"/>
                <w:sz w:val="20"/>
              </w:rPr>
              <w:t>0</w:t>
            </w:r>
          </w:p>
        </w:tc>
        <w:tc>
          <w:tcPr>
            <w:tcW w:type="dxa" w:w="1070"/>
            <w:tcBorders>
              <w:bottom w:color="000000" w:sz="4" w:val="single"/>
              <w:right w:color="000000" w:sz="4" w:val="single"/>
            </w:tcBorders>
            <w:shd w:fill="auto" w:val="clear"/>
            <w:tcMar>
              <w:top w:type="dxa" w:w="0"/>
              <w:left w:type="dxa" w:w="108"/>
              <w:bottom w:type="dxa" w:w="0"/>
              <w:right w:type="dxa" w:w="108"/>
            </w:tcMar>
            <w:vAlign w:val="center"/>
          </w:tcPr>
          <w:p w14:paraId="1E050000">
            <w:pPr>
              <w:pStyle w:val="Style_2"/>
              <w:widowControl w:val="1"/>
              <w:spacing w:after="0" w:before="0" w:line="240" w:lineRule="auto"/>
              <w:ind w:firstLine="0" w:left="0" w:right="0"/>
              <w:jc w:val="center"/>
              <w:rPr>
                <w:rFonts w:ascii="Times New Roman" w:hAnsi="Times New Roman"/>
              </w:rPr>
            </w:pPr>
            <w:r>
              <w:rPr>
                <w:color w:val="000000"/>
                <w:spacing w:val="0"/>
                <w:sz w:val="20"/>
              </w:rPr>
              <w:t>0</w:t>
            </w:r>
          </w:p>
        </w:tc>
        <w:tc>
          <w:tcPr>
            <w:tcW w:type="dxa" w:w="1175"/>
            <w:tcBorders>
              <w:bottom w:color="000000" w:sz="4" w:val="single"/>
              <w:right w:color="000000" w:sz="4" w:val="single"/>
            </w:tcBorders>
            <w:shd w:fill="auto" w:val="clear"/>
            <w:tcMar>
              <w:top w:type="dxa" w:w="0"/>
              <w:left w:type="dxa" w:w="108"/>
              <w:bottom w:type="dxa" w:w="0"/>
              <w:right w:type="dxa" w:w="108"/>
            </w:tcMar>
            <w:vAlign w:val="center"/>
          </w:tcPr>
          <w:p w14:paraId="1F050000">
            <w:pPr>
              <w:pStyle w:val="Style_2"/>
              <w:widowControl w:val="1"/>
              <w:spacing w:after="0" w:before="0" w:line="240" w:lineRule="auto"/>
              <w:ind w:firstLine="0" w:left="0" w:right="0"/>
              <w:jc w:val="center"/>
              <w:rPr>
                <w:rFonts w:ascii="Times New Roman" w:hAnsi="Times New Roman"/>
              </w:rPr>
            </w:pPr>
            <w:r>
              <w:rPr>
                <w:color w:val="000000"/>
                <w:spacing w:val="0"/>
                <w:sz w:val="20"/>
              </w:rPr>
              <w:t>0,003</w:t>
            </w:r>
          </w:p>
        </w:tc>
        <w:tc>
          <w:tcPr>
            <w:tcW w:type="dxa" w:w="1359"/>
            <w:tcBorders>
              <w:bottom w:color="000000" w:sz="4" w:val="single"/>
              <w:right w:color="000000" w:sz="4" w:val="single"/>
            </w:tcBorders>
            <w:shd w:fill="auto" w:val="clear"/>
            <w:tcMar>
              <w:top w:type="dxa" w:w="0"/>
              <w:left w:type="dxa" w:w="108"/>
              <w:bottom w:type="dxa" w:w="0"/>
              <w:right w:type="dxa" w:w="108"/>
            </w:tcMar>
            <w:vAlign w:val="center"/>
          </w:tcPr>
          <w:p w14:paraId="20050000">
            <w:pPr>
              <w:pStyle w:val="Style_2"/>
              <w:widowControl w:val="1"/>
              <w:spacing w:after="0" w:before="0" w:line="240" w:lineRule="auto"/>
              <w:ind w:firstLine="0" w:left="0" w:right="0"/>
              <w:jc w:val="center"/>
              <w:rPr>
                <w:rFonts w:ascii="Times New Roman" w:hAnsi="Times New Roman"/>
              </w:rPr>
            </w:pPr>
            <w:r>
              <w:rPr>
                <w:color w:val="000000"/>
                <w:spacing w:val="0"/>
                <w:sz w:val="20"/>
              </w:rPr>
              <w:t>0,929</w:t>
            </w:r>
          </w:p>
        </w:tc>
        <w:tc>
          <w:tcPr>
            <w:tcW w:type="dxa" w:w="1374"/>
            <w:tcBorders>
              <w:bottom w:color="000000" w:sz="4" w:val="single"/>
              <w:right w:color="000000" w:sz="4" w:val="single"/>
            </w:tcBorders>
            <w:shd w:fill="auto" w:val="clear"/>
            <w:tcMar>
              <w:top w:type="dxa" w:w="0"/>
              <w:left w:type="dxa" w:w="108"/>
              <w:bottom w:type="dxa" w:w="0"/>
              <w:right w:type="dxa" w:w="108"/>
            </w:tcMar>
            <w:vAlign w:val="center"/>
          </w:tcPr>
          <w:p w14:paraId="21050000">
            <w:pPr>
              <w:pStyle w:val="Style_2"/>
              <w:widowControl w:val="1"/>
              <w:spacing w:after="0" w:before="0" w:line="240" w:lineRule="auto"/>
              <w:ind w:firstLine="0" w:left="0" w:right="0"/>
              <w:jc w:val="center"/>
              <w:rPr>
                <w:rFonts w:ascii="Times New Roman" w:hAnsi="Times New Roman"/>
              </w:rPr>
            </w:pPr>
            <w:r>
              <w:rPr>
                <w:color w:val="000000"/>
                <w:spacing w:val="0"/>
                <w:sz w:val="20"/>
              </w:rPr>
              <w:t>0,045</w:t>
            </w:r>
          </w:p>
        </w:tc>
      </w:tr>
      <w:tr>
        <w:trPr>
          <w:trHeight w:hRule="atLeast" w:val="300"/>
        </w:trPr>
        <w:tc>
          <w:tcPr>
            <w:tcW w:type="dxa" w:w="2780"/>
            <w:tcBorders>
              <w:left w:color="000000" w:sz="4" w:val="single"/>
              <w:bottom w:color="000000" w:sz="4" w:val="single"/>
              <w:right w:color="000000" w:sz="4" w:val="single"/>
            </w:tcBorders>
            <w:shd w:fill="auto" w:val="clear"/>
            <w:tcMar>
              <w:top w:type="dxa" w:w="0"/>
              <w:left w:type="dxa" w:w="108"/>
              <w:bottom w:type="dxa" w:w="0"/>
              <w:right w:type="dxa" w:w="108"/>
            </w:tcMar>
            <w:vAlign w:val="center"/>
          </w:tcPr>
          <w:p w14:paraId="22050000">
            <w:pPr>
              <w:pStyle w:val="Style_2"/>
              <w:widowControl w:val="1"/>
              <w:spacing w:after="0" w:before="0" w:line="240" w:lineRule="auto"/>
              <w:ind w:firstLine="0" w:left="0" w:right="0"/>
              <w:jc w:val="left"/>
              <w:rPr>
                <w:rFonts w:ascii="Times New Roman" w:hAnsi="Times New Roman"/>
              </w:rPr>
            </w:pPr>
            <w:r>
              <w:rPr>
                <w:color w:val="000000"/>
                <w:spacing w:val="0"/>
                <w:sz w:val="20"/>
              </w:rPr>
              <w:t>Передача отходов другим организациям (за исключением ТКО)- для утилизации</w:t>
            </w:r>
          </w:p>
          <w:p w14:paraId="23050000">
            <w:pPr>
              <w:pStyle w:val="Style_2"/>
              <w:widowControl w:val="1"/>
              <w:spacing w:after="0" w:before="0" w:line="240" w:lineRule="auto"/>
              <w:ind w:firstLine="0" w:left="0" w:right="0"/>
              <w:jc w:val="left"/>
              <w:rPr>
                <w:rFonts w:ascii="Times New Roman" w:hAnsi="Times New Roman"/>
                <w:color w:val="000000"/>
                <w:sz w:val="20"/>
              </w:rPr>
            </w:pPr>
          </w:p>
        </w:tc>
        <w:tc>
          <w:tcPr>
            <w:tcW w:type="dxa" w:w="1397"/>
            <w:tcBorders>
              <w:bottom w:color="000000" w:sz="4" w:val="single"/>
              <w:right w:color="000000" w:sz="4" w:val="single"/>
            </w:tcBorders>
            <w:shd w:fill="auto" w:val="clear"/>
            <w:tcMar>
              <w:top w:type="dxa" w:w="0"/>
              <w:left w:type="dxa" w:w="108"/>
              <w:bottom w:type="dxa" w:w="0"/>
              <w:right w:type="dxa" w:w="108"/>
            </w:tcMar>
            <w:vAlign w:val="center"/>
          </w:tcPr>
          <w:p w14:paraId="24050000">
            <w:pPr>
              <w:pStyle w:val="Style_2"/>
              <w:widowControl w:val="1"/>
              <w:spacing w:after="0" w:before="0" w:line="240" w:lineRule="auto"/>
              <w:ind w:firstLine="0" w:left="0" w:right="0"/>
              <w:jc w:val="center"/>
              <w:rPr>
                <w:rFonts w:ascii="Times New Roman" w:hAnsi="Times New Roman"/>
              </w:rPr>
            </w:pPr>
            <w:r>
              <w:rPr>
                <w:color w:val="000000"/>
                <w:spacing w:val="0"/>
                <w:sz w:val="20"/>
              </w:rPr>
              <w:t>23 781,506</w:t>
            </w:r>
          </w:p>
        </w:tc>
        <w:tc>
          <w:tcPr>
            <w:tcW w:type="dxa" w:w="981"/>
            <w:tcBorders>
              <w:bottom w:color="000000" w:sz="4" w:val="single"/>
              <w:right w:color="000000" w:sz="4" w:val="single"/>
            </w:tcBorders>
            <w:shd w:fill="auto" w:val="clear"/>
            <w:tcMar>
              <w:top w:type="dxa" w:w="0"/>
              <w:left w:type="dxa" w:w="108"/>
              <w:bottom w:type="dxa" w:w="0"/>
              <w:right w:type="dxa" w:w="108"/>
            </w:tcMar>
            <w:vAlign w:val="center"/>
          </w:tcPr>
          <w:p w14:paraId="25050000">
            <w:pPr>
              <w:pStyle w:val="Style_2"/>
              <w:widowControl w:val="1"/>
              <w:spacing w:after="0" w:before="0" w:line="240" w:lineRule="auto"/>
              <w:ind w:firstLine="0" w:left="0" w:right="0"/>
              <w:jc w:val="center"/>
              <w:rPr>
                <w:rFonts w:ascii="Times New Roman" w:hAnsi="Times New Roman"/>
              </w:rPr>
            </w:pPr>
            <w:r>
              <w:rPr>
                <w:color w:val="000000"/>
                <w:spacing w:val="0"/>
                <w:sz w:val="20"/>
              </w:rPr>
              <w:t>1,808</w:t>
            </w:r>
          </w:p>
        </w:tc>
        <w:tc>
          <w:tcPr>
            <w:tcW w:type="dxa" w:w="1070"/>
            <w:tcBorders>
              <w:bottom w:color="000000" w:sz="4" w:val="single"/>
              <w:right w:color="000000" w:sz="4" w:val="single"/>
            </w:tcBorders>
            <w:shd w:fill="auto" w:val="clear"/>
            <w:tcMar>
              <w:top w:type="dxa" w:w="0"/>
              <w:left w:type="dxa" w:w="108"/>
              <w:bottom w:type="dxa" w:w="0"/>
              <w:right w:type="dxa" w:w="108"/>
            </w:tcMar>
            <w:vAlign w:val="center"/>
          </w:tcPr>
          <w:p w14:paraId="26050000">
            <w:pPr>
              <w:pStyle w:val="Style_2"/>
              <w:widowControl w:val="1"/>
              <w:spacing w:after="0" w:before="0" w:line="240" w:lineRule="auto"/>
              <w:ind w:firstLine="0" w:left="0" w:right="0"/>
              <w:jc w:val="center"/>
              <w:rPr>
                <w:rFonts w:ascii="Times New Roman" w:hAnsi="Times New Roman"/>
              </w:rPr>
            </w:pPr>
            <w:r>
              <w:rPr>
                <w:color w:val="000000"/>
                <w:spacing w:val="0"/>
                <w:sz w:val="20"/>
              </w:rPr>
              <w:t>14,328</w:t>
            </w:r>
          </w:p>
        </w:tc>
        <w:tc>
          <w:tcPr>
            <w:tcW w:type="dxa" w:w="1175"/>
            <w:tcBorders>
              <w:bottom w:color="000000" w:sz="4" w:val="single"/>
              <w:right w:color="000000" w:sz="4" w:val="single"/>
            </w:tcBorders>
            <w:shd w:fill="auto" w:val="clear"/>
            <w:tcMar>
              <w:top w:type="dxa" w:w="0"/>
              <w:left w:type="dxa" w:w="108"/>
              <w:bottom w:type="dxa" w:w="0"/>
              <w:right w:type="dxa" w:w="108"/>
            </w:tcMar>
            <w:vAlign w:val="center"/>
          </w:tcPr>
          <w:p w14:paraId="27050000">
            <w:pPr>
              <w:pStyle w:val="Style_2"/>
              <w:widowControl w:val="1"/>
              <w:spacing w:after="0" w:before="0" w:line="240" w:lineRule="auto"/>
              <w:ind w:firstLine="0" w:left="0" w:right="0"/>
              <w:jc w:val="center"/>
              <w:rPr>
                <w:rFonts w:ascii="Times New Roman" w:hAnsi="Times New Roman"/>
              </w:rPr>
            </w:pPr>
            <w:r>
              <w:rPr>
                <w:color w:val="000000"/>
                <w:spacing w:val="0"/>
                <w:sz w:val="20"/>
              </w:rPr>
              <w:t>599,374</w:t>
            </w:r>
          </w:p>
        </w:tc>
        <w:tc>
          <w:tcPr>
            <w:tcW w:type="dxa" w:w="1359"/>
            <w:tcBorders>
              <w:bottom w:color="000000" w:sz="4" w:val="single"/>
              <w:right w:color="000000" w:sz="4" w:val="single"/>
            </w:tcBorders>
            <w:shd w:fill="auto" w:val="clear"/>
            <w:tcMar>
              <w:top w:type="dxa" w:w="0"/>
              <w:left w:type="dxa" w:w="108"/>
              <w:bottom w:type="dxa" w:w="0"/>
              <w:right w:type="dxa" w:w="108"/>
            </w:tcMar>
            <w:vAlign w:val="center"/>
          </w:tcPr>
          <w:p w14:paraId="28050000">
            <w:pPr>
              <w:pStyle w:val="Style_2"/>
              <w:widowControl w:val="1"/>
              <w:spacing w:after="0" w:before="0" w:line="240" w:lineRule="auto"/>
              <w:ind w:firstLine="0" w:left="0" w:right="0"/>
              <w:jc w:val="center"/>
              <w:rPr>
                <w:rFonts w:ascii="Times New Roman" w:hAnsi="Times New Roman"/>
              </w:rPr>
            </w:pPr>
            <w:r>
              <w:rPr>
                <w:color w:val="000000"/>
                <w:spacing w:val="0"/>
                <w:sz w:val="20"/>
              </w:rPr>
              <w:t>5 903,446</w:t>
            </w:r>
          </w:p>
        </w:tc>
        <w:tc>
          <w:tcPr>
            <w:tcW w:type="dxa" w:w="1374"/>
            <w:tcBorders>
              <w:bottom w:color="000000" w:sz="4" w:val="single"/>
              <w:right w:color="000000" w:sz="4" w:val="single"/>
            </w:tcBorders>
            <w:shd w:fill="auto" w:val="clear"/>
            <w:tcMar>
              <w:top w:type="dxa" w:w="0"/>
              <w:left w:type="dxa" w:w="108"/>
              <w:bottom w:type="dxa" w:w="0"/>
              <w:right w:type="dxa" w:w="108"/>
            </w:tcMar>
            <w:vAlign w:val="center"/>
          </w:tcPr>
          <w:p w14:paraId="29050000">
            <w:pPr>
              <w:pStyle w:val="Style_2"/>
              <w:widowControl w:val="1"/>
              <w:spacing w:after="0" w:before="0" w:line="240" w:lineRule="auto"/>
              <w:ind w:firstLine="0" w:left="0" w:right="0"/>
              <w:jc w:val="center"/>
              <w:rPr>
                <w:rFonts w:ascii="Times New Roman" w:hAnsi="Times New Roman"/>
              </w:rPr>
            </w:pPr>
            <w:r>
              <w:rPr>
                <w:color w:val="000000"/>
                <w:spacing w:val="0"/>
                <w:sz w:val="20"/>
              </w:rPr>
              <w:t>17 262,550</w:t>
            </w:r>
          </w:p>
        </w:tc>
      </w:tr>
      <w:tr>
        <w:trPr>
          <w:trHeight w:hRule="atLeast" w:val="300"/>
        </w:trPr>
        <w:tc>
          <w:tcPr>
            <w:tcW w:type="dxa" w:w="2780"/>
            <w:tcBorders>
              <w:left w:color="000000" w:sz="4" w:val="single"/>
              <w:bottom w:color="000000" w:sz="4" w:val="single"/>
              <w:right w:color="000000" w:sz="4" w:val="single"/>
            </w:tcBorders>
            <w:shd w:fill="auto" w:val="clear"/>
            <w:tcMar>
              <w:top w:type="dxa" w:w="0"/>
              <w:left w:type="dxa" w:w="108"/>
              <w:bottom w:type="dxa" w:w="0"/>
              <w:right w:type="dxa" w:w="108"/>
            </w:tcMar>
            <w:vAlign w:val="center"/>
          </w:tcPr>
          <w:p w14:paraId="2A050000">
            <w:pPr>
              <w:pStyle w:val="Style_2"/>
              <w:widowControl w:val="1"/>
              <w:spacing w:after="0" w:before="0" w:line="240" w:lineRule="auto"/>
              <w:ind w:firstLine="0" w:left="0" w:right="0"/>
              <w:jc w:val="left"/>
              <w:rPr>
                <w:rFonts w:ascii="Times New Roman" w:hAnsi="Times New Roman"/>
              </w:rPr>
            </w:pPr>
            <w:r>
              <w:rPr>
                <w:color w:val="000000"/>
                <w:spacing w:val="0"/>
                <w:sz w:val="20"/>
              </w:rPr>
              <w:t>из  них  в другие субъекты  РФ</w:t>
            </w:r>
          </w:p>
        </w:tc>
        <w:tc>
          <w:tcPr>
            <w:tcW w:type="dxa" w:w="1397"/>
            <w:tcBorders>
              <w:bottom w:color="000000" w:sz="4" w:val="single"/>
              <w:right w:color="000000" w:sz="4" w:val="single"/>
            </w:tcBorders>
            <w:shd w:fill="auto" w:val="clear"/>
            <w:tcMar>
              <w:top w:type="dxa" w:w="0"/>
              <w:left w:type="dxa" w:w="108"/>
              <w:bottom w:type="dxa" w:w="0"/>
              <w:right w:type="dxa" w:w="108"/>
            </w:tcMar>
            <w:vAlign w:val="center"/>
          </w:tcPr>
          <w:p w14:paraId="2B050000">
            <w:pPr>
              <w:pStyle w:val="Style_2"/>
              <w:widowControl w:val="1"/>
              <w:spacing w:after="0" w:before="0" w:line="240" w:lineRule="auto"/>
              <w:ind w:firstLine="0" w:left="0" w:right="0"/>
              <w:jc w:val="center"/>
              <w:rPr>
                <w:rFonts w:ascii="Times New Roman" w:hAnsi="Times New Roman"/>
              </w:rPr>
            </w:pPr>
            <w:r>
              <w:rPr>
                <w:color w:val="000000"/>
                <w:spacing w:val="0"/>
                <w:sz w:val="20"/>
              </w:rPr>
              <w:t>2 094,342</w:t>
            </w:r>
          </w:p>
        </w:tc>
        <w:tc>
          <w:tcPr>
            <w:tcW w:type="dxa" w:w="981"/>
            <w:tcBorders>
              <w:bottom w:color="000000" w:sz="4" w:val="single"/>
              <w:right w:color="000000" w:sz="4" w:val="single"/>
            </w:tcBorders>
            <w:shd w:fill="auto" w:val="clear"/>
            <w:tcMar>
              <w:top w:type="dxa" w:w="0"/>
              <w:left w:type="dxa" w:w="108"/>
              <w:bottom w:type="dxa" w:w="0"/>
              <w:right w:type="dxa" w:w="108"/>
            </w:tcMar>
            <w:vAlign w:val="center"/>
          </w:tcPr>
          <w:p w14:paraId="2C050000">
            <w:pPr>
              <w:pStyle w:val="Style_2"/>
              <w:widowControl w:val="1"/>
              <w:spacing w:after="0" w:before="0" w:line="240" w:lineRule="auto"/>
              <w:ind w:firstLine="0" w:left="0" w:right="0"/>
              <w:jc w:val="center"/>
              <w:rPr>
                <w:rFonts w:ascii="Times New Roman" w:hAnsi="Times New Roman"/>
              </w:rPr>
            </w:pPr>
            <w:r>
              <w:rPr>
                <w:color w:val="000000"/>
                <w:spacing w:val="0"/>
                <w:sz w:val="20"/>
              </w:rPr>
              <w:t>0,090</w:t>
            </w:r>
          </w:p>
        </w:tc>
        <w:tc>
          <w:tcPr>
            <w:tcW w:type="dxa" w:w="1070"/>
            <w:tcBorders>
              <w:bottom w:color="000000" w:sz="4" w:val="single"/>
              <w:right w:color="000000" w:sz="4" w:val="single"/>
            </w:tcBorders>
            <w:shd w:fill="auto" w:val="clear"/>
            <w:tcMar>
              <w:top w:type="dxa" w:w="0"/>
              <w:left w:type="dxa" w:w="108"/>
              <w:bottom w:type="dxa" w:w="0"/>
              <w:right w:type="dxa" w:w="108"/>
            </w:tcMar>
            <w:vAlign w:val="center"/>
          </w:tcPr>
          <w:p w14:paraId="2D050000">
            <w:pPr>
              <w:pStyle w:val="Style_2"/>
              <w:widowControl w:val="1"/>
              <w:spacing w:after="0" w:before="0" w:line="240" w:lineRule="auto"/>
              <w:ind w:firstLine="0" w:left="0" w:right="0"/>
              <w:jc w:val="center"/>
              <w:rPr>
                <w:rFonts w:ascii="Times New Roman" w:hAnsi="Times New Roman"/>
              </w:rPr>
            </w:pPr>
            <w:r>
              <w:rPr>
                <w:color w:val="000000"/>
                <w:spacing w:val="0"/>
                <w:sz w:val="20"/>
              </w:rPr>
              <w:t>7,248</w:t>
            </w:r>
          </w:p>
        </w:tc>
        <w:tc>
          <w:tcPr>
            <w:tcW w:type="dxa" w:w="1175"/>
            <w:tcBorders>
              <w:bottom w:color="000000" w:sz="4" w:val="single"/>
              <w:right w:color="000000" w:sz="4" w:val="single"/>
            </w:tcBorders>
            <w:shd w:fill="auto" w:val="clear"/>
            <w:tcMar>
              <w:top w:type="dxa" w:w="0"/>
              <w:left w:type="dxa" w:w="108"/>
              <w:bottom w:type="dxa" w:w="0"/>
              <w:right w:type="dxa" w:w="108"/>
            </w:tcMar>
            <w:vAlign w:val="center"/>
          </w:tcPr>
          <w:p w14:paraId="2E050000">
            <w:pPr>
              <w:pStyle w:val="Style_2"/>
              <w:widowControl w:val="1"/>
              <w:spacing w:after="0" w:before="0" w:line="240" w:lineRule="auto"/>
              <w:ind w:firstLine="0" w:left="0" w:right="0"/>
              <w:jc w:val="center"/>
              <w:rPr>
                <w:rFonts w:ascii="Times New Roman" w:hAnsi="Times New Roman"/>
              </w:rPr>
            </w:pPr>
            <w:r>
              <w:rPr>
                <w:color w:val="000000"/>
                <w:spacing w:val="0"/>
                <w:sz w:val="20"/>
              </w:rPr>
              <w:t>44,977</w:t>
            </w:r>
          </w:p>
        </w:tc>
        <w:tc>
          <w:tcPr>
            <w:tcW w:type="dxa" w:w="1359"/>
            <w:tcBorders>
              <w:bottom w:color="000000" w:sz="4" w:val="single"/>
              <w:right w:color="000000" w:sz="4" w:val="single"/>
            </w:tcBorders>
            <w:shd w:fill="auto" w:val="clear"/>
            <w:tcMar>
              <w:top w:type="dxa" w:w="0"/>
              <w:left w:type="dxa" w:w="108"/>
              <w:bottom w:type="dxa" w:w="0"/>
              <w:right w:type="dxa" w:w="108"/>
            </w:tcMar>
            <w:vAlign w:val="center"/>
          </w:tcPr>
          <w:p w14:paraId="2F050000">
            <w:pPr>
              <w:pStyle w:val="Style_2"/>
              <w:widowControl w:val="1"/>
              <w:spacing w:after="0" w:before="0" w:line="240" w:lineRule="auto"/>
              <w:ind w:firstLine="0" w:left="0" w:right="0"/>
              <w:jc w:val="center"/>
              <w:rPr>
                <w:rFonts w:ascii="Times New Roman" w:hAnsi="Times New Roman"/>
              </w:rPr>
            </w:pPr>
            <w:r>
              <w:rPr>
                <w:color w:val="000000"/>
                <w:spacing w:val="0"/>
                <w:sz w:val="20"/>
              </w:rPr>
              <w:t>538,703</w:t>
            </w:r>
          </w:p>
        </w:tc>
        <w:tc>
          <w:tcPr>
            <w:tcW w:type="dxa" w:w="1374"/>
            <w:tcBorders>
              <w:bottom w:color="000000" w:sz="4" w:val="single"/>
              <w:right w:color="000000" w:sz="4" w:val="single"/>
            </w:tcBorders>
            <w:shd w:fill="auto" w:val="clear"/>
            <w:tcMar>
              <w:top w:type="dxa" w:w="0"/>
              <w:left w:type="dxa" w:w="108"/>
              <w:bottom w:type="dxa" w:w="0"/>
              <w:right w:type="dxa" w:w="108"/>
            </w:tcMar>
            <w:vAlign w:val="center"/>
          </w:tcPr>
          <w:p w14:paraId="30050000">
            <w:pPr>
              <w:pStyle w:val="Style_2"/>
              <w:widowControl w:val="1"/>
              <w:spacing w:after="0" w:before="0" w:line="240" w:lineRule="auto"/>
              <w:ind w:firstLine="0" w:left="0" w:right="0"/>
              <w:jc w:val="center"/>
              <w:rPr>
                <w:rFonts w:ascii="Times New Roman" w:hAnsi="Times New Roman"/>
              </w:rPr>
            </w:pPr>
            <w:r>
              <w:rPr>
                <w:color w:val="000000"/>
                <w:spacing w:val="0"/>
                <w:sz w:val="20"/>
              </w:rPr>
              <w:t>1 503,324</w:t>
            </w:r>
          </w:p>
        </w:tc>
      </w:tr>
      <w:tr>
        <w:trPr>
          <w:trHeight w:hRule="atLeast" w:val="300"/>
        </w:trPr>
        <w:tc>
          <w:tcPr>
            <w:tcW w:type="dxa" w:w="2780"/>
            <w:tcBorders>
              <w:left w:color="000000" w:sz="4" w:val="single"/>
              <w:bottom w:color="000000" w:sz="4" w:val="single"/>
              <w:right w:color="000000" w:sz="4" w:val="single"/>
            </w:tcBorders>
            <w:shd w:fill="auto" w:val="clear"/>
            <w:tcMar>
              <w:top w:type="dxa" w:w="0"/>
              <w:left w:type="dxa" w:w="108"/>
              <w:bottom w:type="dxa" w:w="0"/>
              <w:right w:type="dxa" w:w="108"/>
            </w:tcMar>
            <w:vAlign w:val="center"/>
          </w:tcPr>
          <w:p w14:paraId="31050000">
            <w:pPr>
              <w:pStyle w:val="Style_2"/>
              <w:widowControl w:val="1"/>
              <w:spacing w:after="0" w:before="0" w:line="240" w:lineRule="auto"/>
              <w:ind w:firstLine="0" w:left="0" w:right="0"/>
              <w:jc w:val="left"/>
              <w:rPr>
                <w:rFonts w:ascii="Times New Roman" w:hAnsi="Times New Roman"/>
              </w:rPr>
            </w:pPr>
            <w:r>
              <w:rPr>
                <w:color w:val="000000"/>
                <w:spacing w:val="0"/>
                <w:sz w:val="20"/>
              </w:rPr>
              <w:t>Передача отходов другим организациям (за исключением ТКО) для обезвреживания</w:t>
            </w:r>
          </w:p>
        </w:tc>
        <w:tc>
          <w:tcPr>
            <w:tcW w:type="dxa" w:w="1397"/>
            <w:tcBorders>
              <w:bottom w:color="000000" w:sz="4" w:val="single"/>
              <w:right w:color="000000" w:sz="4" w:val="single"/>
            </w:tcBorders>
            <w:shd w:fill="auto" w:val="clear"/>
            <w:tcMar>
              <w:top w:type="dxa" w:w="0"/>
              <w:left w:type="dxa" w:w="108"/>
              <w:bottom w:type="dxa" w:w="0"/>
              <w:right w:type="dxa" w:w="108"/>
            </w:tcMar>
            <w:vAlign w:val="center"/>
          </w:tcPr>
          <w:p w14:paraId="32050000">
            <w:pPr>
              <w:pStyle w:val="Style_2"/>
              <w:widowControl w:val="1"/>
              <w:spacing w:after="0" w:before="0" w:line="240" w:lineRule="auto"/>
              <w:ind w:firstLine="0" w:left="0" w:right="0"/>
              <w:jc w:val="center"/>
              <w:rPr>
                <w:rFonts w:ascii="Times New Roman" w:hAnsi="Times New Roman"/>
              </w:rPr>
            </w:pPr>
            <w:r>
              <w:rPr>
                <w:color w:val="000000"/>
                <w:spacing w:val="0"/>
                <w:sz w:val="20"/>
              </w:rPr>
              <w:t>21 525,100</w:t>
            </w:r>
          </w:p>
        </w:tc>
        <w:tc>
          <w:tcPr>
            <w:tcW w:type="dxa" w:w="981"/>
            <w:tcBorders>
              <w:bottom w:color="000000" w:sz="4" w:val="single"/>
              <w:right w:color="000000" w:sz="4" w:val="single"/>
            </w:tcBorders>
            <w:shd w:fill="auto" w:val="clear"/>
            <w:tcMar>
              <w:top w:type="dxa" w:w="0"/>
              <w:left w:type="dxa" w:w="108"/>
              <w:bottom w:type="dxa" w:w="0"/>
              <w:right w:type="dxa" w:w="108"/>
            </w:tcMar>
            <w:vAlign w:val="center"/>
          </w:tcPr>
          <w:p w14:paraId="33050000">
            <w:pPr>
              <w:pStyle w:val="Style_2"/>
              <w:widowControl w:val="1"/>
              <w:spacing w:after="0" w:before="0" w:line="240" w:lineRule="auto"/>
              <w:ind w:firstLine="0" w:left="0" w:right="0"/>
              <w:jc w:val="center"/>
              <w:rPr>
                <w:rFonts w:ascii="Times New Roman" w:hAnsi="Times New Roman"/>
              </w:rPr>
            </w:pPr>
            <w:r>
              <w:rPr>
                <w:color w:val="000000"/>
                <w:spacing w:val="0"/>
                <w:sz w:val="20"/>
              </w:rPr>
              <w:t>1,674</w:t>
            </w:r>
          </w:p>
        </w:tc>
        <w:tc>
          <w:tcPr>
            <w:tcW w:type="dxa" w:w="1070"/>
            <w:tcBorders>
              <w:bottom w:color="000000" w:sz="4" w:val="single"/>
              <w:right w:color="000000" w:sz="4" w:val="single"/>
            </w:tcBorders>
            <w:shd w:fill="auto" w:val="clear"/>
            <w:tcMar>
              <w:top w:type="dxa" w:w="0"/>
              <w:left w:type="dxa" w:w="108"/>
              <w:bottom w:type="dxa" w:w="0"/>
              <w:right w:type="dxa" w:w="108"/>
            </w:tcMar>
            <w:vAlign w:val="center"/>
          </w:tcPr>
          <w:p w14:paraId="34050000">
            <w:pPr>
              <w:pStyle w:val="Style_2"/>
              <w:widowControl w:val="1"/>
              <w:spacing w:after="0" w:before="0" w:line="240" w:lineRule="auto"/>
              <w:ind w:firstLine="0" w:left="0" w:right="0"/>
              <w:jc w:val="center"/>
              <w:rPr>
                <w:rFonts w:ascii="Times New Roman" w:hAnsi="Times New Roman"/>
              </w:rPr>
            </w:pPr>
            <w:r>
              <w:rPr>
                <w:color w:val="000000"/>
                <w:spacing w:val="0"/>
                <w:sz w:val="20"/>
              </w:rPr>
              <w:t>3,457</w:t>
            </w:r>
          </w:p>
        </w:tc>
        <w:tc>
          <w:tcPr>
            <w:tcW w:type="dxa" w:w="1175"/>
            <w:tcBorders>
              <w:bottom w:color="000000" w:sz="4" w:val="single"/>
              <w:right w:color="000000" w:sz="4" w:val="single"/>
            </w:tcBorders>
            <w:shd w:fill="auto" w:val="clear"/>
            <w:tcMar>
              <w:top w:type="dxa" w:w="0"/>
              <w:left w:type="dxa" w:w="108"/>
              <w:bottom w:type="dxa" w:w="0"/>
              <w:right w:type="dxa" w:w="108"/>
            </w:tcMar>
            <w:vAlign w:val="center"/>
          </w:tcPr>
          <w:p w14:paraId="35050000">
            <w:pPr>
              <w:pStyle w:val="Style_2"/>
              <w:widowControl w:val="1"/>
              <w:spacing w:after="0" w:before="0" w:line="240" w:lineRule="auto"/>
              <w:ind w:firstLine="0" w:left="0" w:right="0"/>
              <w:jc w:val="center"/>
              <w:rPr>
                <w:rFonts w:ascii="Times New Roman" w:hAnsi="Times New Roman"/>
              </w:rPr>
            </w:pPr>
            <w:r>
              <w:rPr>
                <w:color w:val="000000"/>
                <w:spacing w:val="0"/>
                <w:sz w:val="20"/>
              </w:rPr>
              <w:t>755,798</w:t>
            </w:r>
          </w:p>
        </w:tc>
        <w:tc>
          <w:tcPr>
            <w:tcW w:type="dxa" w:w="1359"/>
            <w:tcBorders>
              <w:bottom w:color="000000" w:sz="4" w:val="single"/>
              <w:right w:color="000000" w:sz="4" w:val="single"/>
            </w:tcBorders>
            <w:shd w:fill="auto" w:val="clear"/>
            <w:tcMar>
              <w:top w:type="dxa" w:w="0"/>
              <w:left w:type="dxa" w:w="108"/>
              <w:bottom w:type="dxa" w:w="0"/>
              <w:right w:type="dxa" w:w="108"/>
            </w:tcMar>
            <w:vAlign w:val="center"/>
          </w:tcPr>
          <w:p w14:paraId="36050000">
            <w:pPr>
              <w:pStyle w:val="Style_2"/>
              <w:widowControl w:val="1"/>
              <w:spacing w:after="0" w:before="0" w:line="240" w:lineRule="auto"/>
              <w:ind w:firstLine="0" w:left="0" w:right="0"/>
              <w:jc w:val="center"/>
              <w:rPr>
                <w:rFonts w:ascii="Times New Roman" w:hAnsi="Times New Roman"/>
              </w:rPr>
            </w:pPr>
            <w:r>
              <w:rPr>
                <w:color w:val="000000"/>
                <w:spacing w:val="0"/>
                <w:sz w:val="20"/>
              </w:rPr>
              <w:t>20 561,953</w:t>
            </w:r>
          </w:p>
        </w:tc>
        <w:tc>
          <w:tcPr>
            <w:tcW w:type="dxa" w:w="1374"/>
            <w:tcBorders>
              <w:bottom w:color="000000" w:sz="4" w:val="single"/>
              <w:right w:color="000000" w:sz="4" w:val="single"/>
            </w:tcBorders>
            <w:shd w:fill="auto" w:val="clear"/>
            <w:tcMar>
              <w:top w:type="dxa" w:w="0"/>
              <w:left w:type="dxa" w:w="108"/>
              <w:bottom w:type="dxa" w:w="0"/>
              <w:right w:type="dxa" w:w="108"/>
            </w:tcMar>
            <w:vAlign w:val="center"/>
          </w:tcPr>
          <w:p w14:paraId="37050000">
            <w:pPr>
              <w:pStyle w:val="Style_2"/>
              <w:widowControl w:val="1"/>
              <w:spacing w:after="0" w:before="0" w:line="240" w:lineRule="auto"/>
              <w:ind w:firstLine="0" w:left="0" w:right="0"/>
              <w:jc w:val="center"/>
              <w:rPr>
                <w:rFonts w:ascii="Times New Roman" w:hAnsi="Times New Roman"/>
              </w:rPr>
            </w:pPr>
            <w:r>
              <w:rPr>
                <w:color w:val="000000"/>
                <w:spacing w:val="0"/>
                <w:sz w:val="20"/>
              </w:rPr>
              <w:t>202,218</w:t>
            </w:r>
          </w:p>
        </w:tc>
      </w:tr>
      <w:tr>
        <w:trPr>
          <w:trHeight w:hRule="atLeast" w:val="300"/>
        </w:trPr>
        <w:tc>
          <w:tcPr>
            <w:tcW w:type="dxa" w:w="2780"/>
            <w:tcBorders>
              <w:left w:color="000000" w:sz="4" w:val="single"/>
              <w:bottom w:color="000000" w:sz="4" w:val="single"/>
              <w:right w:color="000000" w:sz="4" w:val="single"/>
            </w:tcBorders>
            <w:shd w:fill="auto" w:val="clear"/>
            <w:tcMar>
              <w:top w:type="dxa" w:w="0"/>
              <w:left w:type="dxa" w:w="108"/>
              <w:bottom w:type="dxa" w:w="0"/>
              <w:right w:type="dxa" w:w="108"/>
            </w:tcMar>
            <w:vAlign w:val="center"/>
          </w:tcPr>
          <w:p w14:paraId="38050000">
            <w:pPr>
              <w:pStyle w:val="Style_2"/>
              <w:widowControl w:val="1"/>
              <w:spacing w:after="0" w:before="0" w:line="240" w:lineRule="auto"/>
              <w:ind w:firstLine="0" w:left="0" w:right="0"/>
              <w:jc w:val="left"/>
              <w:rPr>
                <w:rFonts w:ascii="Times New Roman" w:hAnsi="Times New Roman"/>
              </w:rPr>
            </w:pPr>
            <w:r>
              <w:rPr>
                <w:color w:val="000000"/>
                <w:spacing w:val="0"/>
                <w:sz w:val="20"/>
              </w:rPr>
              <w:t>из  них  в другие субъекты  РФ</w:t>
            </w:r>
          </w:p>
        </w:tc>
        <w:tc>
          <w:tcPr>
            <w:tcW w:type="dxa" w:w="1397"/>
            <w:tcBorders>
              <w:bottom w:color="000000" w:sz="4" w:val="single"/>
              <w:right w:color="000000" w:sz="4" w:val="single"/>
            </w:tcBorders>
            <w:shd w:fill="auto" w:val="clear"/>
            <w:tcMar>
              <w:top w:type="dxa" w:w="0"/>
              <w:left w:type="dxa" w:w="108"/>
              <w:bottom w:type="dxa" w:w="0"/>
              <w:right w:type="dxa" w:w="108"/>
            </w:tcMar>
            <w:vAlign w:val="center"/>
          </w:tcPr>
          <w:p w14:paraId="39050000">
            <w:pPr>
              <w:pStyle w:val="Style_2"/>
              <w:widowControl w:val="1"/>
              <w:spacing w:after="0" w:before="0" w:line="240" w:lineRule="auto"/>
              <w:ind w:firstLine="0" w:left="0" w:right="0"/>
              <w:jc w:val="center"/>
              <w:rPr>
                <w:rFonts w:ascii="Times New Roman" w:hAnsi="Times New Roman"/>
              </w:rPr>
            </w:pPr>
            <w:r>
              <w:rPr>
                <w:color w:val="000000"/>
                <w:spacing w:val="0"/>
                <w:sz w:val="20"/>
              </w:rPr>
              <w:t>69,728</w:t>
            </w:r>
          </w:p>
        </w:tc>
        <w:tc>
          <w:tcPr>
            <w:tcW w:type="dxa" w:w="981"/>
            <w:tcBorders>
              <w:bottom w:color="000000" w:sz="4" w:val="single"/>
              <w:right w:color="000000" w:sz="4" w:val="single"/>
            </w:tcBorders>
            <w:shd w:fill="auto" w:val="clear"/>
            <w:tcMar>
              <w:top w:type="dxa" w:w="0"/>
              <w:left w:type="dxa" w:w="108"/>
              <w:bottom w:type="dxa" w:w="0"/>
              <w:right w:type="dxa" w:w="108"/>
            </w:tcMar>
            <w:vAlign w:val="center"/>
          </w:tcPr>
          <w:p w14:paraId="3A050000">
            <w:pPr>
              <w:pStyle w:val="Style_2"/>
              <w:widowControl w:val="1"/>
              <w:spacing w:after="0" w:before="0" w:line="240" w:lineRule="auto"/>
              <w:ind w:firstLine="0" w:left="0" w:right="0"/>
              <w:jc w:val="center"/>
              <w:rPr>
                <w:rFonts w:ascii="Times New Roman" w:hAnsi="Times New Roman"/>
              </w:rPr>
            </w:pPr>
            <w:r>
              <w:rPr>
                <w:color w:val="000000"/>
                <w:spacing w:val="0"/>
                <w:sz w:val="20"/>
              </w:rPr>
              <w:t>0,250</w:t>
            </w:r>
          </w:p>
        </w:tc>
        <w:tc>
          <w:tcPr>
            <w:tcW w:type="dxa" w:w="1070"/>
            <w:tcBorders>
              <w:bottom w:color="000000" w:sz="4" w:val="single"/>
              <w:right w:color="000000" w:sz="4" w:val="single"/>
            </w:tcBorders>
            <w:shd w:fill="auto" w:val="clear"/>
            <w:tcMar>
              <w:top w:type="dxa" w:w="0"/>
              <w:left w:type="dxa" w:w="108"/>
              <w:bottom w:type="dxa" w:w="0"/>
              <w:right w:type="dxa" w:w="108"/>
            </w:tcMar>
            <w:vAlign w:val="center"/>
          </w:tcPr>
          <w:p w14:paraId="3B050000">
            <w:pPr>
              <w:pStyle w:val="Style_2"/>
              <w:widowControl w:val="1"/>
              <w:spacing w:after="0" w:before="0" w:line="240" w:lineRule="auto"/>
              <w:ind w:firstLine="0" w:left="0" w:right="0"/>
              <w:jc w:val="center"/>
              <w:rPr>
                <w:rFonts w:ascii="Times New Roman" w:hAnsi="Times New Roman"/>
              </w:rPr>
            </w:pPr>
            <w:r>
              <w:rPr>
                <w:color w:val="000000"/>
                <w:spacing w:val="0"/>
                <w:sz w:val="20"/>
              </w:rPr>
              <w:t>2,126</w:t>
            </w:r>
          </w:p>
        </w:tc>
        <w:tc>
          <w:tcPr>
            <w:tcW w:type="dxa" w:w="1175"/>
            <w:tcBorders>
              <w:bottom w:color="000000" w:sz="4" w:val="single"/>
              <w:right w:color="000000" w:sz="4" w:val="single"/>
            </w:tcBorders>
            <w:shd w:fill="auto" w:val="clear"/>
            <w:tcMar>
              <w:top w:type="dxa" w:w="0"/>
              <w:left w:type="dxa" w:w="108"/>
              <w:bottom w:type="dxa" w:w="0"/>
              <w:right w:type="dxa" w:w="108"/>
            </w:tcMar>
            <w:vAlign w:val="center"/>
          </w:tcPr>
          <w:p w14:paraId="3C050000">
            <w:pPr>
              <w:pStyle w:val="Style_2"/>
              <w:widowControl w:val="1"/>
              <w:spacing w:after="0" w:before="0" w:line="240" w:lineRule="auto"/>
              <w:ind w:firstLine="0" w:left="0" w:right="0"/>
              <w:jc w:val="center"/>
              <w:rPr>
                <w:rFonts w:ascii="Times New Roman" w:hAnsi="Times New Roman"/>
              </w:rPr>
            </w:pPr>
            <w:r>
              <w:rPr>
                <w:color w:val="000000"/>
                <w:spacing w:val="0"/>
                <w:sz w:val="20"/>
              </w:rPr>
              <w:t>33,152</w:t>
            </w:r>
          </w:p>
        </w:tc>
        <w:tc>
          <w:tcPr>
            <w:tcW w:type="dxa" w:w="1359"/>
            <w:tcBorders>
              <w:bottom w:color="000000" w:sz="4" w:val="single"/>
              <w:right w:color="000000" w:sz="4" w:val="single"/>
            </w:tcBorders>
            <w:shd w:fill="auto" w:val="clear"/>
            <w:tcMar>
              <w:top w:type="dxa" w:w="0"/>
              <w:left w:type="dxa" w:w="108"/>
              <w:bottom w:type="dxa" w:w="0"/>
              <w:right w:type="dxa" w:w="108"/>
            </w:tcMar>
            <w:vAlign w:val="center"/>
          </w:tcPr>
          <w:p w14:paraId="3D050000">
            <w:pPr>
              <w:pStyle w:val="Style_2"/>
              <w:widowControl w:val="1"/>
              <w:spacing w:after="0" w:before="0" w:line="240" w:lineRule="auto"/>
              <w:ind w:firstLine="0" w:left="0" w:right="0"/>
              <w:jc w:val="center"/>
              <w:rPr>
                <w:rFonts w:ascii="Times New Roman" w:hAnsi="Times New Roman"/>
              </w:rPr>
            </w:pPr>
            <w:r>
              <w:rPr>
                <w:color w:val="000000"/>
                <w:spacing w:val="0"/>
                <w:sz w:val="20"/>
              </w:rPr>
              <w:t>6,595</w:t>
            </w:r>
          </w:p>
        </w:tc>
        <w:tc>
          <w:tcPr>
            <w:tcW w:type="dxa" w:w="1374"/>
            <w:tcBorders>
              <w:bottom w:color="000000" w:sz="4" w:val="single"/>
              <w:right w:color="000000" w:sz="4" w:val="single"/>
            </w:tcBorders>
            <w:shd w:fill="auto" w:val="clear"/>
            <w:tcMar>
              <w:top w:type="dxa" w:w="0"/>
              <w:left w:type="dxa" w:w="108"/>
              <w:bottom w:type="dxa" w:w="0"/>
              <w:right w:type="dxa" w:w="108"/>
            </w:tcMar>
            <w:vAlign w:val="center"/>
          </w:tcPr>
          <w:p w14:paraId="3E050000">
            <w:pPr>
              <w:pStyle w:val="Style_2"/>
              <w:widowControl w:val="1"/>
              <w:spacing w:after="0" w:before="0" w:line="240" w:lineRule="auto"/>
              <w:ind w:firstLine="0" w:left="0" w:right="0"/>
              <w:jc w:val="center"/>
              <w:rPr>
                <w:rFonts w:ascii="Times New Roman" w:hAnsi="Times New Roman"/>
              </w:rPr>
            </w:pPr>
            <w:r>
              <w:rPr>
                <w:color w:val="000000"/>
                <w:spacing w:val="0"/>
                <w:sz w:val="20"/>
              </w:rPr>
              <w:t>27,605</w:t>
            </w:r>
          </w:p>
        </w:tc>
      </w:tr>
      <w:tr>
        <w:trPr>
          <w:trHeight w:hRule="atLeast" w:val="300"/>
        </w:trPr>
        <w:tc>
          <w:tcPr>
            <w:tcW w:type="dxa" w:w="2780"/>
            <w:tcBorders>
              <w:left w:color="000000" w:sz="4" w:val="single"/>
              <w:bottom w:color="000000" w:sz="4" w:val="single"/>
              <w:right w:color="000000" w:sz="4" w:val="single"/>
            </w:tcBorders>
            <w:shd w:fill="auto" w:val="clear"/>
            <w:tcMar>
              <w:top w:type="dxa" w:w="0"/>
              <w:left w:type="dxa" w:w="108"/>
              <w:bottom w:type="dxa" w:w="0"/>
              <w:right w:type="dxa" w:w="108"/>
            </w:tcMar>
            <w:vAlign w:val="center"/>
          </w:tcPr>
          <w:p w14:paraId="3F050000">
            <w:pPr>
              <w:pStyle w:val="Style_2"/>
              <w:widowControl w:val="1"/>
              <w:spacing w:after="0" w:before="0" w:line="240" w:lineRule="auto"/>
              <w:ind w:firstLine="0" w:left="0" w:right="0"/>
              <w:jc w:val="left"/>
              <w:rPr>
                <w:rFonts w:ascii="Times New Roman" w:hAnsi="Times New Roman"/>
              </w:rPr>
            </w:pPr>
            <w:r>
              <w:rPr>
                <w:color w:val="000000"/>
                <w:spacing w:val="0"/>
                <w:sz w:val="20"/>
              </w:rPr>
              <w:t>Передача отходов другим организациям (за исключением ТКО)  для хранения</w:t>
            </w:r>
          </w:p>
        </w:tc>
        <w:tc>
          <w:tcPr>
            <w:tcW w:type="dxa" w:w="1397"/>
            <w:tcBorders>
              <w:bottom w:color="000000" w:sz="4" w:val="single"/>
              <w:right w:color="000000" w:sz="4" w:val="single"/>
            </w:tcBorders>
            <w:shd w:fill="auto" w:val="clear"/>
            <w:tcMar>
              <w:top w:type="dxa" w:w="0"/>
              <w:left w:type="dxa" w:w="108"/>
              <w:bottom w:type="dxa" w:w="0"/>
              <w:right w:type="dxa" w:w="108"/>
            </w:tcMar>
            <w:vAlign w:val="center"/>
          </w:tcPr>
          <w:p w14:paraId="40050000">
            <w:pPr>
              <w:pStyle w:val="Style_2"/>
              <w:widowControl w:val="1"/>
              <w:spacing w:after="0" w:before="0" w:line="240" w:lineRule="auto"/>
              <w:ind w:firstLine="0" w:left="0" w:right="0"/>
              <w:jc w:val="center"/>
              <w:rPr>
                <w:rFonts w:ascii="Times New Roman" w:hAnsi="Times New Roman"/>
              </w:rPr>
            </w:pPr>
            <w:r>
              <w:rPr>
                <w:color w:val="000000"/>
                <w:spacing w:val="0"/>
                <w:sz w:val="20"/>
              </w:rPr>
              <w:t>3,431</w:t>
            </w:r>
          </w:p>
        </w:tc>
        <w:tc>
          <w:tcPr>
            <w:tcW w:type="dxa" w:w="981"/>
            <w:tcBorders>
              <w:bottom w:color="000000" w:sz="4" w:val="single"/>
              <w:right w:color="000000" w:sz="4" w:val="single"/>
            </w:tcBorders>
            <w:shd w:fill="auto" w:val="clear"/>
            <w:tcMar>
              <w:top w:type="dxa" w:w="0"/>
              <w:left w:type="dxa" w:w="108"/>
              <w:bottom w:type="dxa" w:w="0"/>
              <w:right w:type="dxa" w:w="108"/>
            </w:tcMar>
            <w:vAlign w:val="center"/>
          </w:tcPr>
          <w:p w14:paraId="41050000">
            <w:pPr>
              <w:pStyle w:val="Style_2"/>
              <w:widowControl w:val="1"/>
              <w:spacing w:after="0" w:before="0" w:line="240" w:lineRule="auto"/>
              <w:ind w:firstLine="0" w:left="0" w:right="0"/>
              <w:jc w:val="center"/>
              <w:rPr>
                <w:rFonts w:ascii="Times New Roman" w:hAnsi="Times New Roman"/>
              </w:rPr>
            </w:pPr>
            <w:r>
              <w:rPr>
                <w:color w:val="000000"/>
                <w:spacing w:val="0"/>
                <w:sz w:val="20"/>
              </w:rPr>
              <w:t>0</w:t>
            </w:r>
          </w:p>
        </w:tc>
        <w:tc>
          <w:tcPr>
            <w:tcW w:type="dxa" w:w="1070"/>
            <w:tcBorders>
              <w:bottom w:color="000000" w:sz="4" w:val="single"/>
              <w:right w:color="000000" w:sz="4" w:val="single"/>
            </w:tcBorders>
            <w:shd w:fill="auto" w:val="clear"/>
            <w:tcMar>
              <w:top w:type="dxa" w:w="0"/>
              <w:left w:type="dxa" w:w="108"/>
              <w:bottom w:type="dxa" w:w="0"/>
              <w:right w:type="dxa" w:w="108"/>
            </w:tcMar>
            <w:vAlign w:val="center"/>
          </w:tcPr>
          <w:p w14:paraId="42050000">
            <w:pPr>
              <w:pStyle w:val="Style_2"/>
              <w:widowControl w:val="1"/>
              <w:spacing w:after="0" w:before="0" w:line="240" w:lineRule="auto"/>
              <w:ind w:firstLine="0" w:left="0" w:right="0"/>
              <w:jc w:val="center"/>
              <w:rPr>
                <w:rFonts w:ascii="Times New Roman" w:hAnsi="Times New Roman"/>
              </w:rPr>
            </w:pPr>
            <w:r>
              <w:rPr>
                <w:color w:val="000000"/>
                <w:spacing w:val="0"/>
                <w:sz w:val="20"/>
              </w:rPr>
              <w:t>0</w:t>
            </w:r>
          </w:p>
        </w:tc>
        <w:tc>
          <w:tcPr>
            <w:tcW w:type="dxa" w:w="1175"/>
            <w:tcBorders>
              <w:bottom w:color="000000" w:sz="4" w:val="single"/>
              <w:right w:color="000000" w:sz="4" w:val="single"/>
            </w:tcBorders>
            <w:shd w:fill="auto" w:val="clear"/>
            <w:tcMar>
              <w:top w:type="dxa" w:w="0"/>
              <w:left w:type="dxa" w:w="108"/>
              <w:bottom w:type="dxa" w:w="0"/>
              <w:right w:type="dxa" w:w="108"/>
            </w:tcMar>
            <w:vAlign w:val="center"/>
          </w:tcPr>
          <w:p w14:paraId="43050000">
            <w:pPr>
              <w:pStyle w:val="Style_2"/>
              <w:widowControl w:val="1"/>
              <w:spacing w:after="0" w:before="0" w:line="240" w:lineRule="auto"/>
              <w:ind w:firstLine="0" w:left="0" w:right="0"/>
              <w:jc w:val="center"/>
              <w:rPr>
                <w:rFonts w:ascii="Times New Roman" w:hAnsi="Times New Roman"/>
              </w:rPr>
            </w:pPr>
            <w:r>
              <w:rPr>
                <w:color w:val="000000"/>
                <w:spacing w:val="0"/>
                <w:sz w:val="20"/>
              </w:rPr>
              <w:t>0</w:t>
            </w:r>
          </w:p>
        </w:tc>
        <w:tc>
          <w:tcPr>
            <w:tcW w:type="dxa" w:w="1359"/>
            <w:tcBorders>
              <w:bottom w:color="000000" w:sz="4" w:val="single"/>
              <w:right w:color="000000" w:sz="4" w:val="single"/>
            </w:tcBorders>
            <w:shd w:fill="auto" w:val="clear"/>
            <w:tcMar>
              <w:top w:type="dxa" w:w="0"/>
              <w:left w:type="dxa" w:w="108"/>
              <w:bottom w:type="dxa" w:w="0"/>
              <w:right w:type="dxa" w:w="108"/>
            </w:tcMar>
            <w:vAlign w:val="center"/>
          </w:tcPr>
          <w:p w14:paraId="44050000">
            <w:pPr>
              <w:pStyle w:val="Style_2"/>
              <w:widowControl w:val="1"/>
              <w:spacing w:after="0" w:before="0" w:line="240" w:lineRule="auto"/>
              <w:ind w:firstLine="0" w:left="0" w:right="0"/>
              <w:jc w:val="center"/>
              <w:rPr>
                <w:rFonts w:ascii="Times New Roman" w:hAnsi="Times New Roman"/>
              </w:rPr>
            </w:pPr>
            <w:r>
              <w:rPr>
                <w:color w:val="000000"/>
                <w:spacing w:val="0"/>
                <w:sz w:val="20"/>
              </w:rPr>
              <w:t>0</w:t>
            </w:r>
          </w:p>
        </w:tc>
        <w:tc>
          <w:tcPr>
            <w:tcW w:type="dxa" w:w="1374"/>
            <w:tcBorders>
              <w:bottom w:color="000000" w:sz="4" w:val="single"/>
              <w:right w:color="000000" w:sz="4" w:val="single"/>
            </w:tcBorders>
            <w:shd w:fill="auto" w:val="clear"/>
            <w:tcMar>
              <w:top w:type="dxa" w:w="0"/>
              <w:left w:type="dxa" w:w="108"/>
              <w:bottom w:type="dxa" w:w="0"/>
              <w:right w:type="dxa" w:w="108"/>
            </w:tcMar>
            <w:vAlign w:val="center"/>
          </w:tcPr>
          <w:p w14:paraId="45050000">
            <w:pPr>
              <w:pStyle w:val="Style_2"/>
              <w:widowControl w:val="1"/>
              <w:spacing w:after="0" w:before="0" w:line="240" w:lineRule="auto"/>
              <w:ind w:firstLine="0" w:left="0" w:right="0"/>
              <w:jc w:val="center"/>
              <w:rPr>
                <w:rFonts w:ascii="Times New Roman" w:hAnsi="Times New Roman"/>
              </w:rPr>
            </w:pPr>
            <w:r>
              <w:rPr>
                <w:color w:val="000000"/>
                <w:spacing w:val="0"/>
                <w:sz w:val="20"/>
              </w:rPr>
              <w:t>3,431</w:t>
            </w:r>
          </w:p>
        </w:tc>
      </w:tr>
      <w:tr>
        <w:trPr>
          <w:trHeight w:hRule="atLeast" w:val="300"/>
        </w:trPr>
        <w:tc>
          <w:tcPr>
            <w:tcW w:type="dxa" w:w="2780"/>
            <w:tcBorders>
              <w:left w:color="000000" w:sz="4" w:val="single"/>
              <w:bottom w:color="000000" w:sz="4" w:val="single"/>
              <w:right w:color="000000" w:sz="4" w:val="single"/>
            </w:tcBorders>
            <w:shd w:fill="auto" w:val="clear"/>
            <w:tcMar>
              <w:top w:type="dxa" w:w="0"/>
              <w:left w:type="dxa" w:w="108"/>
              <w:bottom w:type="dxa" w:w="0"/>
              <w:right w:type="dxa" w:w="108"/>
            </w:tcMar>
            <w:vAlign w:val="center"/>
          </w:tcPr>
          <w:p w14:paraId="46050000">
            <w:pPr>
              <w:pStyle w:val="Style_2"/>
              <w:widowControl w:val="1"/>
              <w:spacing w:after="0" w:before="0" w:line="240" w:lineRule="auto"/>
              <w:ind w:firstLine="0" w:left="0" w:right="0"/>
              <w:jc w:val="left"/>
              <w:rPr>
                <w:rFonts w:ascii="Times New Roman" w:hAnsi="Times New Roman"/>
              </w:rPr>
            </w:pPr>
            <w:r>
              <w:rPr>
                <w:color w:val="000000"/>
                <w:spacing w:val="0"/>
                <w:sz w:val="20"/>
              </w:rPr>
              <w:t>Передача отходов другим организациям (за исключением ТКО) для захоронения</w:t>
            </w:r>
          </w:p>
        </w:tc>
        <w:tc>
          <w:tcPr>
            <w:tcW w:type="dxa" w:w="1397"/>
            <w:tcBorders>
              <w:bottom w:color="000000" w:sz="4" w:val="single"/>
              <w:right w:color="000000" w:sz="4" w:val="single"/>
            </w:tcBorders>
            <w:shd w:fill="auto" w:val="clear"/>
            <w:tcMar>
              <w:top w:type="dxa" w:w="0"/>
              <w:left w:type="dxa" w:w="108"/>
              <w:bottom w:type="dxa" w:w="0"/>
              <w:right w:type="dxa" w:w="108"/>
            </w:tcMar>
            <w:vAlign w:val="center"/>
          </w:tcPr>
          <w:p w14:paraId="47050000">
            <w:pPr>
              <w:pStyle w:val="Style_2"/>
              <w:widowControl w:val="1"/>
              <w:spacing w:after="0" w:before="0" w:line="240" w:lineRule="auto"/>
              <w:ind w:firstLine="0" w:left="0" w:right="0"/>
              <w:jc w:val="center"/>
              <w:rPr>
                <w:rFonts w:ascii="Times New Roman" w:hAnsi="Times New Roman"/>
              </w:rPr>
            </w:pPr>
            <w:r>
              <w:rPr>
                <w:color w:val="000000"/>
                <w:spacing w:val="0"/>
                <w:sz w:val="20"/>
              </w:rPr>
              <w:t>86 009,150</w:t>
            </w:r>
          </w:p>
        </w:tc>
        <w:tc>
          <w:tcPr>
            <w:tcW w:type="dxa" w:w="981"/>
            <w:tcBorders>
              <w:bottom w:color="000000" w:sz="4" w:val="single"/>
              <w:right w:color="000000" w:sz="4" w:val="single"/>
            </w:tcBorders>
            <w:shd w:fill="auto" w:val="clear"/>
            <w:tcMar>
              <w:top w:type="dxa" w:w="0"/>
              <w:left w:type="dxa" w:w="108"/>
              <w:bottom w:type="dxa" w:w="0"/>
              <w:right w:type="dxa" w:w="108"/>
            </w:tcMar>
            <w:vAlign w:val="center"/>
          </w:tcPr>
          <w:p w14:paraId="48050000">
            <w:pPr>
              <w:pStyle w:val="Style_2"/>
              <w:widowControl w:val="1"/>
              <w:spacing w:after="0" w:before="0" w:line="240" w:lineRule="auto"/>
              <w:ind w:firstLine="0" w:left="0" w:right="0"/>
              <w:jc w:val="center"/>
              <w:rPr>
                <w:rFonts w:ascii="Times New Roman" w:hAnsi="Times New Roman"/>
              </w:rPr>
            </w:pPr>
            <w:r>
              <w:rPr>
                <w:color w:val="000000"/>
                <w:spacing w:val="0"/>
                <w:sz w:val="20"/>
              </w:rPr>
              <w:t>0</w:t>
            </w:r>
          </w:p>
        </w:tc>
        <w:tc>
          <w:tcPr>
            <w:tcW w:type="dxa" w:w="1070"/>
            <w:tcBorders>
              <w:bottom w:color="000000" w:sz="4" w:val="single"/>
              <w:right w:color="000000" w:sz="4" w:val="single"/>
            </w:tcBorders>
            <w:shd w:fill="auto" w:val="clear"/>
            <w:tcMar>
              <w:top w:type="dxa" w:w="0"/>
              <w:left w:type="dxa" w:w="108"/>
              <w:bottom w:type="dxa" w:w="0"/>
              <w:right w:type="dxa" w:w="108"/>
            </w:tcMar>
            <w:vAlign w:val="center"/>
          </w:tcPr>
          <w:p w14:paraId="49050000">
            <w:pPr>
              <w:pStyle w:val="Style_2"/>
              <w:widowControl w:val="1"/>
              <w:spacing w:after="0" w:before="0" w:line="240" w:lineRule="auto"/>
              <w:ind w:firstLine="0" w:left="0" w:right="0"/>
              <w:jc w:val="center"/>
              <w:rPr>
                <w:rFonts w:ascii="Times New Roman" w:hAnsi="Times New Roman"/>
              </w:rPr>
            </w:pPr>
            <w:r>
              <w:rPr>
                <w:color w:val="000000"/>
                <w:spacing w:val="0"/>
                <w:sz w:val="20"/>
              </w:rPr>
              <w:t>0</w:t>
            </w:r>
          </w:p>
        </w:tc>
        <w:tc>
          <w:tcPr>
            <w:tcW w:type="dxa" w:w="1175"/>
            <w:tcBorders>
              <w:bottom w:color="000000" w:sz="4" w:val="single"/>
              <w:right w:color="000000" w:sz="4" w:val="single"/>
            </w:tcBorders>
            <w:shd w:fill="auto" w:val="clear"/>
            <w:tcMar>
              <w:top w:type="dxa" w:w="0"/>
              <w:left w:type="dxa" w:w="108"/>
              <w:bottom w:type="dxa" w:w="0"/>
              <w:right w:type="dxa" w:w="108"/>
            </w:tcMar>
            <w:vAlign w:val="center"/>
          </w:tcPr>
          <w:p w14:paraId="4A050000">
            <w:pPr>
              <w:pStyle w:val="Style_2"/>
              <w:widowControl w:val="1"/>
              <w:spacing w:after="0" w:before="0" w:line="240" w:lineRule="auto"/>
              <w:ind w:firstLine="0" w:left="0" w:right="0"/>
              <w:jc w:val="center"/>
              <w:rPr>
                <w:rFonts w:ascii="Times New Roman" w:hAnsi="Times New Roman"/>
              </w:rPr>
            </w:pPr>
            <w:r>
              <w:rPr>
                <w:color w:val="000000"/>
                <w:spacing w:val="0"/>
                <w:sz w:val="20"/>
              </w:rPr>
              <w:t>34,412</w:t>
            </w:r>
          </w:p>
        </w:tc>
        <w:tc>
          <w:tcPr>
            <w:tcW w:type="dxa" w:w="1359"/>
            <w:tcBorders>
              <w:bottom w:color="000000" w:sz="4" w:val="single"/>
              <w:right w:color="000000" w:sz="4" w:val="single"/>
            </w:tcBorders>
            <w:shd w:fill="auto" w:val="clear"/>
            <w:tcMar>
              <w:top w:type="dxa" w:w="0"/>
              <w:left w:type="dxa" w:w="108"/>
              <w:bottom w:type="dxa" w:w="0"/>
              <w:right w:type="dxa" w:w="108"/>
            </w:tcMar>
            <w:vAlign w:val="center"/>
          </w:tcPr>
          <w:p w14:paraId="4B050000">
            <w:pPr>
              <w:pStyle w:val="Style_2"/>
              <w:widowControl w:val="1"/>
              <w:spacing w:after="0" w:before="0" w:line="240" w:lineRule="auto"/>
              <w:ind w:firstLine="0" w:left="0" w:right="0"/>
              <w:jc w:val="center"/>
              <w:rPr>
                <w:rFonts w:ascii="Times New Roman" w:hAnsi="Times New Roman"/>
              </w:rPr>
            </w:pPr>
            <w:r>
              <w:rPr>
                <w:color w:val="000000"/>
                <w:spacing w:val="0"/>
                <w:sz w:val="20"/>
              </w:rPr>
              <w:t>3 807, 460</w:t>
            </w:r>
          </w:p>
        </w:tc>
        <w:tc>
          <w:tcPr>
            <w:tcW w:type="dxa" w:w="1374"/>
            <w:tcBorders>
              <w:bottom w:color="000000" w:sz="4" w:val="single"/>
              <w:right w:color="000000" w:sz="4" w:val="single"/>
            </w:tcBorders>
            <w:shd w:fill="auto" w:val="clear"/>
            <w:tcMar>
              <w:top w:type="dxa" w:w="0"/>
              <w:left w:type="dxa" w:w="108"/>
              <w:bottom w:type="dxa" w:w="0"/>
              <w:right w:type="dxa" w:w="108"/>
            </w:tcMar>
            <w:vAlign w:val="center"/>
          </w:tcPr>
          <w:p w14:paraId="4C050000">
            <w:pPr>
              <w:pStyle w:val="Style_2"/>
              <w:widowControl w:val="1"/>
              <w:spacing w:after="0" w:before="0" w:line="240" w:lineRule="auto"/>
              <w:ind w:firstLine="0" w:left="0" w:right="0"/>
              <w:jc w:val="center"/>
              <w:rPr>
                <w:rFonts w:ascii="Times New Roman" w:hAnsi="Times New Roman"/>
              </w:rPr>
            </w:pPr>
            <w:r>
              <w:rPr>
                <w:color w:val="000000"/>
                <w:spacing w:val="0"/>
                <w:sz w:val="20"/>
              </w:rPr>
              <w:t>82 167,278</w:t>
            </w:r>
          </w:p>
        </w:tc>
      </w:tr>
      <w:tr>
        <w:trPr>
          <w:trHeight w:hRule="atLeast" w:val="600"/>
        </w:trPr>
        <w:tc>
          <w:tcPr>
            <w:tcW w:type="dxa" w:w="2780"/>
            <w:tcBorders>
              <w:left w:color="000000" w:sz="4" w:val="single"/>
              <w:bottom w:color="000000" w:sz="4" w:val="single"/>
              <w:right w:color="000000" w:sz="4" w:val="single"/>
            </w:tcBorders>
            <w:shd w:fill="auto" w:val="clear"/>
            <w:tcMar>
              <w:top w:type="dxa" w:w="0"/>
              <w:left w:type="dxa" w:w="108"/>
              <w:bottom w:type="dxa" w:w="0"/>
              <w:right w:type="dxa" w:w="108"/>
            </w:tcMar>
            <w:vAlign w:val="center"/>
          </w:tcPr>
          <w:p w14:paraId="4D050000">
            <w:pPr>
              <w:pStyle w:val="Style_2"/>
              <w:widowControl w:val="1"/>
              <w:spacing w:after="0" w:before="0" w:line="240" w:lineRule="auto"/>
              <w:ind w:firstLine="0" w:left="0" w:right="0"/>
              <w:jc w:val="left"/>
              <w:rPr>
                <w:rFonts w:ascii="Times New Roman" w:hAnsi="Times New Roman"/>
              </w:rPr>
            </w:pPr>
            <w:r>
              <w:rPr>
                <w:color w:val="000000"/>
                <w:spacing w:val="0"/>
                <w:sz w:val="20"/>
              </w:rPr>
              <w:t>Передача отходов (за исключением ТКО)  на собственные объекты</w:t>
            </w:r>
          </w:p>
        </w:tc>
        <w:tc>
          <w:tcPr>
            <w:tcW w:type="dxa" w:w="1397"/>
            <w:tcBorders>
              <w:bottom w:color="000000" w:sz="4" w:val="single"/>
              <w:right w:color="000000" w:sz="4" w:val="single"/>
            </w:tcBorders>
            <w:shd w:fill="auto" w:val="clear"/>
            <w:tcMar>
              <w:top w:type="dxa" w:w="0"/>
              <w:left w:type="dxa" w:w="108"/>
              <w:bottom w:type="dxa" w:w="0"/>
              <w:right w:type="dxa" w:w="108"/>
            </w:tcMar>
            <w:vAlign w:val="center"/>
          </w:tcPr>
          <w:p w14:paraId="4E050000">
            <w:pPr>
              <w:pStyle w:val="Style_2"/>
              <w:widowControl w:val="1"/>
              <w:spacing w:after="0" w:before="0" w:line="240" w:lineRule="auto"/>
              <w:ind w:firstLine="0" w:left="0" w:right="0"/>
              <w:jc w:val="center"/>
              <w:rPr>
                <w:rFonts w:ascii="Times New Roman" w:hAnsi="Times New Roman"/>
              </w:rPr>
            </w:pPr>
            <w:r>
              <w:rPr>
                <w:color w:val="000000"/>
                <w:spacing w:val="0"/>
                <w:sz w:val="20"/>
              </w:rPr>
              <w:t>17 037,533</w:t>
            </w:r>
          </w:p>
        </w:tc>
        <w:tc>
          <w:tcPr>
            <w:tcW w:type="dxa" w:w="981"/>
            <w:tcBorders>
              <w:bottom w:color="000000" w:sz="4" w:val="single"/>
              <w:right w:color="000000" w:sz="4" w:val="single"/>
            </w:tcBorders>
            <w:shd w:fill="auto" w:val="clear"/>
            <w:tcMar>
              <w:top w:type="dxa" w:w="0"/>
              <w:left w:type="dxa" w:w="108"/>
              <w:bottom w:type="dxa" w:w="0"/>
              <w:right w:type="dxa" w:w="108"/>
            </w:tcMar>
            <w:vAlign w:val="center"/>
          </w:tcPr>
          <w:p w14:paraId="4F050000">
            <w:pPr>
              <w:pStyle w:val="Style_2"/>
              <w:widowControl w:val="1"/>
              <w:spacing w:after="0" w:before="0" w:line="240" w:lineRule="auto"/>
              <w:ind w:firstLine="0" w:left="0" w:right="0"/>
              <w:jc w:val="center"/>
              <w:rPr>
                <w:rFonts w:ascii="Times New Roman" w:hAnsi="Times New Roman"/>
              </w:rPr>
            </w:pPr>
            <w:r>
              <w:rPr>
                <w:color w:val="000000"/>
                <w:spacing w:val="0"/>
                <w:sz w:val="20"/>
              </w:rPr>
              <w:t>0</w:t>
            </w:r>
          </w:p>
        </w:tc>
        <w:tc>
          <w:tcPr>
            <w:tcW w:type="dxa" w:w="1070"/>
            <w:tcBorders>
              <w:bottom w:color="000000" w:sz="4" w:val="single"/>
              <w:right w:color="000000" w:sz="4" w:val="single"/>
            </w:tcBorders>
            <w:shd w:fill="auto" w:val="clear"/>
            <w:tcMar>
              <w:top w:type="dxa" w:w="0"/>
              <w:left w:type="dxa" w:w="108"/>
              <w:bottom w:type="dxa" w:w="0"/>
              <w:right w:type="dxa" w:w="108"/>
            </w:tcMar>
            <w:vAlign w:val="center"/>
          </w:tcPr>
          <w:p w14:paraId="50050000">
            <w:pPr>
              <w:pStyle w:val="Style_2"/>
              <w:widowControl w:val="1"/>
              <w:spacing w:after="0" w:before="0" w:line="240" w:lineRule="auto"/>
              <w:ind w:firstLine="0" w:left="0" w:right="0"/>
              <w:jc w:val="center"/>
              <w:rPr>
                <w:rFonts w:ascii="Times New Roman" w:hAnsi="Times New Roman"/>
              </w:rPr>
            </w:pPr>
            <w:r>
              <w:rPr>
                <w:color w:val="000000"/>
                <w:spacing w:val="0"/>
                <w:sz w:val="20"/>
              </w:rPr>
              <w:t>0</w:t>
            </w:r>
          </w:p>
        </w:tc>
        <w:tc>
          <w:tcPr>
            <w:tcW w:type="dxa" w:w="1175"/>
            <w:tcBorders>
              <w:bottom w:color="000000" w:sz="4" w:val="single"/>
              <w:right w:color="000000" w:sz="4" w:val="single"/>
            </w:tcBorders>
            <w:shd w:fill="auto" w:val="clear"/>
            <w:tcMar>
              <w:top w:type="dxa" w:w="0"/>
              <w:left w:type="dxa" w:w="108"/>
              <w:bottom w:type="dxa" w:w="0"/>
              <w:right w:type="dxa" w:w="108"/>
            </w:tcMar>
            <w:vAlign w:val="center"/>
          </w:tcPr>
          <w:p w14:paraId="51050000">
            <w:pPr>
              <w:pStyle w:val="Style_2"/>
              <w:widowControl w:val="1"/>
              <w:spacing w:after="0" w:before="0" w:line="240" w:lineRule="auto"/>
              <w:ind w:firstLine="0" w:left="0" w:right="0"/>
              <w:jc w:val="center"/>
              <w:rPr>
                <w:rFonts w:ascii="Times New Roman" w:hAnsi="Times New Roman"/>
              </w:rPr>
            </w:pPr>
            <w:r>
              <w:rPr>
                <w:color w:val="000000"/>
                <w:spacing w:val="0"/>
                <w:sz w:val="20"/>
              </w:rPr>
              <w:t>192,423</w:t>
            </w:r>
          </w:p>
        </w:tc>
        <w:tc>
          <w:tcPr>
            <w:tcW w:type="dxa" w:w="1359"/>
            <w:tcBorders>
              <w:bottom w:color="000000" w:sz="4" w:val="single"/>
              <w:right w:color="000000" w:sz="4" w:val="single"/>
            </w:tcBorders>
            <w:shd w:fill="auto" w:val="clear"/>
            <w:tcMar>
              <w:top w:type="dxa" w:w="0"/>
              <w:left w:type="dxa" w:w="108"/>
              <w:bottom w:type="dxa" w:w="0"/>
              <w:right w:type="dxa" w:w="108"/>
            </w:tcMar>
            <w:vAlign w:val="center"/>
          </w:tcPr>
          <w:p w14:paraId="52050000">
            <w:pPr>
              <w:pStyle w:val="Style_2"/>
              <w:widowControl w:val="1"/>
              <w:spacing w:after="0" w:before="0" w:line="240" w:lineRule="auto"/>
              <w:ind w:firstLine="0" w:left="0" w:right="0"/>
              <w:jc w:val="center"/>
              <w:rPr>
                <w:rFonts w:ascii="Times New Roman" w:hAnsi="Times New Roman"/>
              </w:rPr>
            </w:pPr>
            <w:r>
              <w:rPr>
                <w:color w:val="000000"/>
                <w:spacing w:val="0"/>
                <w:sz w:val="20"/>
              </w:rPr>
              <w:t>506,231</w:t>
            </w:r>
          </w:p>
        </w:tc>
        <w:tc>
          <w:tcPr>
            <w:tcW w:type="dxa" w:w="1374"/>
            <w:tcBorders>
              <w:bottom w:color="000000" w:sz="4" w:val="single"/>
              <w:right w:color="000000" w:sz="4" w:val="single"/>
            </w:tcBorders>
            <w:shd w:fill="auto" w:val="clear"/>
            <w:tcMar>
              <w:top w:type="dxa" w:w="0"/>
              <w:left w:type="dxa" w:w="108"/>
              <w:bottom w:type="dxa" w:w="0"/>
              <w:right w:type="dxa" w:w="108"/>
            </w:tcMar>
            <w:vAlign w:val="center"/>
          </w:tcPr>
          <w:p w14:paraId="53050000">
            <w:pPr>
              <w:pStyle w:val="Style_2"/>
              <w:widowControl w:val="1"/>
              <w:spacing w:after="0" w:before="0" w:line="240" w:lineRule="auto"/>
              <w:ind w:firstLine="0" w:left="0" w:right="0"/>
              <w:jc w:val="center"/>
              <w:rPr>
                <w:rFonts w:ascii="Times New Roman" w:hAnsi="Times New Roman"/>
              </w:rPr>
            </w:pPr>
            <w:r>
              <w:rPr>
                <w:color w:val="000000"/>
                <w:spacing w:val="0"/>
                <w:sz w:val="20"/>
              </w:rPr>
              <w:t>16 338,879</w:t>
            </w:r>
          </w:p>
        </w:tc>
      </w:tr>
      <w:tr>
        <w:trPr>
          <w:trHeight w:hRule="atLeast" w:val="600"/>
        </w:trPr>
        <w:tc>
          <w:tcPr>
            <w:tcW w:type="dxa" w:w="2780"/>
            <w:tcBorders>
              <w:left w:color="000000" w:sz="4" w:val="single"/>
              <w:bottom w:color="000000" w:sz="4" w:val="single"/>
              <w:right w:color="000000" w:sz="4" w:val="single"/>
            </w:tcBorders>
            <w:shd w:fill="auto" w:val="clear"/>
            <w:tcMar>
              <w:top w:type="dxa" w:w="0"/>
              <w:left w:type="dxa" w:w="108"/>
              <w:bottom w:type="dxa" w:w="0"/>
              <w:right w:type="dxa" w:w="108"/>
            </w:tcMar>
            <w:vAlign w:val="center"/>
          </w:tcPr>
          <w:p w14:paraId="54050000">
            <w:pPr>
              <w:pStyle w:val="Style_2"/>
              <w:widowControl w:val="1"/>
              <w:spacing w:after="0" w:before="0" w:line="240" w:lineRule="auto"/>
              <w:ind w:firstLine="0" w:left="0" w:right="0"/>
              <w:jc w:val="left"/>
              <w:rPr>
                <w:rFonts w:ascii="Times New Roman" w:hAnsi="Times New Roman"/>
              </w:rPr>
            </w:pPr>
            <w:r>
              <w:rPr>
                <w:color w:val="000000"/>
                <w:spacing w:val="0"/>
                <w:sz w:val="20"/>
              </w:rPr>
              <w:t>из них в другие субъекты РФ</w:t>
            </w:r>
          </w:p>
        </w:tc>
        <w:tc>
          <w:tcPr>
            <w:tcW w:type="dxa" w:w="1397"/>
            <w:tcBorders>
              <w:bottom w:color="000000" w:sz="4" w:val="single"/>
              <w:right w:color="000000" w:sz="4" w:val="single"/>
            </w:tcBorders>
            <w:shd w:fill="auto" w:val="clear"/>
            <w:tcMar>
              <w:top w:type="dxa" w:w="0"/>
              <w:left w:type="dxa" w:w="108"/>
              <w:bottom w:type="dxa" w:w="0"/>
              <w:right w:type="dxa" w:w="108"/>
            </w:tcMar>
            <w:vAlign w:val="center"/>
          </w:tcPr>
          <w:p w14:paraId="55050000">
            <w:pPr>
              <w:pStyle w:val="Style_2"/>
              <w:widowControl w:val="1"/>
              <w:spacing w:after="0" w:before="0" w:line="240" w:lineRule="auto"/>
              <w:ind w:firstLine="0" w:left="0" w:right="0"/>
              <w:jc w:val="center"/>
              <w:rPr>
                <w:rFonts w:ascii="Times New Roman" w:hAnsi="Times New Roman"/>
              </w:rPr>
            </w:pPr>
            <w:r>
              <w:rPr>
                <w:color w:val="000000"/>
                <w:spacing w:val="0"/>
                <w:sz w:val="20"/>
              </w:rPr>
              <w:t>738,890</w:t>
            </w:r>
          </w:p>
        </w:tc>
        <w:tc>
          <w:tcPr>
            <w:tcW w:type="dxa" w:w="981"/>
            <w:tcBorders>
              <w:bottom w:color="000000" w:sz="4" w:val="single"/>
              <w:right w:color="000000" w:sz="4" w:val="single"/>
            </w:tcBorders>
            <w:shd w:fill="auto" w:val="clear"/>
            <w:tcMar>
              <w:top w:type="dxa" w:w="0"/>
              <w:left w:type="dxa" w:w="108"/>
              <w:bottom w:type="dxa" w:w="0"/>
              <w:right w:type="dxa" w:w="108"/>
            </w:tcMar>
            <w:vAlign w:val="center"/>
          </w:tcPr>
          <w:p w14:paraId="56050000">
            <w:pPr>
              <w:pStyle w:val="Style_2"/>
              <w:widowControl w:val="1"/>
              <w:spacing w:after="0" w:before="0" w:line="240" w:lineRule="auto"/>
              <w:ind w:firstLine="0" w:left="0" w:right="0"/>
              <w:jc w:val="center"/>
              <w:rPr>
                <w:rFonts w:ascii="Times New Roman" w:hAnsi="Times New Roman"/>
              </w:rPr>
            </w:pPr>
            <w:r>
              <w:rPr>
                <w:color w:val="000000"/>
                <w:spacing w:val="0"/>
                <w:sz w:val="20"/>
              </w:rPr>
              <w:t>0</w:t>
            </w:r>
          </w:p>
        </w:tc>
        <w:tc>
          <w:tcPr>
            <w:tcW w:type="dxa" w:w="1070"/>
            <w:tcBorders>
              <w:bottom w:color="000000" w:sz="4" w:val="single"/>
              <w:right w:color="000000" w:sz="4" w:val="single"/>
            </w:tcBorders>
            <w:shd w:fill="auto" w:val="clear"/>
            <w:tcMar>
              <w:top w:type="dxa" w:w="0"/>
              <w:left w:type="dxa" w:w="108"/>
              <w:bottom w:type="dxa" w:w="0"/>
              <w:right w:type="dxa" w:w="108"/>
            </w:tcMar>
            <w:vAlign w:val="center"/>
          </w:tcPr>
          <w:p w14:paraId="57050000">
            <w:pPr>
              <w:pStyle w:val="Style_2"/>
              <w:widowControl w:val="1"/>
              <w:spacing w:after="0" w:before="0" w:line="240" w:lineRule="auto"/>
              <w:ind w:firstLine="0" w:left="0" w:right="0"/>
              <w:jc w:val="center"/>
              <w:rPr>
                <w:rFonts w:ascii="Times New Roman" w:hAnsi="Times New Roman"/>
              </w:rPr>
            </w:pPr>
            <w:r>
              <w:rPr>
                <w:color w:val="000000"/>
                <w:spacing w:val="0"/>
                <w:sz w:val="20"/>
              </w:rPr>
              <w:t>0</w:t>
            </w:r>
          </w:p>
        </w:tc>
        <w:tc>
          <w:tcPr>
            <w:tcW w:type="dxa" w:w="1175"/>
            <w:tcBorders>
              <w:bottom w:color="000000" w:sz="4" w:val="single"/>
              <w:right w:color="000000" w:sz="4" w:val="single"/>
            </w:tcBorders>
            <w:shd w:fill="auto" w:val="clear"/>
            <w:tcMar>
              <w:top w:type="dxa" w:w="0"/>
              <w:left w:type="dxa" w:w="108"/>
              <w:bottom w:type="dxa" w:w="0"/>
              <w:right w:type="dxa" w:w="108"/>
            </w:tcMar>
            <w:vAlign w:val="center"/>
          </w:tcPr>
          <w:p w14:paraId="58050000">
            <w:pPr>
              <w:pStyle w:val="Style_2"/>
              <w:widowControl w:val="1"/>
              <w:spacing w:after="0" w:before="0" w:line="240" w:lineRule="auto"/>
              <w:ind w:firstLine="0" w:left="0" w:right="0"/>
              <w:jc w:val="center"/>
              <w:rPr>
                <w:rFonts w:ascii="Times New Roman" w:hAnsi="Times New Roman"/>
              </w:rPr>
            </w:pPr>
            <w:r>
              <w:rPr>
                <w:color w:val="000000"/>
                <w:spacing w:val="0"/>
                <w:sz w:val="20"/>
              </w:rPr>
              <w:t>192,423</w:t>
            </w:r>
          </w:p>
        </w:tc>
        <w:tc>
          <w:tcPr>
            <w:tcW w:type="dxa" w:w="1359"/>
            <w:tcBorders>
              <w:bottom w:color="000000" w:sz="4" w:val="single"/>
              <w:right w:color="000000" w:sz="4" w:val="single"/>
            </w:tcBorders>
            <w:shd w:fill="auto" w:val="clear"/>
            <w:tcMar>
              <w:top w:type="dxa" w:w="0"/>
              <w:left w:type="dxa" w:w="108"/>
              <w:bottom w:type="dxa" w:w="0"/>
              <w:right w:type="dxa" w:w="108"/>
            </w:tcMar>
            <w:vAlign w:val="center"/>
          </w:tcPr>
          <w:p w14:paraId="59050000">
            <w:pPr>
              <w:pStyle w:val="Style_2"/>
              <w:widowControl w:val="1"/>
              <w:spacing w:after="0" w:before="0" w:line="240" w:lineRule="auto"/>
              <w:ind w:firstLine="0" w:left="0" w:right="0"/>
              <w:jc w:val="center"/>
              <w:rPr>
                <w:rFonts w:ascii="Times New Roman" w:hAnsi="Times New Roman"/>
              </w:rPr>
            </w:pPr>
            <w:r>
              <w:rPr>
                <w:color w:val="000000"/>
                <w:spacing w:val="0"/>
                <w:sz w:val="20"/>
              </w:rPr>
              <w:t>506,231</w:t>
            </w:r>
          </w:p>
        </w:tc>
        <w:tc>
          <w:tcPr>
            <w:tcW w:type="dxa" w:w="1374"/>
            <w:tcBorders>
              <w:bottom w:color="000000" w:sz="4" w:val="single"/>
              <w:right w:color="000000" w:sz="4" w:val="single"/>
            </w:tcBorders>
            <w:shd w:fill="auto" w:val="clear"/>
            <w:tcMar>
              <w:top w:type="dxa" w:w="0"/>
              <w:left w:type="dxa" w:w="108"/>
              <w:bottom w:type="dxa" w:w="0"/>
              <w:right w:type="dxa" w:w="108"/>
            </w:tcMar>
            <w:vAlign w:val="center"/>
          </w:tcPr>
          <w:p w14:paraId="5A050000">
            <w:pPr>
              <w:pStyle w:val="Style_2"/>
              <w:widowControl w:val="1"/>
              <w:spacing w:after="0" w:before="0" w:line="240" w:lineRule="auto"/>
              <w:ind w:firstLine="0" w:left="0" w:right="0"/>
              <w:jc w:val="center"/>
              <w:rPr>
                <w:rFonts w:ascii="Times New Roman" w:hAnsi="Times New Roman"/>
              </w:rPr>
            </w:pPr>
            <w:r>
              <w:rPr>
                <w:color w:val="000000"/>
                <w:spacing w:val="0"/>
                <w:sz w:val="20"/>
              </w:rPr>
              <w:t>40,236</w:t>
            </w:r>
          </w:p>
        </w:tc>
      </w:tr>
      <w:tr>
        <w:trPr>
          <w:trHeight w:hRule="atLeast" w:val="1033"/>
        </w:trPr>
        <w:tc>
          <w:tcPr>
            <w:tcW w:type="dxa" w:w="2780"/>
            <w:vMerge w:val="restart"/>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vAlign w:val="center"/>
          </w:tcPr>
          <w:p w14:paraId="5B050000">
            <w:pPr>
              <w:pStyle w:val="Style_2"/>
              <w:widowControl w:val="1"/>
              <w:spacing w:after="0" w:before="0" w:line="240" w:lineRule="auto"/>
              <w:ind w:firstLine="0" w:left="0" w:right="0"/>
              <w:jc w:val="left"/>
              <w:rPr>
                <w:rFonts w:ascii="Times New Roman" w:hAnsi="Times New Roman"/>
              </w:rPr>
            </w:pPr>
            <w:r>
              <w:rPr>
                <w:color w:val="000000"/>
                <w:spacing w:val="0"/>
                <w:sz w:val="20"/>
              </w:rPr>
              <w:t>Размещение отходов на эксплуатируемых объектах</w:t>
            </w:r>
          </w:p>
          <w:p w14:paraId="5C050000">
            <w:pPr>
              <w:pStyle w:val="Style_2"/>
              <w:widowControl w:val="1"/>
              <w:spacing w:after="0" w:before="0" w:line="240" w:lineRule="auto"/>
              <w:ind w:firstLine="0" w:left="0" w:right="0"/>
              <w:jc w:val="left"/>
              <w:rPr>
                <w:rFonts w:ascii="Times New Roman" w:hAnsi="Times New Roman"/>
              </w:rPr>
            </w:pPr>
            <w:r>
              <w:rPr>
                <w:color w:val="000000"/>
                <w:spacing w:val="0"/>
                <w:sz w:val="20"/>
              </w:rPr>
              <w:t>- хранение</w:t>
            </w:r>
          </w:p>
          <w:p w14:paraId="5D050000">
            <w:pPr>
              <w:pStyle w:val="Style_2"/>
              <w:widowControl w:val="1"/>
              <w:spacing w:after="0" w:before="0" w:line="240" w:lineRule="auto"/>
              <w:ind w:firstLine="0" w:left="0" w:right="0"/>
              <w:jc w:val="left"/>
              <w:rPr>
                <w:rFonts w:ascii="Times New Roman" w:hAnsi="Times New Roman"/>
                <w:color w:val="000000"/>
                <w:sz w:val="20"/>
              </w:rPr>
            </w:pPr>
          </w:p>
          <w:p w14:paraId="5E050000">
            <w:pPr>
              <w:pStyle w:val="Style_2"/>
              <w:widowControl w:val="1"/>
              <w:spacing w:after="0" w:before="0" w:line="240" w:lineRule="auto"/>
              <w:ind w:firstLine="0" w:left="0" w:right="0"/>
              <w:jc w:val="left"/>
              <w:rPr>
                <w:rFonts w:ascii="Times New Roman" w:hAnsi="Times New Roman"/>
              </w:rPr>
            </w:pPr>
            <w:r>
              <w:rPr>
                <w:color w:val="000000"/>
                <w:spacing w:val="0"/>
                <w:sz w:val="20"/>
              </w:rPr>
              <w:t>- захоронение</w:t>
            </w:r>
          </w:p>
          <w:p w14:paraId="5F050000">
            <w:pPr>
              <w:pStyle w:val="Style_2"/>
              <w:widowControl w:val="1"/>
              <w:spacing w:after="0" w:before="0" w:line="240" w:lineRule="auto"/>
              <w:ind w:firstLine="0" w:left="0" w:right="0"/>
              <w:jc w:val="left"/>
              <w:rPr>
                <w:rFonts w:ascii="Times New Roman" w:hAnsi="Times New Roman"/>
                <w:color w:val="000000"/>
                <w:sz w:val="20"/>
              </w:rPr>
            </w:pPr>
          </w:p>
        </w:tc>
        <w:tc>
          <w:tcPr>
            <w:tcW w:type="dxa" w:w="1397"/>
            <w:tcBorders>
              <w:top w:color="000000" w:sz="4" w:val="single"/>
              <w:left w:color="000000" w:sz="4" w:val="single"/>
              <w:right w:color="000000" w:sz="4" w:val="single"/>
            </w:tcBorders>
            <w:shd w:fill="auto" w:val="clear"/>
            <w:tcMar>
              <w:top w:type="dxa" w:w="0"/>
              <w:left w:type="dxa" w:w="108"/>
              <w:bottom w:type="dxa" w:w="0"/>
              <w:right w:type="dxa" w:w="108"/>
            </w:tcMar>
            <w:vAlign w:val="center"/>
          </w:tcPr>
          <w:p w14:paraId="60050000">
            <w:pPr>
              <w:pStyle w:val="Style_2"/>
              <w:widowControl w:val="1"/>
              <w:spacing w:after="0" w:before="0" w:line="240" w:lineRule="auto"/>
              <w:ind w:firstLine="0" w:left="0" w:right="0"/>
              <w:jc w:val="center"/>
              <w:rPr>
                <w:rFonts w:ascii="Times New Roman" w:hAnsi="Times New Roman"/>
                <w:color w:val="000000"/>
                <w:sz w:val="20"/>
              </w:rPr>
            </w:pPr>
          </w:p>
          <w:p w14:paraId="61050000">
            <w:pPr>
              <w:pStyle w:val="Style_2"/>
              <w:widowControl w:val="1"/>
              <w:spacing w:after="0" w:before="0" w:line="240" w:lineRule="auto"/>
              <w:ind w:firstLine="0" w:left="0" w:right="0"/>
              <w:jc w:val="center"/>
              <w:rPr>
                <w:rFonts w:ascii="Times New Roman" w:hAnsi="Times New Roman"/>
                <w:color w:val="000000"/>
                <w:sz w:val="20"/>
              </w:rPr>
            </w:pPr>
          </w:p>
          <w:p w14:paraId="62050000">
            <w:pPr>
              <w:pStyle w:val="Style_2"/>
              <w:widowControl w:val="1"/>
              <w:spacing w:after="0" w:before="0" w:line="240" w:lineRule="auto"/>
              <w:ind w:firstLine="0" w:left="0" w:right="0"/>
              <w:jc w:val="center"/>
              <w:rPr>
                <w:rFonts w:ascii="Times New Roman" w:hAnsi="Times New Roman"/>
              </w:rPr>
            </w:pPr>
            <w:r>
              <w:rPr>
                <w:color w:val="000000"/>
                <w:spacing w:val="0"/>
                <w:sz w:val="20"/>
              </w:rPr>
              <w:t>293 980,712</w:t>
            </w:r>
          </w:p>
        </w:tc>
        <w:tc>
          <w:tcPr>
            <w:tcW w:type="dxa" w:w="981"/>
            <w:tcBorders>
              <w:top w:color="000000" w:sz="4" w:val="single"/>
              <w:left w:color="000000" w:sz="4" w:val="single"/>
              <w:right w:color="000000" w:sz="4" w:val="single"/>
            </w:tcBorders>
            <w:shd w:fill="auto" w:val="clear"/>
            <w:tcMar>
              <w:top w:type="dxa" w:w="0"/>
              <w:left w:type="dxa" w:w="108"/>
              <w:bottom w:type="dxa" w:w="0"/>
              <w:right w:type="dxa" w:w="108"/>
            </w:tcMar>
            <w:vAlign w:val="center"/>
          </w:tcPr>
          <w:p w14:paraId="63050000">
            <w:pPr>
              <w:pStyle w:val="Style_2"/>
              <w:widowControl w:val="1"/>
              <w:spacing w:after="0" w:before="0" w:line="240" w:lineRule="auto"/>
              <w:ind w:firstLine="0" w:left="0" w:right="0"/>
              <w:jc w:val="center"/>
              <w:rPr>
                <w:rFonts w:ascii="Times New Roman" w:hAnsi="Times New Roman"/>
                <w:color w:val="000000"/>
                <w:sz w:val="20"/>
              </w:rPr>
            </w:pPr>
          </w:p>
          <w:p w14:paraId="64050000">
            <w:pPr>
              <w:pStyle w:val="Style_2"/>
              <w:widowControl w:val="1"/>
              <w:spacing w:after="0" w:before="0" w:line="240" w:lineRule="auto"/>
              <w:ind w:firstLine="0" w:left="0" w:right="0"/>
              <w:jc w:val="center"/>
              <w:rPr>
                <w:rFonts w:ascii="Times New Roman" w:hAnsi="Times New Roman"/>
                <w:color w:val="000000"/>
                <w:sz w:val="20"/>
              </w:rPr>
            </w:pPr>
          </w:p>
          <w:p w14:paraId="65050000">
            <w:pPr>
              <w:pStyle w:val="Style_2"/>
              <w:widowControl w:val="1"/>
              <w:spacing w:after="0" w:before="0" w:line="240" w:lineRule="auto"/>
              <w:ind w:firstLine="0" w:left="0" w:right="0"/>
              <w:jc w:val="center"/>
              <w:rPr>
                <w:rFonts w:ascii="Times New Roman" w:hAnsi="Times New Roman"/>
              </w:rPr>
            </w:pPr>
            <w:r>
              <w:rPr>
                <w:color w:val="000000"/>
                <w:spacing w:val="0"/>
                <w:sz w:val="20"/>
              </w:rPr>
              <w:t>0,226</w:t>
            </w:r>
          </w:p>
        </w:tc>
        <w:tc>
          <w:tcPr>
            <w:tcW w:type="dxa" w:w="1070"/>
            <w:tcBorders>
              <w:top w:color="000000" w:sz="4" w:val="single"/>
              <w:left w:color="000000" w:sz="4" w:val="single"/>
              <w:right w:color="000000" w:sz="4" w:val="single"/>
            </w:tcBorders>
            <w:shd w:fill="auto" w:val="clear"/>
            <w:tcMar>
              <w:top w:type="dxa" w:w="0"/>
              <w:left w:type="dxa" w:w="108"/>
              <w:bottom w:type="dxa" w:w="0"/>
              <w:right w:type="dxa" w:w="108"/>
            </w:tcMar>
            <w:vAlign w:val="center"/>
          </w:tcPr>
          <w:p w14:paraId="66050000">
            <w:pPr>
              <w:pStyle w:val="Style_2"/>
              <w:widowControl w:val="1"/>
              <w:spacing w:after="0" w:before="0" w:line="240" w:lineRule="auto"/>
              <w:ind w:firstLine="0" w:left="0" w:right="0"/>
              <w:jc w:val="center"/>
              <w:rPr>
                <w:rFonts w:ascii="Times New Roman" w:hAnsi="Times New Roman"/>
                <w:color w:val="000000"/>
                <w:sz w:val="20"/>
              </w:rPr>
            </w:pPr>
          </w:p>
          <w:p w14:paraId="67050000">
            <w:pPr>
              <w:pStyle w:val="Style_2"/>
              <w:widowControl w:val="1"/>
              <w:spacing w:after="0" w:before="0" w:line="240" w:lineRule="auto"/>
              <w:ind w:firstLine="0" w:left="0" w:right="0"/>
              <w:jc w:val="center"/>
              <w:rPr>
                <w:rFonts w:ascii="Times New Roman" w:hAnsi="Times New Roman"/>
                <w:color w:val="000000"/>
                <w:sz w:val="20"/>
              </w:rPr>
            </w:pPr>
          </w:p>
          <w:p w14:paraId="68050000">
            <w:pPr>
              <w:pStyle w:val="Style_2"/>
              <w:widowControl w:val="1"/>
              <w:spacing w:after="0" w:before="0" w:line="240" w:lineRule="auto"/>
              <w:ind w:firstLine="0" w:left="0" w:right="0"/>
              <w:jc w:val="center"/>
              <w:rPr>
                <w:rFonts w:ascii="Times New Roman" w:hAnsi="Times New Roman"/>
              </w:rPr>
            </w:pPr>
            <w:r>
              <w:rPr>
                <w:color w:val="000000"/>
                <w:spacing w:val="0"/>
                <w:sz w:val="20"/>
              </w:rPr>
              <w:t>2,922</w:t>
            </w:r>
          </w:p>
        </w:tc>
        <w:tc>
          <w:tcPr>
            <w:tcW w:type="dxa" w:w="1175"/>
            <w:tcBorders>
              <w:top w:color="000000" w:sz="4" w:val="single"/>
              <w:left w:color="000000" w:sz="4" w:val="single"/>
              <w:right w:color="000000" w:sz="4" w:val="single"/>
            </w:tcBorders>
            <w:shd w:fill="auto" w:val="clear"/>
            <w:tcMar>
              <w:top w:type="dxa" w:w="0"/>
              <w:left w:type="dxa" w:w="108"/>
              <w:bottom w:type="dxa" w:w="0"/>
              <w:right w:type="dxa" w:w="108"/>
            </w:tcMar>
            <w:vAlign w:val="center"/>
          </w:tcPr>
          <w:p w14:paraId="69050000">
            <w:pPr>
              <w:pStyle w:val="Style_2"/>
              <w:widowControl w:val="1"/>
              <w:spacing w:after="0" w:before="0" w:line="240" w:lineRule="auto"/>
              <w:ind w:firstLine="0" w:left="0" w:right="0"/>
              <w:jc w:val="center"/>
              <w:rPr>
                <w:rFonts w:ascii="Times New Roman" w:hAnsi="Times New Roman"/>
                <w:color w:val="000000"/>
                <w:sz w:val="20"/>
              </w:rPr>
            </w:pPr>
          </w:p>
          <w:p w14:paraId="6A050000">
            <w:pPr>
              <w:pStyle w:val="Style_2"/>
              <w:widowControl w:val="1"/>
              <w:spacing w:after="0" w:before="0" w:line="240" w:lineRule="auto"/>
              <w:ind w:firstLine="0" w:left="0" w:right="0"/>
              <w:jc w:val="center"/>
              <w:rPr>
                <w:rFonts w:ascii="Times New Roman" w:hAnsi="Times New Roman"/>
                <w:color w:val="000000"/>
                <w:sz w:val="20"/>
              </w:rPr>
            </w:pPr>
          </w:p>
          <w:p w14:paraId="6B050000">
            <w:pPr>
              <w:pStyle w:val="Style_2"/>
              <w:widowControl w:val="1"/>
              <w:spacing w:after="0" w:before="0" w:line="240" w:lineRule="auto"/>
              <w:ind w:firstLine="0" w:left="0" w:right="0"/>
              <w:jc w:val="center"/>
              <w:rPr>
                <w:rFonts w:ascii="Times New Roman" w:hAnsi="Times New Roman"/>
              </w:rPr>
            </w:pPr>
            <w:r>
              <w:rPr>
                <w:color w:val="000000"/>
                <w:spacing w:val="0"/>
                <w:sz w:val="20"/>
              </w:rPr>
              <w:t>7,906</w:t>
            </w:r>
          </w:p>
        </w:tc>
        <w:tc>
          <w:tcPr>
            <w:tcW w:type="dxa" w:w="1359"/>
            <w:tcBorders>
              <w:top w:color="000000" w:sz="4" w:val="single"/>
              <w:left w:color="000000" w:sz="4" w:val="single"/>
              <w:right w:color="000000" w:sz="4" w:val="single"/>
            </w:tcBorders>
            <w:shd w:fill="auto" w:val="clear"/>
            <w:tcMar>
              <w:top w:type="dxa" w:w="0"/>
              <w:left w:type="dxa" w:w="108"/>
              <w:bottom w:type="dxa" w:w="0"/>
              <w:right w:type="dxa" w:w="108"/>
            </w:tcMar>
            <w:vAlign w:val="center"/>
          </w:tcPr>
          <w:p w14:paraId="6C050000">
            <w:pPr>
              <w:pStyle w:val="Style_2"/>
              <w:widowControl w:val="1"/>
              <w:spacing w:after="0" w:before="0" w:line="240" w:lineRule="auto"/>
              <w:ind w:firstLine="0" w:left="0" w:right="0"/>
              <w:jc w:val="center"/>
              <w:rPr>
                <w:rFonts w:ascii="Times New Roman" w:hAnsi="Times New Roman"/>
                <w:color w:val="000000"/>
                <w:sz w:val="20"/>
              </w:rPr>
            </w:pPr>
          </w:p>
          <w:p w14:paraId="6D050000">
            <w:pPr>
              <w:pStyle w:val="Style_2"/>
              <w:widowControl w:val="1"/>
              <w:spacing w:after="0" w:before="0" w:line="240" w:lineRule="auto"/>
              <w:ind w:firstLine="0" w:left="0" w:right="0"/>
              <w:jc w:val="center"/>
              <w:rPr>
                <w:rFonts w:ascii="Times New Roman" w:hAnsi="Times New Roman"/>
                <w:color w:val="000000"/>
                <w:sz w:val="20"/>
              </w:rPr>
            </w:pPr>
          </w:p>
          <w:p w14:paraId="6E050000">
            <w:pPr>
              <w:pStyle w:val="Style_2"/>
              <w:widowControl w:val="1"/>
              <w:spacing w:after="0" w:before="0" w:line="240" w:lineRule="auto"/>
              <w:ind w:firstLine="0" w:left="0" w:right="0"/>
              <w:jc w:val="center"/>
              <w:rPr>
                <w:rFonts w:ascii="Times New Roman" w:hAnsi="Times New Roman"/>
              </w:rPr>
            </w:pPr>
            <w:r>
              <w:rPr>
                <w:color w:val="000000"/>
                <w:spacing w:val="0"/>
                <w:sz w:val="20"/>
              </w:rPr>
              <w:t>553,638</w:t>
            </w:r>
          </w:p>
        </w:tc>
        <w:tc>
          <w:tcPr>
            <w:tcW w:type="dxa" w:w="1374"/>
            <w:tcBorders>
              <w:top w:color="000000" w:sz="4" w:val="single"/>
              <w:left w:color="000000" w:sz="4" w:val="single"/>
              <w:right w:color="000000" w:sz="4" w:val="single"/>
            </w:tcBorders>
            <w:shd w:fill="auto" w:val="clear"/>
            <w:tcMar>
              <w:top w:type="dxa" w:w="0"/>
              <w:left w:type="dxa" w:w="108"/>
              <w:bottom w:type="dxa" w:w="0"/>
              <w:right w:type="dxa" w:w="108"/>
            </w:tcMar>
            <w:vAlign w:val="center"/>
          </w:tcPr>
          <w:p w14:paraId="6F050000">
            <w:pPr>
              <w:pStyle w:val="Style_2"/>
              <w:widowControl w:val="1"/>
              <w:spacing w:after="0" w:before="0" w:line="240" w:lineRule="auto"/>
              <w:ind w:firstLine="0" w:left="0" w:right="0"/>
              <w:jc w:val="center"/>
              <w:rPr>
                <w:rFonts w:ascii="Times New Roman" w:hAnsi="Times New Roman"/>
                <w:color w:val="000000"/>
                <w:sz w:val="20"/>
              </w:rPr>
            </w:pPr>
          </w:p>
          <w:p w14:paraId="70050000">
            <w:pPr>
              <w:pStyle w:val="Style_2"/>
              <w:widowControl w:val="1"/>
              <w:spacing w:after="0" w:before="0" w:line="240" w:lineRule="auto"/>
              <w:ind w:firstLine="0" w:left="0" w:right="0"/>
              <w:jc w:val="center"/>
              <w:rPr>
                <w:rFonts w:ascii="Times New Roman" w:hAnsi="Times New Roman"/>
                <w:color w:val="000000"/>
                <w:sz w:val="20"/>
              </w:rPr>
            </w:pPr>
          </w:p>
          <w:p w14:paraId="71050000">
            <w:pPr>
              <w:pStyle w:val="Style_2"/>
              <w:widowControl w:val="1"/>
              <w:spacing w:after="0" w:before="0" w:line="240" w:lineRule="auto"/>
              <w:ind w:firstLine="0" w:left="0" w:right="0"/>
              <w:jc w:val="center"/>
              <w:rPr>
                <w:rFonts w:ascii="Times New Roman" w:hAnsi="Times New Roman"/>
              </w:rPr>
            </w:pPr>
            <w:r>
              <w:rPr>
                <w:color w:val="000000"/>
                <w:spacing w:val="0"/>
                <w:sz w:val="20"/>
              </w:rPr>
              <w:t>293 416,020</w:t>
            </w:r>
          </w:p>
        </w:tc>
      </w:tr>
      <w:tr>
        <w:trPr>
          <w:trHeight w:hRule="atLeast" w:val="600"/>
        </w:trPr>
        <w:tc>
          <w:tcPr>
            <w:tcW w:type="dxa" w:w="2780"/>
            <w:gridSpan w:val="1"/>
            <w:vMerge w:val="continue"/>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vAlign w:val="center"/>
          </w:tcPr>
          <w:p/>
        </w:tc>
        <w:tc>
          <w:tcPr>
            <w:tcW w:type="dxa" w:w="1397"/>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vAlign w:val="center"/>
          </w:tcPr>
          <w:p w14:paraId="72050000">
            <w:pPr>
              <w:pStyle w:val="Style_2"/>
              <w:widowControl w:val="1"/>
              <w:spacing w:after="0" w:before="0" w:line="240" w:lineRule="auto"/>
              <w:ind w:firstLine="0" w:left="0" w:right="0"/>
              <w:jc w:val="center"/>
              <w:rPr>
                <w:rFonts w:ascii="Times New Roman" w:hAnsi="Times New Roman"/>
              </w:rPr>
            </w:pPr>
            <w:r>
              <w:rPr>
                <w:color w:val="000000"/>
                <w:spacing w:val="0"/>
                <w:sz w:val="20"/>
              </w:rPr>
              <w:t>5 615 548,855</w:t>
            </w:r>
          </w:p>
        </w:tc>
        <w:tc>
          <w:tcPr>
            <w:tcW w:type="dxa" w:w="981"/>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vAlign w:val="center"/>
          </w:tcPr>
          <w:p w14:paraId="73050000">
            <w:pPr>
              <w:pStyle w:val="Style_2"/>
              <w:widowControl w:val="1"/>
              <w:spacing w:after="0" w:before="0" w:line="240" w:lineRule="auto"/>
              <w:ind w:firstLine="0" w:left="0" w:right="0"/>
              <w:jc w:val="center"/>
              <w:rPr>
                <w:rFonts w:ascii="Times New Roman" w:hAnsi="Times New Roman"/>
              </w:rPr>
            </w:pPr>
            <w:r>
              <w:rPr>
                <w:color w:val="000000"/>
                <w:spacing w:val="0"/>
                <w:sz w:val="20"/>
              </w:rPr>
              <w:t>0</w:t>
            </w:r>
          </w:p>
        </w:tc>
        <w:tc>
          <w:tcPr>
            <w:tcW w:type="dxa" w:w="1070"/>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vAlign w:val="center"/>
          </w:tcPr>
          <w:p w14:paraId="74050000">
            <w:pPr>
              <w:pStyle w:val="Style_2"/>
              <w:widowControl w:val="1"/>
              <w:spacing w:after="0" w:before="0" w:line="240" w:lineRule="auto"/>
              <w:ind w:firstLine="0" w:left="0" w:right="0"/>
              <w:jc w:val="center"/>
              <w:rPr>
                <w:rFonts w:ascii="Times New Roman" w:hAnsi="Times New Roman"/>
              </w:rPr>
            </w:pPr>
            <w:r>
              <w:rPr>
                <w:color w:val="000000"/>
                <w:spacing w:val="0"/>
                <w:sz w:val="20"/>
              </w:rPr>
              <w:t>0</w:t>
            </w:r>
          </w:p>
        </w:tc>
        <w:tc>
          <w:tcPr>
            <w:tcW w:type="dxa" w:w="1175"/>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vAlign w:val="center"/>
          </w:tcPr>
          <w:p w14:paraId="75050000">
            <w:pPr>
              <w:pStyle w:val="Style_2"/>
              <w:widowControl w:val="1"/>
              <w:spacing w:after="0" w:before="0" w:line="240" w:lineRule="auto"/>
              <w:ind w:firstLine="0" w:left="0" w:right="0"/>
              <w:jc w:val="center"/>
              <w:rPr>
                <w:rFonts w:ascii="Times New Roman" w:hAnsi="Times New Roman"/>
              </w:rPr>
            </w:pPr>
            <w:r>
              <w:rPr>
                <w:color w:val="000000"/>
                <w:spacing w:val="0"/>
                <w:sz w:val="20"/>
              </w:rPr>
              <w:t>0</w:t>
            </w:r>
          </w:p>
        </w:tc>
        <w:tc>
          <w:tcPr>
            <w:tcW w:type="dxa" w:w="1359"/>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vAlign w:val="center"/>
          </w:tcPr>
          <w:p w14:paraId="76050000">
            <w:pPr>
              <w:pStyle w:val="Style_2"/>
              <w:widowControl w:val="1"/>
              <w:spacing w:after="0" w:before="0" w:line="240" w:lineRule="auto"/>
              <w:ind w:firstLine="0" w:left="0" w:right="0"/>
              <w:jc w:val="center"/>
              <w:rPr>
                <w:rFonts w:ascii="Times New Roman" w:hAnsi="Times New Roman"/>
              </w:rPr>
            </w:pPr>
            <w:r>
              <w:rPr>
                <w:color w:val="000000"/>
                <w:spacing w:val="0"/>
                <w:sz w:val="20"/>
              </w:rPr>
              <w:t>234,193</w:t>
            </w:r>
          </w:p>
        </w:tc>
        <w:tc>
          <w:tcPr>
            <w:tcW w:type="dxa" w:w="1374"/>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vAlign w:val="center"/>
          </w:tcPr>
          <w:p w14:paraId="77050000">
            <w:pPr>
              <w:pStyle w:val="Style_2"/>
              <w:widowControl w:val="1"/>
              <w:spacing w:after="0" w:before="0" w:line="240" w:lineRule="auto"/>
              <w:ind w:firstLine="0" w:left="0" w:right="0"/>
              <w:jc w:val="center"/>
              <w:rPr>
                <w:rFonts w:ascii="Times New Roman" w:hAnsi="Times New Roman"/>
              </w:rPr>
            </w:pPr>
            <w:r>
              <w:rPr>
                <w:color w:val="000000"/>
                <w:spacing w:val="0"/>
                <w:sz w:val="20"/>
              </w:rPr>
              <w:t>5 615 314,662</w:t>
            </w:r>
          </w:p>
        </w:tc>
      </w:tr>
      <w:tr>
        <w:trPr>
          <w:trHeight w:hRule="atLeast" w:val="300"/>
        </w:trPr>
        <w:tc>
          <w:tcPr>
            <w:tcW w:type="dxa" w:w="2780"/>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vAlign w:val="center"/>
          </w:tcPr>
          <w:p w14:paraId="78050000">
            <w:pPr>
              <w:pStyle w:val="Style_2"/>
              <w:widowControl w:val="1"/>
              <w:spacing w:after="0" w:before="0" w:line="240" w:lineRule="auto"/>
              <w:ind w:firstLine="0" w:left="0" w:right="0"/>
              <w:jc w:val="left"/>
              <w:rPr>
                <w:rFonts w:ascii="Times New Roman" w:hAnsi="Times New Roman"/>
              </w:rPr>
            </w:pPr>
            <w:r>
              <w:rPr>
                <w:color w:val="000000"/>
                <w:spacing w:val="0"/>
                <w:sz w:val="20"/>
              </w:rPr>
              <w:t>Наличие в организации на конец отчетного года</w:t>
            </w:r>
          </w:p>
        </w:tc>
        <w:tc>
          <w:tcPr>
            <w:tcW w:type="dxa" w:w="1397"/>
            <w:tcBorders>
              <w:top w:color="000000" w:sz="4" w:val="single"/>
              <w:bottom w:color="000000" w:sz="4" w:val="single"/>
              <w:right w:color="000000" w:sz="4" w:val="single"/>
            </w:tcBorders>
            <w:shd w:fill="auto" w:val="clear"/>
            <w:tcMar>
              <w:top w:type="dxa" w:w="0"/>
              <w:left w:type="dxa" w:w="108"/>
              <w:bottom w:type="dxa" w:w="0"/>
              <w:right w:type="dxa" w:w="108"/>
            </w:tcMar>
            <w:vAlign w:val="center"/>
          </w:tcPr>
          <w:p w14:paraId="79050000">
            <w:pPr>
              <w:pStyle w:val="Style_2"/>
              <w:widowControl w:val="1"/>
              <w:spacing w:after="0" w:before="0" w:line="240" w:lineRule="auto"/>
              <w:ind w:firstLine="0" w:left="0" w:right="0"/>
              <w:jc w:val="center"/>
              <w:rPr>
                <w:rFonts w:ascii="Times New Roman" w:hAnsi="Times New Roman"/>
              </w:rPr>
            </w:pPr>
            <w:r>
              <w:rPr>
                <w:color w:val="000000"/>
                <w:spacing w:val="0"/>
                <w:sz w:val="20"/>
              </w:rPr>
              <w:t>946 975,664</w:t>
            </w:r>
          </w:p>
        </w:tc>
        <w:tc>
          <w:tcPr>
            <w:tcW w:type="dxa" w:w="981"/>
            <w:tcBorders>
              <w:top w:color="000000" w:sz="4" w:val="single"/>
              <w:bottom w:color="000000" w:sz="4" w:val="single"/>
              <w:right w:color="000000" w:sz="4" w:val="single"/>
            </w:tcBorders>
            <w:shd w:fill="auto" w:val="clear"/>
            <w:tcMar>
              <w:top w:type="dxa" w:w="0"/>
              <w:left w:type="dxa" w:w="108"/>
              <w:bottom w:type="dxa" w:w="0"/>
              <w:right w:type="dxa" w:w="108"/>
            </w:tcMar>
            <w:vAlign w:val="center"/>
          </w:tcPr>
          <w:p w14:paraId="7A050000">
            <w:pPr>
              <w:pStyle w:val="Style_2"/>
              <w:widowControl w:val="1"/>
              <w:spacing w:after="0" w:before="0" w:line="240" w:lineRule="auto"/>
              <w:ind w:firstLine="0" w:left="0" w:right="0"/>
              <w:jc w:val="center"/>
              <w:rPr>
                <w:rFonts w:ascii="Times New Roman" w:hAnsi="Times New Roman"/>
              </w:rPr>
            </w:pPr>
            <w:r>
              <w:rPr>
                <w:color w:val="000000"/>
                <w:spacing w:val="0"/>
                <w:sz w:val="20"/>
              </w:rPr>
              <w:t>0,880</w:t>
            </w:r>
          </w:p>
        </w:tc>
        <w:tc>
          <w:tcPr>
            <w:tcW w:type="dxa" w:w="1070"/>
            <w:tcBorders>
              <w:top w:color="000000" w:sz="4" w:val="single"/>
              <w:bottom w:color="000000" w:sz="4" w:val="single"/>
              <w:right w:color="000000" w:sz="4" w:val="single"/>
            </w:tcBorders>
            <w:shd w:fill="auto" w:val="clear"/>
            <w:tcMar>
              <w:top w:type="dxa" w:w="0"/>
              <w:left w:type="dxa" w:w="108"/>
              <w:bottom w:type="dxa" w:w="0"/>
              <w:right w:type="dxa" w:w="108"/>
            </w:tcMar>
            <w:vAlign w:val="center"/>
          </w:tcPr>
          <w:p w14:paraId="7B050000">
            <w:pPr>
              <w:pStyle w:val="Style_2"/>
              <w:widowControl w:val="1"/>
              <w:spacing w:after="0" w:before="0" w:line="240" w:lineRule="auto"/>
              <w:ind w:firstLine="0" w:left="0" w:right="0"/>
              <w:jc w:val="center"/>
              <w:rPr>
                <w:rFonts w:ascii="Times New Roman" w:hAnsi="Times New Roman"/>
              </w:rPr>
            </w:pPr>
            <w:r>
              <w:rPr>
                <w:color w:val="000000"/>
                <w:spacing w:val="0"/>
                <w:sz w:val="20"/>
              </w:rPr>
              <w:t>24,134</w:t>
            </w:r>
          </w:p>
        </w:tc>
        <w:tc>
          <w:tcPr>
            <w:tcW w:type="dxa" w:w="1175"/>
            <w:tcBorders>
              <w:top w:color="000000" w:sz="4" w:val="single"/>
              <w:bottom w:color="000000" w:sz="4" w:val="single"/>
              <w:right w:color="000000" w:sz="4" w:val="single"/>
            </w:tcBorders>
            <w:shd w:fill="auto" w:val="clear"/>
            <w:tcMar>
              <w:top w:type="dxa" w:w="0"/>
              <w:left w:type="dxa" w:w="108"/>
              <w:bottom w:type="dxa" w:w="0"/>
              <w:right w:type="dxa" w:w="108"/>
            </w:tcMar>
            <w:vAlign w:val="center"/>
          </w:tcPr>
          <w:p w14:paraId="7C050000">
            <w:pPr>
              <w:pStyle w:val="Style_2"/>
              <w:widowControl w:val="1"/>
              <w:spacing w:after="0" w:before="0" w:line="240" w:lineRule="auto"/>
              <w:ind w:firstLine="0" w:left="0" w:right="0"/>
              <w:jc w:val="center"/>
              <w:rPr>
                <w:rFonts w:ascii="Times New Roman" w:hAnsi="Times New Roman"/>
              </w:rPr>
            </w:pPr>
            <w:r>
              <w:rPr>
                <w:color w:val="000000"/>
                <w:spacing w:val="0"/>
                <w:sz w:val="20"/>
              </w:rPr>
              <w:t>31 733,279</w:t>
            </w:r>
          </w:p>
        </w:tc>
        <w:tc>
          <w:tcPr>
            <w:tcW w:type="dxa" w:w="1359"/>
            <w:tcBorders>
              <w:top w:color="000000" w:sz="4" w:val="single"/>
              <w:bottom w:color="000000" w:sz="4" w:val="single"/>
              <w:right w:color="000000" w:sz="4" w:val="single"/>
            </w:tcBorders>
            <w:shd w:fill="auto" w:val="clear"/>
            <w:tcMar>
              <w:top w:type="dxa" w:w="0"/>
              <w:left w:type="dxa" w:w="108"/>
              <w:bottom w:type="dxa" w:w="0"/>
              <w:right w:type="dxa" w:w="108"/>
            </w:tcMar>
            <w:vAlign w:val="center"/>
          </w:tcPr>
          <w:p w14:paraId="7D050000">
            <w:pPr>
              <w:pStyle w:val="Style_2"/>
              <w:widowControl w:val="1"/>
              <w:spacing w:after="0" w:before="0" w:line="240" w:lineRule="auto"/>
              <w:ind w:firstLine="0" w:left="0" w:right="0"/>
              <w:jc w:val="center"/>
              <w:rPr>
                <w:rFonts w:ascii="Times New Roman" w:hAnsi="Times New Roman"/>
              </w:rPr>
            </w:pPr>
            <w:r>
              <w:rPr>
                <w:color w:val="000000"/>
                <w:spacing w:val="0"/>
                <w:sz w:val="20"/>
              </w:rPr>
              <w:t>21 264,438</w:t>
            </w:r>
          </w:p>
        </w:tc>
        <w:tc>
          <w:tcPr>
            <w:tcW w:type="dxa" w:w="1374"/>
            <w:tcBorders>
              <w:top w:color="000000" w:sz="4" w:val="single"/>
              <w:bottom w:color="000000" w:sz="4" w:val="single"/>
              <w:right w:color="000000" w:sz="4" w:val="single"/>
            </w:tcBorders>
            <w:shd w:fill="auto" w:val="clear"/>
            <w:tcMar>
              <w:top w:type="dxa" w:w="0"/>
              <w:left w:type="dxa" w:w="108"/>
              <w:bottom w:type="dxa" w:w="0"/>
              <w:right w:type="dxa" w:w="108"/>
            </w:tcMar>
            <w:vAlign w:val="center"/>
          </w:tcPr>
          <w:p w14:paraId="7E050000">
            <w:pPr>
              <w:pStyle w:val="Style_2"/>
              <w:widowControl w:val="1"/>
              <w:spacing w:after="0" w:before="0" w:line="240" w:lineRule="auto"/>
              <w:ind w:firstLine="0" w:left="0" w:right="0"/>
              <w:jc w:val="center"/>
              <w:rPr>
                <w:rFonts w:ascii="Times New Roman" w:hAnsi="Times New Roman"/>
              </w:rPr>
            </w:pPr>
            <w:r>
              <w:rPr>
                <w:color w:val="000000"/>
                <w:spacing w:val="0"/>
                <w:sz w:val="20"/>
              </w:rPr>
              <w:t>893 952,933</w:t>
            </w:r>
          </w:p>
        </w:tc>
      </w:tr>
      <w:tr>
        <w:trPr>
          <w:trHeight w:hRule="atLeast" w:val="300"/>
        </w:trPr>
        <w:tc>
          <w:tcPr>
            <w:tcW w:type="dxa" w:w="2780"/>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vAlign w:val="center"/>
          </w:tcPr>
          <w:p w14:paraId="7F050000">
            <w:pPr>
              <w:pStyle w:val="Style_2"/>
              <w:widowControl w:val="1"/>
              <w:spacing w:after="0" w:before="0" w:line="240" w:lineRule="auto"/>
              <w:ind w:firstLine="0" w:left="0" w:right="0"/>
              <w:jc w:val="left"/>
              <w:rPr>
                <w:rFonts w:ascii="Times New Roman" w:hAnsi="Times New Roman"/>
              </w:rPr>
            </w:pPr>
            <w:r>
              <w:rPr>
                <w:color w:val="000000"/>
                <w:spacing w:val="0"/>
                <w:sz w:val="20"/>
              </w:rPr>
              <w:t>Количество отчитавшихся организаций</w:t>
            </w:r>
          </w:p>
        </w:tc>
        <w:tc>
          <w:tcPr>
            <w:tcW w:type="dxa" w:w="7356"/>
            <w:gridSpan w:val="6"/>
            <w:tcBorders>
              <w:top w:color="000000" w:sz="4" w:val="single"/>
              <w:bottom w:color="000000" w:sz="4" w:val="single"/>
              <w:right w:color="000000" w:sz="4" w:val="single"/>
            </w:tcBorders>
            <w:shd w:fill="auto" w:val="clear"/>
            <w:tcMar>
              <w:top w:type="dxa" w:w="0"/>
              <w:left w:type="dxa" w:w="108"/>
              <w:bottom w:type="dxa" w:w="0"/>
              <w:right w:type="dxa" w:w="108"/>
            </w:tcMar>
            <w:vAlign w:val="center"/>
          </w:tcPr>
          <w:p w14:paraId="80050000">
            <w:pPr>
              <w:pStyle w:val="Style_2"/>
              <w:widowControl w:val="1"/>
              <w:spacing w:after="0" w:before="0" w:line="240" w:lineRule="auto"/>
              <w:ind w:firstLine="0" w:left="0" w:right="0"/>
              <w:jc w:val="center"/>
              <w:rPr>
                <w:rFonts w:ascii="Times New Roman" w:hAnsi="Times New Roman"/>
              </w:rPr>
            </w:pPr>
            <w:r>
              <w:rPr>
                <w:color w:val="000000"/>
                <w:spacing w:val="0"/>
                <w:sz w:val="20"/>
              </w:rPr>
              <w:t>470</w:t>
            </w:r>
          </w:p>
        </w:tc>
      </w:tr>
      <w:tr>
        <w:trPr>
          <w:trHeight w:hRule="atLeast" w:val="300"/>
        </w:trPr>
        <w:tc>
          <w:tcPr>
            <w:tcW w:type="dxa" w:w="2780"/>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vAlign w:val="center"/>
          </w:tcPr>
          <w:p w14:paraId="81050000">
            <w:pPr>
              <w:pStyle w:val="Style_2"/>
              <w:widowControl w:val="1"/>
              <w:spacing w:after="0" w:before="0" w:line="240" w:lineRule="auto"/>
              <w:ind w:firstLine="0" w:left="0" w:right="0"/>
              <w:jc w:val="left"/>
              <w:rPr>
                <w:rFonts w:ascii="Times New Roman" w:hAnsi="Times New Roman"/>
              </w:rPr>
            </w:pPr>
            <w:r>
              <w:rPr>
                <w:color w:val="000000"/>
                <w:spacing w:val="0"/>
                <w:sz w:val="20"/>
              </w:rPr>
              <w:t>Количество статистических отчетов</w:t>
            </w:r>
          </w:p>
        </w:tc>
        <w:tc>
          <w:tcPr>
            <w:tcW w:type="dxa" w:w="7356"/>
            <w:gridSpan w:val="6"/>
            <w:tcBorders>
              <w:top w:color="000000" w:sz="4" w:val="single"/>
              <w:bottom w:color="000000" w:sz="4" w:val="single"/>
              <w:right w:color="000000" w:sz="4" w:val="single"/>
            </w:tcBorders>
            <w:shd w:fill="auto" w:val="clear"/>
            <w:tcMar>
              <w:top w:type="dxa" w:w="0"/>
              <w:left w:type="dxa" w:w="108"/>
              <w:bottom w:type="dxa" w:w="0"/>
              <w:right w:type="dxa" w:w="108"/>
            </w:tcMar>
            <w:vAlign w:val="center"/>
          </w:tcPr>
          <w:p w14:paraId="82050000">
            <w:pPr>
              <w:pStyle w:val="Style_2"/>
              <w:widowControl w:val="1"/>
              <w:spacing w:after="0" w:before="0" w:line="240" w:lineRule="auto"/>
              <w:ind w:firstLine="0" w:left="0" w:right="0"/>
              <w:jc w:val="center"/>
              <w:rPr>
                <w:rFonts w:ascii="Times New Roman" w:hAnsi="Times New Roman"/>
              </w:rPr>
            </w:pPr>
            <w:r>
              <w:rPr>
                <w:color w:val="000000"/>
                <w:spacing w:val="0"/>
                <w:sz w:val="20"/>
              </w:rPr>
              <w:t>761</w:t>
            </w:r>
          </w:p>
        </w:tc>
      </w:tr>
    </w:tbl>
    <w:p w14:paraId="83050000">
      <w:pPr>
        <w:pStyle w:val="Style_2"/>
        <w:spacing w:line="240" w:lineRule="auto"/>
        <w:ind/>
        <w:jc w:val="both"/>
        <w:rPr>
          <w:rFonts w:ascii="Times New Roman" w:hAnsi="Times New Roman"/>
        </w:rPr>
      </w:pPr>
    </w:p>
    <w:p w14:paraId="84050000">
      <w:pPr>
        <w:pStyle w:val="Style_2"/>
        <w:spacing w:after="0" w:before="0" w:line="240" w:lineRule="auto"/>
        <w:ind w:firstLine="709" w:left="0" w:right="0"/>
        <w:jc w:val="both"/>
        <w:rPr>
          <w:rFonts w:ascii="Times New Roman" w:hAnsi="Times New Roman"/>
        </w:rPr>
      </w:pPr>
      <w:r>
        <w:t>В 2023 году произошло уменьшение образования отходов производства и потребления по сравнению с 2022 годом на 889,449 тыс. т (за счет отхода «вскрышные породы в смеси практически неопасные» (код ФККО 2 00 190 99 39 5).</w:t>
      </w:r>
    </w:p>
    <w:p w14:paraId="85050000">
      <w:pPr>
        <w:pStyle w:val="Style_2"/>
        <w:spacing w:line="240" w:lineRule="auto"/>
        <w:ind w:firstLine="709" w:left="0" w:right="0"/>
        <w:jc w:val="both"/>
        <w:rPr>
          <w:rFonts w:ascii="Times New Roman" w:hAnsi="Times New Roman"/>
        </w:rPr>
      </w:pPr>
      <w:r>
        <w:t>Общий объем образовавшихся ТКО составил 110,3 тыс. тонн, в том числе поступления ТКО к региональному оператору от других хозяйствующих субъектов и населения составило 108,1 тыс. тонн или 94,8% к уровню 2022 года (в 2022 году 114,1 тыс. тонн). Из общего количества образовавшихся отходов ТКО отходов IV класса опасности – 63,3 тыс. тонн и отходов V класса опасности – 47,0 тыс. тонн (в 2022 году 64,3 тыс. тонн и 50,5 тыс. тонн соответственно).</w:t>
      </w:r>
    </w:p>
    <w:p w14:paraId="86050000">
      <w:pPr>
        <w:pStyle w:val="Style_2"/>
        <w:spacing w:line="240" w:lineRule="auto"/>
        <w:ind w:firstLine="709" w:left="0" w:right="0"/>
        <w:jc w:val="both"/>
        <w:rPr>
          <w:rFonts w:ascii="Times New Roman" w:hAnsi="Times New Roman"/>
        </w:rPr>
      </w:pPr>
      <w:r>
        <w:t>Общее количество ТКО, образовавшихся в жилых помещениях в Камчатском крае, составило 69,5 тыс. тонн (из них 57,7 тыс. тонн IV класса опасности и 11,8 тыс. тонн V класса опасности), что на 0,6% выше уровня 2022 года.</w:t>
      </w:r>
    </w:p>
    <w:p w14:paraId="87050000">
      <w:pPr>
        <w:pStyle w:val="Style_2"/>
        <w:spacing w:line="240" w:lineRule="auto"/>
        <w:ind w:firstLine="709" w:left="0" w:right="0"/>
        <w:jc w:val="both"/>
        <w:rPr>
          <w:rFonts w:ascii="Times New Roman" w:hAnsi="Times New Roman"/>
        </w:rPr>
      </w:pPr>
      <w:r>
        <w:t>Утилизировано в 2023 году 2,8 тыс. тонн ТКО, что на 25,54 тыс. т или 89,9% меньше чем в 2022 году. Утилизация для повторного применения (рециклинг) в 2023 году не проводилась (в 2022 году – 3,1 тыс. тонн).</w:t>
      </w:r>
    </w:p>
    <w:p w14:paraId="88050000">
      <w:pPr>
        <w:pStyle w:val="Style_2"/>
        <w:spacing w:line="240" w:lineRule="auto"/>
        <w:ind w:firstLine="709" w:left="0" w:right="0"/>
        <w:jc w:val="both"/>
        <w:rPr>
          <w:rFonts w:ascii="Times New Roman" w:hAnsi="Times New Roman"/>
        </w:rPr>
      </w:pPr>
      <w:r>
        <w:t xml:space="preserve">По состоянию на 31.12.2023 на территории Камчатского края действовал 71 объект размещения отходов, из них включено в Территориальную схему обращения с отходами – 64 объекта (20 объектов (производственные отходы), 44 объекта – твердые коммунальные отходы), 7 поселковых свалок являются несанкционированными и подлежат закрытию. </w:t>
      </w:r>
    </w:p>
    <w:p w14:paraId="89050000">
      <w:pPr>
        <w:pStyle w:val="Style_2"/>
        <w:spacing w:line="240" w:lineRule="auto"/>
        <w:ind w:firstLine="709" w:left="0" w:right="0"/>
        <w:jc w:val="both"/>
        <w:rPr>
          <w:rFonts w:ascii="Times New Roman" w:hAnsi="Times New Roman"/>
        </w:rPr>
      </w:pPr>
      <w:r>
        <w:t>40 объектов зарегистрированы в Государственном реестре объектов размещения отходов (ГРОРО), из них в ГРОРО включен 21 полигон ТКО.</w:t>
      </w:r>
    </w:p>
    <w:p w14:paraId="8A050000">
      <w:pPr>
        <w:pStyle w:val="Style_2"/>
        <w:spacing w:line="240" w:lineRule="auto"/>
        <w:ind w:firstLine="709" w:left="0" w:right="0"/>
        <w:jc w:val="both"/>
        <w:rPr>
          <w:rFonts w:ascii="Times New Roman" w:hAnsi="Times New Roman"/>
        </w:rPr>
      </w:pPr>
      <w:r>
        <w:t>14 объектов ТКО, включенных в ГРОРО, осуществляют захоронение (ТКО) и подобных им отходов, образующиеся от жизнедеятельности населения. Остальные полигоны ТКО являются ведомственными.</w:t>
      </w:r>
    </w:p>
    <w:p w14:paraId="8B050000">
      <w:pPr>
        <w:pStyle w:val="Style_2"/>
        <w:spacing w:line="240" w:lineRule="auto"/>
        <w:ind w:firstLine="709" w:left="0" w:right="0"/>
        <w:jc w:val="both"/>
        <w:rPr>
          <w:rFonts w:ascii="Times New Roman" w:hAnsi="Times New Roman"/>
        </w:rPr>
      </w:pPr>
      <w:r>
        <w:t>Текущие (эксплуатационные) затраты на выполнение природоохранных мероприятий в сфере обращения с отходами в 2023 году значительно увеличились и составили 1 138,4 млн руб. (в 2022 году – 949,5 млн руб., в 2021 году – 440,1 млн руб.; в 2020 году – 327,8 млн руб.).</w:t>
      </w:r>
    </w:p>
    <w:p w14:paraId="8C050000">
      <w:pPr>
        <w:pStyle w:val="Style_2"/>
        <w:spacing w:line="240" w:lineRule="auto"/>
        <w:ind w:firstLine="709" w:left="0" w:right="0"/>
        <w:jc w:val="both"/>
        <w:rPr>
          <w:rFonts w:ascii="Times New Roman" w:hAnsi="Times New Roman"/>
          <w:color w:val="632523"/>
        </w:rPr>
      </w:pPr>
    </w:p>
    <w:p w14:paraId="8D050000">
      <w:pPr>
        <w:pStyle w:val="Style_2"/>
        <w:spacing w:line="240" w:lineRule="auto"/>
        <w:ind/>
        <w:rPr>
          <w:rFonts w:ascii="Times New Roman" w:hAnsi="Times New Roman"/>
        </w:rPr>
      </w:pPr>
      <w:r>
        <w:rPr>
          <w:b w:val="1"/>
          <w:color w:val="000000"/>
        </w:rPr>
        <w:t>20. Рыболовство</w:t>
      </w:r>
    </w:p>
    <w:p w14:paraId="8E050000">
      <w:pPr>
        <w:pStyle w:val="Style_2"/>
        <w:spacing w:after="0" w:before="0" w:line="240" w:lineRule="auto"/>
        <w:ind w:firstLine="709" w:left="0" w:right="0"/>
        <w:jc w:val="both"/>
        <w:rPr>
          <w:rFonts w:ascii="Times New Roman" w:hAnsi="Times New Roman"/>
        </w:rPr>
      </w:pPr>
      <w:r>
        <w:rPr>
          <w:color w:val="000000"/>
          <w:sz w:val="24"/>
        </w:rPr>
        <w:t>Рыбохозяйственный комплекс Камчатского края занимает одно из важнейших мест в рыбном хозяйстве Дальнего Востока и России в целом (его удельный вес в уловах Дальневосточного бассейна составляет около 46%, России – около 35%). Ведущую роль рыбохозяйственный комплекс играет и в экономике региона, на его долю приходится более 60% объемов промышленного производства и более 95% экспортного потенциала края, при численности занятых в отрасли около 19 тыс. человек.</w:t>
      </w:r>
    </w:p>
    <w:p w14:paraId="8F050000">
      <w:pPr>
        <w:pStyle w:val="Style_2"/>
        <w:spacing w:after="0" w:before="0" w:line="240" w:lineRule="auto"/>
        <w:ind w:firstLine="709" w:left="0" w:right="0"/>
        <w:jc w:val="both"/>
        <w:rPr>
          <w:rFonts w:ascii="Times New Roman" w:hAnsi="Times New Roman"/>
        </w:rPr>
      </w:pPr>
      <w:r>
        <w:rPr>
          <w:color w:val="000000"/>
          <w:sz w:val="24"/>
        </w:rPr>
        <w:t>Другими словами, состояние рыбной отрасли в значительной степени определяет социально-экономическое положение Камчатского края и, прежде всего, прибрежных населенных пунктов.</w:t>
      </w:r>
    </w:p>
    <w:p w14:paraId="90050000">
      <w:pPr>
        <w:pStyle w:val="Style_2"/>
        <w:spacing w:after="0" w:before="0" w:line="240" w:lineRule="auto"/>
        <w:ind w:firstLine="709" w:left="0" w:right="0"/>
        <w:jc w:val="both"/>
        <w:rPr>
          <w:rFonts w:ascii="Times New Roman" w:hAnsi="Times New Roman"/>
        </w:rPr>
      </w:pPr>
      <w:r>
        <w:rPr>
          <w:color w:val="000000"/>
          <w:sz w:val="24"/>
        </w:rPr>
        <w:t>Рыбная отрасль является основным звеном в хозяйственной структуре Камчатского края, имеет сложный состав и многоотраслевую структуру. Кроме рыбодобычи, рыбопереработки, изучения, охраны и воспроизводства рыбных ресурсов она включает в себя целый ряд вспомогательных и обслуживающих отраслей, а также институты производственной и социальной инфраструктуры. Наиболее важными из них являются судоремонт, строительство, транспорт, тарное и сетеснастное производство.</w:t>
      </w:r>
    </w:p>
    <w:p w14:paraId="91050000">
      <w:pPr>
        <w:pStyle w:val="Style_2"/>
        <w:spacing w:after="0" w:before="0" w:line="240" w:lineRule="auto"/>
        <w:ind w:firstLine="709" w:left="0" w:right="0"/>
        <w:jc w:val="both"/>
        <w:rPr>
          <w:rFonts w:ascii="Times New Roman" w:hAnsi="Times New Roman"/>
        </w:rPr>
      </w:pPr>
      <w:r>
        <w:rPr>
          <w:color w:val="000000"/>
          <w:sz w:val="24"/>
        </w:rPr>
        <w:t>Морская акватория, прилегающая к территории Камчатского края, является крупнейшим промысловым районом в Дальневосточном регионе. Морские границы Камчатского края охватывают пять рыбопромысловых районов: зона Западно-Беринговоморская; подзоны Карагинская и Петропавловско-Командорская Восточно-Камчатской зоны, подзоны Западно-Камчатская и Камчатско-Курильская зоны Охотского моря.</w:t>
      </w:r>
    </w:p>
    <w:p w14:paraId="92050000">
      <w:pPr>
        <w:pStyle w:val="Style_2"/>
        <w:spacing w:after="0" w:before="0" w:line="240" w:lineRule="auto"/>
        <w:ind w:firstLine="709" w:left="0" w:right="0"/>
        <w:jc w:val="both"/>
        <w:rPr>
          <w:rFonts w:ascii="Times New Roman" w:hAnsi="Times New Roman"/>
        </w:rPr>
      </w:pPr>
      <w:r>
        <w:rPr>
          <w:color w:val="000000"/>
          <w:sz w:val="24"/>
        </w:rPr>
        <w:t>В промысловых районах, прилегающих к Камчатскому краю добываются 5</w:t>
      </w:r>
      <w:r>
        <w:rPr>
          <w:color w:val="000000"/>
          <w:spacing w:val="0"/>
          <w:sz w:val="24"/>
        </w:rPr>
        <w:t> </w:t>
      </w:r>
      <w:r>
        <w:rPr>
          <w:color w:val="000000"/>
          <w:sz w:val="24"/>
        </w:rPr>
        <w:t>видов тихоокеанских лососей и более сорока видов морских объектов. Практически все реки на территории Камчатского края имеют рыбохозяйственное значение, обеспечивая нерестовый фонд тихоокеанских лососей и других видов рыб.</w:t>
      </w:r>
    </w:p>
    <w:p w14:paraId="93050000">
      <w:pPr>
        <w:pStyle w:val="Style_2"/>
        <w:spacing w:after="0" w:before="0" w:line="240" w:lineRule="auto"/>
        <w:ind w:firstLine="709" w:left="0" w:right="0"/>
        <w:jc w:val="both"/>
        <w:rPr>
          <w:rFonts w:ascii="Times New Roman" w:hAnsi="Times New Roman"/>
        </w:rPr>
      </w:pPr>
      <w:r>
        <w:rPr>
          <w:color w:val="000000"/>
          <w:sz w:val="24"/>
        </w:rPr>
        <w:t>В настоящее время состояние запасов водных биологических ресурсов позволяет изымать в водах камчатских рек и прилегающих морей ежегодно без ущерба для естественного воспроизводства более 1,5 млн тонн водных биологических ресурсов.</w:t>
      </w:r>
    </w:p>
    <w:p w14:paraId="94050000">
      <w:pPr>
        <w:pStyle w:val="Style_2"/>
        <w:spacing w:after="0" w:before="0" w:line="240" w:lineRule="auto"/>
        <w:ind w:firstLine="709" w:left="0" w:right="0"/>
        <w:jc w:val="both"/>
        <w:rPr>
          <w:rFonts w:ascii="Times New Roman" w:hAnsi="Times New Roman"/>
        </w:rPr>
      </w:pPr>
      <w:r>
        <w:rPr>
          <w:color w:val="000000"/>
          <w:sz w:val="24"/>
        </w:rPr>
        <w:t>Рыбохозяйственная отрасль является градо- и поселкообразующей отраслью Камчатки, одним из основных источников занятости населения, источником пополнения краевого бюджета, а также играет важную роль в обеспечении населения края и других регионов страны экологически чистой и высококачественной продукцией из водных биологических ресурсов.</w:t>
      </w:r>
    </w:p>
    <w:p w14:paraId="95050000">
      <w:pPr>
        <w:pStyle w:val="Style_2"/>
        <w:spacing w:after="0" w:before="0" w:line="240" w:lineRule="auto"/>
        <w:ind w:firstLine="709" w:left="0" w:right="0"/>
        <w:jc w:val="both"/>
        <w:rPr>
          <w:rFonts w:ascii="Times New Roman" w:hAnsi="Times New Roman"/>
        </w:rPr>
      </w:pPr>
      <w:r>
        <w:rPr>
          <w:color w:val="000000"/>
          <w:sz w:val="24"/>
        </w:rPr>
        <w:t>В соответствии с постановлением Правительства Российской Федерации от 03.09.2004 № 452 «О перечне градо- и поселкообразующих российских рыбохозяйственных организаций, которым предоставлено право применения пониженной ставки сбора за пользование объектами водных биологических ресурсов» градо- и поселкообразующими рыбохозяйственными организациями Камчатского края являются 6 предприятий – это Рыболовецкая артель «Колхоз Красный труженик», ООО «Тымлатский рыбокомбинат», АО «Озерновский рыбоконсервный завод № 55», ООО «Колхоз Ударник», АО «Колхоз им. Бекерева», ОАО «Колхоз Октябрь».</w:t>
      </w:r>
    </w:p>
    <w:p w14:paraId="96050000">
      <w:pPr>
        <w:pStyle w:val="Style_2"/>
        <w:spacing w:after="0" w:before="0" w:line="240" w:lineRule="auto"/>
        <w:ind w:firstLine="709" w:left="0" w:right="0"/>
        <w:jc w:val="both"/>
        <w:rPr>
          <w:rFonts w:ascii="Times New Roman" w:hAnsi="Times New Roman"/>
        </w:rPr>
      </w:pPr>
      <w:r>
        <w:rPr>
          <w:color w:val="000000"/>
          <w:sz w:val="24"/>
        </w:rPr>
        <w:t>По итогам 2023 года камчатскими рыбаками добыто 1</w:t>
      </w:r>
      <w:r>
        <w:rPr>
          <w:color w:val="000000"/>
          <w:spacing w:val="0"/>
          <w:sz w:val="24"/>
        </w:rPr>
        <w:t> 839</w:t>
      </w:r>
      <w:r>
        <w:rPr>
          <w:color w:val="000000"/>
          <w:sz w:val="24"/>
        </w:rPr>
        <w:t xml:space="preserve"> тыс. тонн водных биоресурсов. Первое место в структуре вылова занимает минтай, в 2023 году объем добычи данного объекта составил 692 тыс. тонн. Также лидерами по объемам добычи являются тихоокеанские лососи (490,8 тыс. тонн, рост в 3,6 раза к 2022 году) и сельдь (146,5 тыс. тонн).</w:t>
      </w:r>
    </w:p>
    <w:p w14:paraId="97050000">
      <w:pPr>
        <w:pStyle w:val="Style_2"/>
        <w:spacing w:after="0" w:before="0" w:line="240" w:lineRule="auto"/>
        <w:ind w:firstLine="709" w:left="0" w:right="0"/>
        <w:jc w:val="both"/>
        <w:rPr>
          <w:rFonts w:ascii="Times New Roman" w:hAnsi="Times New Roman"/>
        </w:rPr>
      </w:pPr>
      <w:r>
        <w:rPr>
          <w:color w:val="000000"/>
          <w:sz w:val="24"/>
        </w:rPr>
        <w:t>По данным УФНС России по Камчатскому краю в консолидированный бюджет Российской Федерации рыбохозяйственными организациями и индивидуальными предпринимателями Камчатского края в 2023 году перечислено 17,5 млрд руб. налоговых и иных обязательных платежей (без учета поступлений в государственные внебюджетные фонды) или 208% к аналогичному периоду прошлого года, налоговая нагрузка на предприятия отрасли составила 9,5 тыс. руб. на тонну добытых водных биологических ресурсов.</w:t>
      </w:r>
    </w:p>
    <w:p w14:paraId="98050000">
      <w:pPr>
        <w:pStyle w:val="Style_2"/>
        <w:spacing w:after="0" w:before="0" w:line="240" w:lineRule="auto"/>
        <w:ind w:firstLine="709" w:left="0" w:right="0"/>
        <w:jc w:val="both"/>
        <w:rPr>
          <w:rFonts w:ascii="Times New Roman" w:hAnsi="Times New Roman"/>
        </w:rPr>
      </w:pPr>
      <w:r>
        <w:rPr>
          <w:color w:val="000000"/>
          <w:sz w:val="24"/>
        </w:rPr>
        <w:t>В настоящее время в Камчатском крае зарегистрировано более 700</w:t>
      </w:r>
      <w:r>
        <w:rPr>
          <w:color w:val="000000"/>
          <w:spacing w:val="0"/>
          <w:sz w:val="24"/>
        </w:rPr>
        <w:t> </w:t>
      </w:r>
      <w:r>
        <w:rPr>
          <w:color w:val="000000"/>
          <w:sz w:val="24"/>
        </w:rPr>
        <w:t>организаций, ведущих рыбохозяйственную деятельность с круглогодичным либо сезонным производственным циклом, более 200 из которых осуществляют вылов водных биологических ресурсов.</w:t>
      </w:r>
    </w:p>
    <w:p w14:paraId="99050000">
      <w:pPr>
        <w:pStyle w:val="Style_2"/>
        <w:spacing w:after="0" w:before="0" w:line="240" w:lineRule="auto"/>
        <w:ind w:firstLine="709" w:left="0" w:right="0"/>
        <w:jc w:val="both"/>
        <w:rPr>
          <w:rFonts w:ascii="Times New Roman" w:hAnsi="Times New Roman"/>
        </w:rPr>
      </w:pPr>
      <w:r>
        <w:rPr>
          <w:sz w:val="24"/>
        </w:rPr>
        <w:t>Основой рыбной отрасли края является добывающий флот: это более 670</w:t>
      </w:r>
      <w:r>
        <w:rPr>
          <w:color w:val="000000"/>
          <w:spacing w:val="0"/>
          <w:sz w:val="24"/>
        </w:rPr>
        <w:t> </w:t>
      </w:r>
      <w:r>
        <w:rPr>
          <w:sz w:val="24"/>
        </w:rPr>
        <w:t>крупно-, средне- и малотоннажных рыбодобывающих судов, обеспечивающих эффективность промысла разных видов гидробионтов.</w:t>
      </w:r>
    </w:p>
    <w:p w14:paraId="9A050000">
      <w:pPr>
        <w:pStyle w:val="Style_2"/>
        <w:spacing w:after="0" w:before="0" w:line="240" w:lineRule="auto"/>
        <w:ind w:firstLine="709" w:left="0" w:right="0"/>
        <w:jc w:val="both"/>
        <w:rPr>
          <w:rFonts w:ascii="Times New Roman" w:hAnsi="Times New Roman"/>
        </w:rPr>
      </w:pPr>
      <w:r>
        <w:rPr>
          <w:color w:val="000000"/>
          <w:sz w:val="24"/>
        </w:rPr>
        <w:t>Крупнейшими и экономически значимыми компаниями, ведущими хозяйственную деятельность на территории края и обладающими самыми большими добывающими и перерабатывающими мощностями, а также осуществляющими инвестирование в обновление основных производственных фондов, являются 25</w:t>
      </w:r>
      <w:r>
        <w:rPr>
          <w:color w:val="000000"/>
          <w:spacing w:val="0"/>
          <w:sz w:val="24"/>
        </w:rPr>
        <w:t> </w:t>
      </w:r>
      <w:r>
        <w:rPr>
          <w:color w:val="000000"/>
          <w:sz w:val="24"/>
        </w:rPr>
        <w:t>рыбохозяйственных организаций: АО «Океанрыбфлот», РК им. В.И. Ленина, группа компаний АО «Норебо Холдинг» (АО «Акрос», ООО «Ролиз», АО «Сахалин Лизинг Флот», АО «Блаф», АО «ЯМСЫ», ООО «Магадантралфлот», АО</w:t>
      </w:r>
      <w:r>
        <w:rPr>
          <w:color w:val="000000"/>
          <w:spacing w:val="0"/>
          <w:sz w:val="24"/>
        </w:rPr>
        <w:t> </w:t>
      </w:r>
      <w:r>
        <w:rPr>
          <w:color w:val="000000"/>
          <w:sz w:val="24"/>
        </w:rPr>
        <w:t>«Акрос</w:t>
      </w:r>
      <w:r>
        <w:rPr>
          <w:color w:val="000000"/>
          <w:spacing w:val="0"/>
          <w:sz w:val="24"/>
        </w:rPr>
        <w:t> </w:t>
      </w:r>
      <w:r>
        <w:rPr>
          <w:color w:val="000000"/>
          <w:sz w:val="24"/>
        </w:rPr>
        <w:t>3»), ООО «Росрыбфлот», ООО «Меркурий», ООО «Витязь-Авто», ООО</w:t>
      </w:r>
      <w:r>
        <w:rPr>
          <w:color w:val="000000"/>
          <w:spacing w:val="0"/>
          <w:sz w:val="24"/>
        </w:rPr>
        <w:t> </w:t>
      </w:r>
      <w:r>
        <w:rPr>
          <w:color w:val="000000"/>
          <w:sz w:val="24"/>
        </w:rPr>
        <w:t>«Октябрьский-1», ООО «Камчаттралфлот», ОАО «Колхоз Октябрь», АО</w:t>
      </w:r>
      <w:r>
        <w:rPr>
          <w:color w:val="000000"/>
          <w:spacing w:val="0"/>
          <w:sz w:val="24"/>
        </w:rPr>
        <w:t> </w:t>
      </w:r>
      <w:r>
        <w:rPr>
          <w:color w:val="000000"/>
          <w:sz w:val="24"/>
        </w:rPr>
        <w:t>«Озерновский РКЗ № 55», ООО «Тымлатский рыбокомбинат», ООО РПЗ «Максимовский», ООО «Восточный берег», ООО «Укинский лиман», ООО «Заря», АО «Колхоз им. Бекерева», ООО РК «Лунтос», АО «РКЗ «Командор», ООО</w:t>
      </w:r>
      <w:r>
        <w:rPr>
          <w:color w:val="000000"/>
          <w:spacing w:val="0"/>
          <w:sz w:val="24"/>
        </w:rPr>
        <w:t> </w:t>
      </w:r>
      <w:r>
        <w:rPr>
          <w:color w:val="000000"/>
          <w:sz w:val="24"/>
        </w:rPr>
        <w:t xml:space="preserve">«ПК РКЗ». По итогам 2023 года указанные рыбохозяйственные организации обеспечили добычу более 70% уловов водных биоресурсов. </w:t>
      </w:r>
    </w:p>
    <w:p w14:paraId="9B050000">
      <w:pPr>
        <w:pStyle w:val="Style_2"/>
        <w:spacing w:after="0" w:before="0" w:line="240" w:lineRule="auto"/>
        <w:ind w:firstLine="709" w:left="0" w:right="0"/>
        <w:jc w:val="both"/>
        <w:rPr>
          <w:rFonts w:ascii="Times New Roman" w:hAnsi="Times New Roman"/>
        </w:rPr>
      </w:pPr>
      <w:r>
        <w:rPr>
          <w:color w:val="000000"/>
          <w:sz w:val="24"/>
        </w:rPr>
        <w:t>Неотъемлемой частью рыбохозяйственного комплекса Камчатского края являются береговые перерабатывающие предприятия. В крае построено и действует более 190 рыбоперерабатывающих заводов, 14 осуществляют выпуск рыбных консервов. Суммарная суточная мощность заводов составляет более 16 тыс. тонн мороженой продукции, 1,4 млн условных банок консервов, емкости для хранения мороженой продукции составляют более 200 тыс. тонн. Перерабатывающие мощности в основном сконцентрированы в г. Петропавловске-Камчатском, Усть-Большерецком, Соболевском и Карагинском муниципальных районах края.</w:t>
      </w:r>
    </w:p>
    <w:p w14:paraId="9C050000">
      <w:pPr>
        <w:pStyle w:val="Style_2"/>
        <w:spacing w:after="0" w:before="0" w:line="240" w:lineRule="auto"/>
        <w:ind w:firstLine="709" w:left="0" w:right="0"/>
        <w:jc w:val="both"/>
        <w:rPr>
          <w:rFonts w:ascii="Times New Roman" w:hAnsi="Times New Roman"/>
        </w:rPr>
      </w:pPr>
      <w:r>
        <w:rPr>
          <w:color w:val="000000"/>
          <w:sz w:val="24"/>
        </w:rPr>
        <w:t xml:space="preserve">Ежегодно предприятиями Камчатского края выпускается 900–1300 тыс. тонн рыбопродукции, включая рыбные консервы. На долю Камчатского края приходится одна четвертая объема производства рыбы переработанной и консервированной Российской Федерации и около 40% – Дальневосточного федерального округа. В 2023 году объем производства рыбы переработанной и консервированной в регионе составил 1 314 тыс. тонн или 133% к уровню предыдущего года (в 2022 году – 988,3 тыс. тонн). В структуре рыбопродукции самую высокую позицию (83%) занимает производство рыбы мороженой: в 2023 году ее производство составило 1 096 тыс. тонн. </w:t>
      </w:r>
    </w:p>
    <w:p w14:paraId="9D050000">
      <w:pPr>
        <w:pStyle w:val="Style_2"/>
        <w:spacing w:after="0" w:before="0" w:line="240" w:lineRule="auto"/>
        <w:ind w:firstLine="709" w:left="0" w:right="0"/>
        <w:jc w:val="both"/>
        <w:rPr>
          <w:rFonts w:ascii="Times New Roman" w:hAnsi="Times New Roman"/>
        </w:rPr>
      </w:pPr>
      <w:r>
        <w:rPr>
          <w:color w:val="000000"/>
          <w:sz w:val="24"/>
        </w:rPr>
        <w:t xml:space="preserve">Часть произведенной рыбопродукции поставляется на экспорт. Основными потребителями камчатской рыбной продукции являются страны Азиатско-Тихоокеанского региона: Республика Корея, Китай, Япония. По данным Федеральной таможенной статистики по состоянию на конец 2023 года объем экспорта продукции из водных биологических ресурсов в натуральном выражении превысил показатель предыдущего года на 90%, в стоимостном – </w:t>
      </w:r>
      <w:r>
        <w:rPr>
          <w:b w:val="0"/>
          <w:i w:val="0"/>
          <w:caps w:val="0"/>
          <w:smallCaps w:val="0"/>
          <w:color w:val="000000"/>
          <w:spacing w:val="0"/>
          <w:sz w:val="24"/>
        </w:rPr>
        <w:t>на 8%.</w:t>
      </w:r>
      <w:r>
        <w:rPr>
          <w:color w:val="000000"/>
          <w:sz w:val="24"/>
        </w:rPr>
        <w:t xml:space="preserve"> </w:t>
      </w:r>
    </w:p>
    <w:p w14:paraId="9E050000">
      <w:pPr>
        <w:pStyle w:val="Style_2"/>
        <w:spacing w:after="0" w:before="0" w:line="240" w:lineRule="auto"/>
        <w:ind w:firstLine="709" w:left="0" w:right="0"/>
        <w:jc w:val="both"/>
        <w:rPr>
          <w:rFonts w:ascii="Times New Roman" w:hAnsi="Times New Roman"/>
        </w:rPr>
      </w:pPr>
      <w:r>
        <w:rPr>
          <w:color w:val="000000"/>
          <w:sz w:val="24"/>
        </w:rPr>
        <w:t>Камчатский край поставляет пищевую рыбную продукцию и на внутренний рынок страны, преимущественно в Приморский край (более 70% объема поставок). Также вывоз продукции осуществляется в г. Санкт-Петербург, г. Москву, Московскую область, Мурманскую область, Краснодарский край, Пермский край, Нижегородскую область, Свердловскую область, Новосибирскую область, Хабаровский край, Сахалинскую область и другие субъекты Российской Федерации.</w:t>
      </w:r>
    </w:p>
    <w:p w14:paraId="9F050000">
      <w:pPr>
        <w:pStyle w:val="Style_2"/>
        <w:spacing w:after="0" w:before="0" w:line="240" w:lineRule="auto"/>
        <w:ind w:firstLine="709" w:left="0" w:right="0"/>
        <w:jc w:val="both"/>
        <w:rPr>
          <w:rFonts w:ascii="Times New Roman" w:hAnsi="Times New Roman"/>
        </w:rPr>
      </w:pPr>
      <w:r>
        <w:rPr>
          <w:color w:val="000000"/>
          <w:sz w:val="24"/>
        </w:rPr>
        <w:t>В Камчатском крае получило свое развитие искусственное воспроизводство тихоокеанских лососей на пяти лососевых рыбоводных заводах Северо-Восточного филиала ФГБУ «Главрыбвод». Тихоокеанские лососи являются ценнейшим восполняемым природным ресурсом и национальным достоянием России. Для Камчатки – это биологический ресурс, имеющий ключевое значение для сбалансированного функционирования природных экосистем и устойчивого развития рыбохозяйственного комплекса, как основы стабильного социально-экономического положения региона.</w:t>
      </w:r>
    </w:p>
    <w:p w14:paraId="A0050000">
      <w:pPr>
        <w:pStyle w:val="Style_2"/>
        <w:spacing w:after="0" w:before="0" w:line="240" w:lineRule="auto"/>
        <w:ind w:firstLine="709" w:left="0" w:right="0"/>
        <w:jc w:val="both"/>
        <w:rPr>
          <w:rFonts w:ascii="Times New Roman" w:hAnsi="Times New Roman"/>
        </w:rPr>
      </w:pPr>
      <w:r>
        <w:rPr>
          <w:color w:val="000000"/>
          <w:sz w:val="24"/>
        </w:rPr>
        <w:t>Рыбохозяйственный комплекс Камчатского края располагает хорошим научно-техническим потенциалом. В его составе функционируют научно- исследовательские и проектно-конструкторские организации (Камчатский филиал ФГБНУ «ВНИРО» («КамчатНИРО»), ООО ТЦ «Интехкам», образовательные учреждения, осуществляющие подготовку специалистов и рабочих кадров (ФГБОУ ВО «КамчатГТУ», КГПОАУ «Камчатский политехнический техникум», КГПОАУ «Камчатский морской энергетический техникум», АО «УКК КК»).</w:t>
      </w:r>
    </w:p>
    <w:p w14:paraId="A1050000">
      <w:pPr>
        <w:pStyle w:val="Style_2"/>
        <w:spacing w:after="0" w:before="0" w:line="240" w:lineRule="auto"/>
        <w:ind w:firstLine="709" w:left="0" w:right="0"/>
        <w:jc w:val="both"/>
        <w:rPr>
          <w:rFonts w:ascii="Times New Roman" w:hAnsi="Times New Roman"/>
        </w:rPr>
      </w:pPr>
      <w:r>
        <w:rPr>
          <w:color w:val="000000"/>
          <w:sz w:val="24"/>
        </w:rPr>
        <w:t>Камчатский край на протяжении последних лет является лидером по объему инвестиций в рыбохозяйственный комплекс Российской Федерации. Объем инвестиций в основной капитал в 2017 году составил 8,6 млрд руб., в 2018 году – 8,8</w:t>
      </w:r>
      <w:r>
        <w:rPr>
          <w:color w:val="000000"/>
          <w:spacing w:val="0"/>
          <w:sz w:val="24"/>
        </w:rPr>
        <w:t> </w:t>
      </w:r>
      <w:r>
        <w:rPr>
          <w:color w:val="000000"/>
          <w:sz w:val="24"/>
        </w:rPr>
        <w:t>млрд</w:t>
      </w:r>
      <w:r>
        <w:rPr>
          <w:color w:val="000000"/>
          <w:spacing w:val="0"/>
          <w:sz w:val="24"/>
        </w:rPr>
        <w:t> </w:t>
      </w:r>
      <w:r>
        <w:rPr>
          <w:color w:val="000000"/>
          <w:sz w:val="24"/>
        </w:rPr>
        <w:t>руб., в 2019 году – 11,8 млрд руб., в 2020 году – 19,2 млрд руб., в 2021 году – 24,3 млрд руб., в 2022 году – 23,2 млрд руб., за 2023 год – 17,7 млрд руб.</w:t>
      </w:r>
    </w:p>
    <w:p w14:paraId="A2050000">
      <w:pPr>
        <w:pStyle w:val="Style_2"/>
        <w:spacing w:after="0" w:before="0" w:line="240" w:lineRule="auto"/>
        <w:ind w:firstLine="589" w:left="120" w:right="120"/>
        <w:jc w:val="both"/>
        <w:rPr>
          <w:rFonts w:ascii="Times New Roman" w:hAnsi="Times New Roman"/>
        </w:rPr>
      </w:pPr>
      <w:r>
        <w:rPr>
          <w:color w:val="000000"/>
          <w:sz w:val="24"/>
        </w:rPr>
        <w:t>В целом за период с 2018 по 2023 год предприятиями рыбохозяйственного комплекса в развитие своих береговых перерабатывающих мощностей и модернизацию рыбопромыслового флота вложено порядка 100 млрд руб. На побережьях полуострова построено 16 современных заводов (с новейшим рыбоперерабатывающим оборудованием), нацеленных на выпуск высококачественной и рентабельной рыбной продукции, производственные мощности увеличены более чем на 3 000 тонн в сутки, объем холодильных мощностей для хранения рыбопродукции – более чем на 20</w:t>
      </w:r>
      <w:r>
        <w:rPr>
          <w:color w:val="000000"/>
          <w:spacing w:val="0"/>
          <w:sz w:val="24"/>
        </w:rPr>
        <w:t> </w:t>
      </w:r>
      <w:r>
        <w:rPr>
          <w:color w:val="000000"/>
          <w:sz w:val="24"/>
        </w:rPr>
        <w:t>тыс.</w:t>
      </w:r>
      <w:r>
        <w:rPr>
          <w:color w:val="000000"/>
          <w:spacing w:val="0"/>
          <w:sz w:val="24"/>
        </w:rPr>
        <w:t> </w:t>
      </w:r>
      <w:r>
        <w:rPr>
          <w:color w:val="000000"/>
          <w:sz w:val="24"/>
        </w:rPr>
        <w:t>тонн, дополнительно создано более 3 500 рабочих мест.</w:t>
      </w:r>
    </w:p>
    <w:p w14:paraId="A3050000">
      <w:pPr>
        <w:pStyle w:val="Style_2"/>
        <w:spacing w:after="0" w:before="0" w:line="240" w:lineRule="auto"/>
        <w:ind w:firstLine="709" w:left="0" w:right="0"/>
        <w:jc w:val="both"/>
        <w:rPr>
          <w:rFonts w:ascii="Times New Roman" w:hAnsi="Times New Roman"/>
        </w:rPr>
      </w:pPr>
      <w:r>
        <w:rPr>
          <w:color w:val="000000"/>
          <w:sz w:val="24"/>
        </w:rPr>
        <w:t>Среди значимых инвестиционных проектов, реализация которых завершена в 2023 году, необходимо выделить проект по строительству малотоннажного рыболовного сейнера «Апача», построенного в рамках программы инвестиционных квот РК им. В.И. Ленина. Это первое за 20 лет судно, которое построено на камчатских верфях. Судно предназначено для вылова и транспортировки сырца в грузовом трюме наливом на береговую фабрику для дальнейшей переработки. Стоимость строительства судна составила 402 млн руб.</w:t>
      </w:r>
    </w:p>
    <w:p w14:paraId="A4050000">
      <w:pPr>
        <w:pStyle w:val="Style_2"/>
        <w:spacing w:after="0" w:before="0" w:line="240" w:lineRule="auto"/>
        <w:ind w:firstLine="709" w:left="0" w:right="0"/>
        <w:jc w:val="both"/>
        <w:rPr>
          <w:rFonts w:ascii="Times New Roman" w:hAnsi="Times New Roman"/>
        </w:rPr>
      </w:pPr>
      <w:r>
        <w:rPr>
          <w:sz w:val="24"/>
        </w:rPr>
        <w:t>В 2024 году продолжится строительство и модернизация 27 объектов с совокупным объемом финансирования порядка 60 млрд руб. в рамках реализации следующих инвестиционных проектов:</w:t>
      </w:r>
    </w:p>
    <w:p w14:paraId="A5050000">
      <w:pPr>
        <w:pStyle w:val="Style_2"/>
        <w:spacing w:after="0" w:before="0" w:line="240" w:lineRule="auto"/>
        <w:ind w:firstLine="709" w:left="0" w:right="0"/>
        <w:jc w:val="both"/>
        <w:rPr>
          <w:rFonts w:ascii="Times New Roman" w:hAnsi="Times New Roman"/>
        </w:rPr>
      </w:pPr>
      <w:r>
        <w:rPr>
          <w:i w:val="0"/>
          <w:sz w:val="24"/>
        </w:rPr>
        <w:t>1) суда рыбопромыслового флота (20 судов):</w:t>
      </w:r>
    </w:p>
    <w:p w14:paraId="A6050000">
      <w:pPr>
        <w:pStyle w:val="Style_2"/>
        <w:numPr>
          <w:ilvl w:val="0"/>
          <w:numId w:val="1"/>
        </w:numPr>
        <w:spacing w:after="0" w:before="0" w:line="240" w:lineRule="auto"/>
        <w:ind w:firstLine="709" w:left="0" w:right="0"/>
        <w:contextualSpacing w:val="1"/>
        <w:jc w:val="both"/>
        <w:rPr>
          <w:rFonts w:ascii="Times New Roman" w:hAnsi="Times New Roman"/>
        </w:rPr>
      </w:pPr>
      <w:r>
        <w:rPr>
          <w:sz w:val="24"/>
        </w:rPr>
        <w:t xml:space="preserve">строительство большого морозильного рыболовного траулера проекта S670 WSD 6218-FT для Дальневосточного бассейна РФ «Виктор Гаврилов», Рыболовецкий колхоз им В.И. Ленина (АО «Прибалтийский судостроительный завод «Янтарь», период реализации: </w:t>
      </w:r>
      <w:r>
        <w:rPr>
          <w:sz w:val="24"/>
        </w:rPr>
        <w:br/>
      </w:r>
      <w:r>
        <w:rPr>
          <w:sz w:val="24"/>
        </w:rPr>
        <w:t>2018</w:t>
      </w:r>
      <w:r>
        <w:rPr>
          <w:sz w:val="24"/>
        </w:rPr>
        <w:t>–</w:t>
      </w:r>
      <w:r>
        <w:rPr>
          <w:sz w:val="24"/>
        </w:rPr>
        <w:t>2024 гг., плановый объем финансирования: 9</w:t>
      </w:r>
      <w:r>
        <w:rPr>
          <w:color w:val="000000"/>
          <w:spacing w:val="0"/>
          <w:sz w:val="24"/>
        </w:rPr>
        <w:t> </w:t>
      </w:r>
      <w:r>
        <w:rPr>
          <w:sz w:val="24"/>
        </w:rPr>
        <w:t>724,80 млн руб., фактический объем финансирования: 4</w:t>
      </w:r>
      <w:r>
        <w:rPr>
          <w:color w:val="000000"/>
          <w:spacing w:val="0"/>
          <w:sz w:val="24"/>
        </w:rPr>
        <w:t> </w:t>
      </w:r>
      <w:r>
        <w:rPr>
          <w:sz w:val="24"/>
        </w:rPr>
        <w:t>458,80</w:t>
      </w:r>
      <w:r>
        <w:rPr>
          <w:color w:val="000000"/>
          <w:spacing w:val="0"/>
          <w:sz w:val="24"/>
        </w:rPr>
        <w:t> </w:t>
      </w:r>
      <w:r>
        <w:rPr>
          <w:sz w:val="24"/>
        </w:rPr>
        <w:t>млн руб.);</w:t>
      </w:r>
    </w:p>
    <w:p w14:paraId="A7050000">
      <w:pPr>
        <w:pStyle w:val="Style_2"/>
        <w:numPr>
          <w:ilvl w:val="0"/>
          <w:numId w:val="1"/>
        </w:numPr>
        <w:spacing w:after="0" w:before="0" w:line="240" w:lineRule="auto"/>
        <w:ind w:firstLine="709" w:left="0" w:right="0"/>
        <w:contextualSpacing w:val="1"/>
        <w:jc w:val="both"/>
        <w:rPr>
          <w:rFonts w:ascii="Times New Roman" w:hAnsi="Times New Roman"/>
        </w:rPr>
      </w:pPr>
      <w:r>
        <w:rPr>
          <w:sz w:val="24"/>
        </w:rPr>
        <w:t>строительство пяти маломерных рыболовных судов 27 м, РК им. В.И. Ленина (камчатским судостроительным предприятием ООО «НПЦ «Торсиотест», период реализации: 2019-2025 гг., плановый объем финансирования: 2 296,00 млн руб., фактический объем финансирования: 1</w:t>
      </w:r>
      <w:r>
        <w:rPr>
          <w:color w:val="000000"/>
          <w:spacing w:val="0"/>
          <w:sz w:val="24"/>
        </w:rPr>
        <w:t> </w:t>
      </w:r>
      <w:r>
        <w:rPr>
          <w:sz w:val="24"/>
        </w:rPr>
        <w:t>668,00 млн руб.);</w:t>
      </w:r>
    </w:p>
    <w:p w14:paraId="A8050000">
      <w:pPr>
        <w:pStyle w:val="Style_2"/>
        <w:numPr>
          <w:ilvl w:val="0"/>
          <w:numId w:val="1"/>
        </w:numPr>
        <w:spacing w:after="0" w:before="0" w:line="240" w:lineRule="auto"/>
        <w:ind w:firstLine="709" w:left="0" w:right="0"/>
        <w:contextualSpacing w:val="1"/>
        <w:jc w:val="both"/>
        <w:rPr>
          <w:rFonts w:ascii="Times New Roman" w:hAnsi="Times New Roman"/>
        </w:rPr>
      </w:pPr>
      <w:r>
        <w:rPr>
          <w:sz w:val="24"/>
        </w:rPr>
        <w:t>строительство двух рыболовных траулеров рефрижераторных, РК им В.И. Ленина (ООО «Невский судостроительно-судоремонтный завод», период реализации: 2020</w:t>
      </w:r>
      <w:r>
        <w:rPr>
          <w:sz w:val="24"/>
        </w:rPr>
        <w:t>–</w:t>
      </w:r>
      <w:r>
        <w:rPr>
          <w:sz w:val="24"/>
        </w:rPr>
        <w:t>2027 гг., плановый объем финансирования: 8</w:t>
      </w:r>
      <w:r>
        <w:rPr>
          <w:color w:val="000000"/>
          <w:spacing w:val="0"/>
          <w:sz w:val="24"/>
        </w:rPr>
        <w:t> </w:t>
      </w:r>
      <w:r>
        <w:rPr>
          <w:sz w:val="24"/>
        </w:rPr>
        <w:t>276,60 млн руб., фактический объем финансирования: 79,00</w:t>
      </w:r>
      <w:r>
        <w:rPr>
          <w:color w:val="000000"/>
          <w:spacing w:val="0"/>
          <w:sz w:val="24"/>
        </w:rPr>
        <w:t> </w:t>
      </w:r>
      <w:r>
        <w:rPr>
          <w:sz w:val="24"/>
        </w:rPr>
        <w:t>млн руб.);</w:t>
      </w:r>
    </w:p>
    <w:p w14:paraId="A9050000">
      <w:pPr>
        <w:pStyle w:val="Style_2"/>
        <w:numPr>
          <w:ilvl w:val="0"/>
          <w:numId w:val="1"/>
        </w:numPr>
        <w:spacing w:after="0" w:before="0" w:line="240" w:lineRule="auto"/>
        <w:ind w:firstLine="709" w:left="0" w:right="0"/>
        <w:contextualSpacing w:val="1"/>
        <w:jc w:val="both"/>
        <w:rPr>
          <w:rFonts w:ascii="Times New Roman" w:hAnsi="Times New Roman"/>
        </w:rPr>
      </w:pPr>
      <w:r>
        <w:rPr>
          <w:sz w:val="24"/>
        </w:rPr>
        <w:t>строительство среднего добывающего судна для ловли краба, ООО</w:t>
      </w:r>
      <w:r>
        <w:rPr>
          <w:color w:val="000000"/>
          <w:spacing w:val="0"/>
          <w:sz w:val="24"/>
        </w:rPr>
        <w:t> </w:t>
      </w:r>
      <w:r>
        <w:rPr>
          <w:sz w:val="24"/>
        </w:rPr>
        <w:t>«Алестар» (ПАО «Находкинский судоремонтный завод», период реализации: 2019-2024 гг., плановый объем финансирования: 2 000,00 млн руб., фактический объем финансирования: 1 898,42 млн руб.);</w:t>
      </w:r>
    </w:p>
    <w:p w14:paraId="AA050000">
      <w:pPr>
        <w:pStyle w:val="Style_2"/>
        <w:numPr>
          <w:ilvl w:val="0"/>
          <w:numId w:val="1"/>
        </w:numPr>
        <w:spacing w:after="0" w:before="0" w:line="240" w:lineRule="auto"/>
        <w:ind w:firstLine="709" w:left="0" w:right="0"/>
        <w:contextualSpacing w:val="1"/>
        <w:jc w:val="both"/>
        <w:rPr>
          <w:rFonts w:ascii="Times New Roman" w:hAnsi="Times New Roman"/>
        </w:rPr>
      </w:pPr>
      <w:r>
        <w:rPr>
          <w:sz w:val="24"/>
        </w:rPr>
        <w:t>строительство 4-х больших морозильных рыболовных траулеров, ГК</w:t>
      </w:r>
      <w:r>
        <w:rPr>
          <w:color w:val="000000"/>
          <w:spacing w:val="0"/>
          <w:sz w:val="24"/>
        </w:rPr>
        <w:t> </w:t>
      </w:r>
      <w:r>
        <w:rPr>
          <w:sz w:val="24"/>
        </w:rPr>
        <w:t>«НОРЕБО» (АО «Акрос», АО «Блаф», ООО «Ролиз», АО «Сахалин Лизинг Флот») (ПАО «Северная верфь», период реализации: 2019-2024 гг., плановый объем финансирования: 17 845,87 млн руб., фактический объем финансирования: 10</w:t>
      </w:r>
      <w:r>
        <w:rPr>
          <w:color w:val="000000"/>
          <w:spacing w:val="0"/>
          <w:sz w:val="24"/>
        </w:rPr>
        <w:t> </w:t>
      </w:r>
      <w:r>
        <w:rPr>
          <w:sz w:val="24"/>
        </w:rPr>
        <w:t>699,57</w:t>
      </w:r>
      <w:r>
        <w:rPr>
          <w:color w:val="000000"/>
          <w:spacing w:val="0"/>
          <w:sz w:val="24"/>
        </w:rPr>
        <w:t> </w:t>
      </w:r>
      <w:r>
        <w:rPr>
          <w:sz w:val="24"/>
        </w:rPr>
        <w:t>млн руб.);</w:t>
      </w:r>
    </w:p>
    <w:p w14:paraId="AB050000">
      <w:pPr>
        <w:pStyle w:val="Style_2"/>
        <w:numPr>
          <w:ilvl w:val="0"/>
          <w:numId w:val="1"/>
        </w:numPr>
        <w:spacing w:after="0" w:before="0" w:line="240" w:lineRule="auto"/>
        <w:ind w:firstLine="709" w:left="0" w:right="0"/>
        <w:contextualSpacing w:val="1"/>
        <w:jc w:val="both"/>
        <w:rPr>
          <w:rFonts w:ascii="Times New Roman" w:hAnsi="Times New Roman"/>
        </w:rPr>
      </w:pPr>
      <w:r>
        <w:rPr>
          <w:sz w:val="24"/>
        </w:rPr>
        <w:t>строительство трех рыбопромысловых среднетоннажных судов, ООО</w:t>
      </w:r>
      <w:r>
        <w:rPr>
          <w:color w:val="000000"/>
          <w:spacing w:val="0"/>
          <w:sz w:val="24"/>
        </w:rPr>
        <w:t> </w:t>
      </w:r>
      <w:r>
        <w:rPr>
          <w:sz w:val="24"/>
        </w:rPr>
        <w:t>«РПЗ «Сокра» (ООО «Верфь Братьев Нобель», период реализации: 2021</w:t>
      </w:r>
      <w:r>
        <w:rPr>
          <w:sz w:val="24"/>
        </w:rPr>
        <w:t>–</w:t>
      </w:r>
      <w:r>
        <w:rPr>
          <w:sz w:val="24"/>
        </w:rPr>
        <w:t>2024 гг., плановый объем финансирования: 4 435,00 млн руб., фактический объем финансирования: 712,27 млн руб.);</w:t>
      </w:r>
    </w:p>
    <w:p w14:paraId="AC050000">
      <w:pPr>
        <w:pStyle w:val="Style_2"/>
        <w:numPr>
          <w:ilvl w:val="0"/>
          <w:numId w:val="1"/>
        </w:numPr>
        <w:spacing w:after="0" w:before="0" w:line="240" w:lineRule="auto"/>
        <w:ind w:firstLine="709" w:left="0" w:right="0"/>
        <w:contextualSpacing w:val="1"/>
        <w:jc w:val="both"/>
        <w:rPr>
          <w:rFonts w:ascii="Times New Roman" w:hAnsi="Times New Roman"/>
        </w:rPr>
      </w:pPr>
      <w:r>
        <w:rPr>
          <w:sz w:val="24"/>
        </w:rPr>
        <w:t>строительство 4-х среднетоннажных рыбопромысловых судов длиной не менее 50 м, АО «ЯМСЫ» (ООО «Пелла СК», период реализации: 2021</w:t>
      </w:r>
      <w:r>
        <w:rPr>
          <w:sz w:val="24"/>
        </w:rPr>
        <w:t>–</w:t>
      </w:r>
      <w:r>
        <w:rPr>
          <w:sz w:val="24"/>
        </w:rPr>
        <w:t>2026 гг., плановый объем финансирования: 12</w:t>
      </w:r>
      <w:r>
        <w:rPr>
          <w:color w:val="000000"/>
          <w:spacing w:val="0"/>
          <w:sz w:val="24"/>
        </w:rPr>
        <w:t> </w:t>
      </w:r>
      <w:r>
        <w:rPr>
          <w:sz w:val="24"/>
        </w:rPr>
        <w:t>142,40 млн руб., фактический объем финансирования: 4 310,76 млн руб.);</w:t>
      </w:r>
    </w:p>
    <w:p w14:paraId="AD050000">
      <w:pPr>
        <w:pStyle w:val="Style_2"/>
        <w:spacing w:after="0" w:before="0" w:line="240" w:lineRule="auto"/>
        <w:ind w:firstLine="709" w:left="0" w:right="0"/>
        <w:jc w:val="both"/>
        <w:rPr>
          <w:rFonts w:ascii="Times New Roman" w:hAnsi="Times New Roman"/>
        </w:rPr>
      </w:pPr>
      <w:r>
        <w:rPr>
          <w:i w:val="0"/>
          <w:sz w:val="24"/>
        </w:rPr>
        <w:t>2) рыбоперерабатывающие заводы (7 заводов):</w:t>
      </w:r>
    </w:p>
    <w:p w14:paraId="AE050000">
      <w:pPr>
        <w:pStyle w:val="Style_2"/>
        <w:spacing w:after="0" w:before="0" w:line="240" w:lineRule="auto"/>
        <w:ind w:firstLine="709" w:left="0" w:right="0"/>
        <w:jc w:val="both"/>
        <w:rPr>
          <w:rFonts w:ascii="Times New Roman" w:hAnsi="Times New Roman"/>
        </w:rPr>
      </w:pPr>
      <w:r>
        <w:rPr>
          <w:sz w:val="24"/>
        </w:rPr>
        <w:t xml:space="preserve">– </w:t>
      </w:r>
      <w:r>
        <w:rPr>
          <w:sz w:val="24"/>
        </w:rPr>
        <w:t>создание рыбоперерабатывающего комплекса по глубокой переработке рыбной продукции производственной мощностью 10</w:t>
      </w:r>
      <w:r>
        <w:rPr>
          <w:color w:val="000000"/>
          <w:spacing w:val="0"/>
          <w:sz w:val="24"/>
        </w:rPr>
        <w:t> </w:t>
      </w:r>
      <w:r>
        <w:rPr>
          <w:sz w:val="24"/>
        </w:rPr>
        <w:t>150 тонн в год, ООО</w:t>
      </w:r>
      <w:r>
        <w:rPr>
          <w:color w:val="000000"/>
          <w:spacing w:val="0"/>
          <w:sz w:val="24"/>
        </w:rPr>
        <w:t> </w:t>
      </w:r>
      <w:r>
        <w:rPr>
          <w:sz w:val="24"/>
        </w:rPr>
        <w:t>«Город</w:t>
      </w:r>
      <w:r>
        <w:rPr>
          <w:color w:val="000000"/>
          <w:spacing w:val="0"/>
          <w:sz w:val="24"/>
        </w:rPr>
        <w:t> </w:t>
      </w:r>
      <w:r>
        <w:rPr>
          <w:sz w:val="24"/>
        </w:rPr>
        <w:t>415» (период реализации: 2016-2026 гг., плановый объем финансирования: 900,53 млн руб., фактический объем финансирования: 608,80 млн руб.);</w:t>
      </w:r>
    </w:p>
    <w:p w14:paraId="AF050000">
      <w:pPr>
        <w:pStyle w:val="Style_2"/>
        <w:spacing w:after="0" w:before="0" w:line="240" w:lineRule="auto"/>
        <w:ind w:firstLine="709" w:left="0" w:right="0"/>
        <w:jc w:val="both"/>
        <w:rPr>
          <w:rFonts w:ascii="Times New Roman" w:hAnsi="Times New Roman"/>
        </w:rPr>
      </w:pPr>
      <w:r>
        <w:rPr>
          <w:sz w:val="24"/>
        </w:rPr>
        <w:t>–</w:t>
      </w:r>
      <w:r>
        <w:rPr>
          <w:sz w:val="24"/>
        </w:rPr>
        <w:tab/>
      </w:r>
      <w:r>
        <w:rPr>
          <w:sz w:val="24"/>
        </w:rPr>
        <w:t>строительство рыбообрабатывающего завода производительностью 15</w:t>
      </w:r>
      <w:r>
        <w:rPr>
          <w:color w:val="000000"/>
          <w:spacing w:val="0"/>
          <w:sz w:val="24"/>
        </w:rPr>
        <w:t> </w:t>
      </w:r>
      <w:r>
        <w:rPr>
          <w:sz w:val="24"/>
        </w:rPr>
        <w:t>тонн готовой продукции в сутки на территории Елизовского района Камчатского края, ООО «РПЗ «Сокра» (период реализации: 2020-2023 гг., плановый объем финансирования: 442,45 млн руб., фактический объем финансирования: 0 млн руб.);</w:t>
      </w:r>
    </w:p>
    <w:p w14:paraId="B0050000">
      <w:pPr>
        <w:pStyle w:val="Style_2"/>
        <w:spacing w:after="0" w:before="0" w:line="240" w:lineRule="auto"/>
        <w:ind w:firstLine="709" w:left="0" w:right="0"/>
        <w:jc w:val="both"/>
        <w:rPr>
          <w:rFonts w:ascii="Times New Roman" w:hAnsi="Times New Roman"/>
        </w:rPr>
      </w:pPr>
      <w:r>
        <w:rPr>
          <w:sz w:val="24"/>
        </w:rPr>
        <w:t>–</w:t>
      </w:r>
      <w:r>
        <w:rPr>
          <w:sz w:val="24"/>
        </w:rPr>
        <w:tab/>
      </w:r>
      <w:r>
        <w:rPr>
          <w:sz w:val="24"/>
        </w:rPr>
        <w:t>модернизация рыбоперерабатывающего завода производительностью до 100 тонн в сутки по сырью в Олюторском районе Камчатского края, ОАО</w:t>
      </w:r>
      <w:r>
        <w:rPr>
          <w:color w:val="000000"/>
          <w:spacing w:val="0"/>
          <w:sz w:val="24"/>
        </w:rPr>
        <w:t> </w:t>
      </w:r>
      <w:r>
        <w:rPr>
          <w:sz w:val="24"/>
        </w:rPr>
        <w:t>«Корфский рыбокомбинат» (период реализации: 2018</w:t>
      </w:r>
      <w:r>
        <w:rPr>
          <w:sz w:val="24"/>
        </w:rPr>
        <w:t>–</w:t>
      </w:r>
      <w:r>
        <w:rPr>
          <w:sz w:val="24"/>
        </w:rPr>
        <w:t>2028</w:t>
      </w:r>
      <w:r>
        <w:rPr>
          <w:sz w:val="24"/>
        </w:rPr>
        <w:t xml:space="preserve"> гг., плановый объем финансирования: 224,00 млн руб., фактический объем финансирования: 14,18</w:t>
      </w:r>
      <w:r>
        <w:rPr>
          <w:color w:val="000000"/>
          <w:spacing w:val="0"/>
          <w:sz w:val="24"/>
        </w:rPr>
        <w:t> </w:t>
      </w:r>
      <w:r>
        <w:rPr>
          <w:sz w:val="24"/>
        </w:rPr>
        <w:t>млн руб.);</w:t>
      </w:r>
    </w:p>
    <w:p w14:paraId="B1050000">
      <w:pPr>
        <w:pStyle w:val="Style_2"/>
        <w:spacing w:after="0" w:before="0" w:line="240" w:lineRule="auto"/>
        <w:ind w:firstLine="709" w:left="0" w:right="0"/>
        <w:jc w:val="both"/>
        <w:rPr>
          <w:rFonts w:ascii="Times New Roman" w:hAnsi="Times New Roman"/>
        </w:rPr>
      </w:pPr>
      <w:r>
        <w:rPr>
          <w:sz w:val="24"/>
        </w:rPr>
        <w:t>–</w:t>
      </w:r>
      <w:r>
        <w:rPr>
          <w:sz w:val="24"/>
        </w:rPr>
        <w:tab/>
      </w:r>
      <w:r>
        <w:rPr>
          <w:sz w:val="24"/>
        </w:rPr>
        <w:t>строительство фабрики береговой обработки рыбы, ООО «Колхоз Ударник» (период реализации: 2025 год, плановый объем финансирования: 94,60</w:t>
      </w:r>
      <w:r>
        <w:rPr>
          <w:color w:val="000000"/>
          <w:spacing w:val="0"/>
          <w:sz w:val="24"/>
        </w:rPr>
        <w:t> </w:t>
      </w:r>
      <w:r>
        <w:rPr>
          <w:sz w:val="24"/>
        </w:rPr>
        <w:t xml:space="preserve">млн руб., фактический объем финансирования: 882,96 млн руб.); </w:t>
      </w:r>
    </w:p>
    <w:p w14:paraId="B2050000">
      <w:pPr>
        <w:pStyle w:val="Style_2"/>
        <w:spacing w:after="0" w:before="0" w:line="240" w:lineRule="auto"/>
        <w:ind w:firstLine="709" w:left="0" w:right="0"/>
        <w:jc w:val="both"/>
        <w:rPr>
          <w:rFonts w:ascii="Times New Roman" w:hAnsi="Times New Roman"/>
        </w:rPr>
      </w:pPr>
      <w:r>
        <w:rPr>
          <w:sz w:val="24"/>
        </w:rPr>
        <w:t>–</w:t>
      </w:r>
      <w:r>
        <w:rPr>
          <w:sz w:val="24"/>
        </w:rPr>
        <w:tab/>
      </w:r>
      <w:r>
        <w:rPr>
          <w:sz w:val="24"/>
        </w:rPr>
        <w:t xml:space="preserve">строительство прибрежного рыбоперерабатывающего завода (устье реки Сопочная), ООО «Охотское» (перспективный проект); </w:t>
      </w:r>
    </w:p>
    <w:p w14:paraId="B3050000">
      <w:pPr>
        <w:pStyle w:val="Style_2"/>
        <w:spacing w:after="0" w:before="0" w:line="240" w:lineRule="auto"/>
        <w:ind w:firstLine="709" w:left="0" w:right="0"/>
        <w:jc w:val="both"/>
        <w:rPr>
          <w:rFonts w:ascii="Times New Roman" w:hAnsi="Times New Roman"/>
        </w:rPr>
      </w:pPr>
      <w:r>
        <w:rPr>
          <w:sz w:val="24"/>
        </w:rPr>
        <w:t>–</w:t>
      </w:r>
      <w:r>
        <w:rPr>
          <w:sz w:val="24"/>
        </w:rPr>
        <w:tab/>
      </w:r>
      <w:r>
        <w:rPr>
          <w:sz w:val="24"/>
        </w:rPr>
        <w:t>строительство рыбоперерабатывающего комплекса (завода) «Коль» на территории на р. Коль Соболевского района Камчатского края, ООО «Коль» (период реализации: 2023</w:t>
      </w:r>
      <w:r>
        <w:rPr>
          <w:sz w:val="24"/>
        </w:rPr>
        <w:t>–</w:t>
      </w:r>
      <w:r>
        <w:rPr>
          <w:sz w:val="24"/>
        </w:rPr>
        <w:t>2024 гг., плановый объем финансирования: 57,00 млн руб., фактический объем финансирования: 84,78 млн руб.);</w:t>
      </w:r>
    </w:p>
    <w:p w14:paraId="B4050000">
      <w:pPr>
        <w:pStyle w:val="Style_2"/>
        <w:spacing w:after="0" w:before="0" w:line="240" w:lineRule="auto"/>
        <w:ind w:firstLine="709" w:left="0" w:right="0"/>
        <w:jc w:val="both"/>
        <w:rPr>
          <w:rFonts w:ascii="Times New Roman" w:hAnsi="Times New Roman"/>
        </w:rPr>
      </w:pPr>
      <w:r>
        <w:rPr>
          <w:sz w:val="24"/>
        </w:rPr>
        <w:t>–</w:t>
      </w:r>
      <w:r>
        <w:rPr>
          <w:sz w:val="24"/>
        </w:rPr>
        <w:tab/>
      </w:r>
      <w:r>
        <w:rPr>
          <w:sz w:val="24"/>
        </w:rPr>
        <w:t>модернизация рыбоперерабатывающего завода для увеличения мощности производства на 120 тонн в сутки и расширение парка спецтехники, ООО</w:t>
      </w:r>
      <w:r>
        <w:rPr>
          <w:color w:val="000000"/>
          <w:spacing w:val="0"/>
          <w:sz w:val="24"/>
        </w:rPr>
        <w:t> </w:t>
      </w:r>
      <w:r>
        <w:rPr>
          <w:sz w:val="24"/>
        </w:rPr>
        <w:t>«Корякморепродукт» (период реализации: 2022</w:t>
      </w:r>
      <w:r>
        <w:rPr>
          <w:sz w:val="24"/>
        </w:rPr>
        <w:t>–</w:t>
      </w:r>
      <w:r>
        <w:rPr>
          <w:sz w:val="24"/>
        </w:rPr>
        <w:t>2026 гг., плановый объем финансирования: 189,96 млн руб., фактический объем финансирования: 154,31 млн руб.).</w:t>
      </w:r>
    </w:p>
    <w:p w14:paraId="B5050000">
      <w:pPr>
        <w:pStyle w:val="Style_2"/>
        <w:spacing w:after="0" w:before="0" w:line="240" w:lineRule="auto"/>
        <w:ind w:firstLine="709" w:left="0" w:right="0"/>
        <w:jc w:val="both"/>
        <w:rPr>
          <w:rFonts w:ascii="Times New Roman" w:hAnsi="Times New Roman"/>
        </w:rPr>
      </w:pPr>
      <w:r>
        <w:rPr>
          <w:color w:val="000000"/>
          <w:sz w:val="24"/>
        </w:rPr>
        <w:t>Также необходимо отметить, что для успешной реализации инвестиционных проектов в Камчатском крае предоставляются меры государственной поддержки в рамках режима ТОР и СПВ. На конец 2023 года 16 рыбохозяйственных организаций являются резидентами ТОР, реализовано 12 инвестиционных проектов по модернизации флота и строительству рыбоперерабатывающих комплексов (объем инвестиционных вложений по введенным в эксплуатацию объектам составил 9,9</w:t>
      </w:r>
      <w:r>
        <w:rPr>
          <w:color w:val="000000"/>
          <w:spacing w:val="0"/>
          <w:sz w:val="24"/>
        </w:rPr>
        <w:t> </w:t>
      </w:r>
      <w:r>
        <w:rPr>
          <w:color w:val="000000"/>
          <w:sz w:val="24"/>
        </w:rPr>
        <w:t>млрд руб.).</w:t>
      </w:r>
    </w:p>
    <w:p w14:paraId="B6050000">
      <w:pPr>
        <w:pStyle w:val="Style_2"/>
        <w:spacing w:after="0" w:before="0" w:line="240" w:lineRule="auto"/>
        <w:ind w:firstLine="709" w:left="0" w:right="0"/>
        <w:jc w:val="both"/>
        <w:rPr>
          <w:rFonts w:ascii="Times New Roman" w:hAnsi="Times New Roman"/>
        </w:rPr>
      </w:pPr>
      <w:r>
        <w:rPr>
          <w:color w:val="000000"/>
          <w:sz w:val="24"/>
        </w:rPr>
        <w:t xml:space="preserve">Строительство современных заводов, оснащенных самыми передовыми технологиями, и новых судов, оборудованных линиями по производству филе, способствует наращиванию объемов производства и увеличению выпуска рыбной продукции глубокой степени переработки, доля которой составляет 11–18% от общего объема рыбной продукции. В среднем за 5 лет (2019–2023 годы) в крае производится порядка 59 тыс. тонн рыбного филе в год на 25 предприятиях. Пропорционально росту выпуска рыбного филе увеличивается выработка фарша </w:t>
      </w:r>
      <w:r>
        <w:rPr>
          <w:color w:val="000000"/>
          <w:sz w:val="24"/>
        </w:rPr>
        <w:t>–</w:t>
      </w:r>
      <w:r>
        <w:rPr>
          <w:color w:val="000000"/>
          <w:sz w:val="24"/>
        </w:rPr>
        <w:t xml:space="preserve"> сопутствующего продукта производства филе, ежегодный объем выпуска которого составляет более 7 тыс. тонн. Годовой объем производства рыбной муки – более 50 тыс. тонн, 14 отраслевых организаций осуществляют выпуск консервов из водных биологических ресурсов в объеме 6,5 муб в год.</w:t>
      </w:r>
    </w:p>
    <w:p w14:paraId="B7050000">
      <w:pPr>
        <w:pStyle w:val="Style_2"/>
        <w:spacing w:after="0" w:before="0" w:line="240" w:lineRule="auto"/>
        <w:ind w:firstLine="709" w:left="0" w:right="0"/>
        <w:jc w:val="both"/>
        <w:rPr>
          <w:rFonts w:ascii="Times New Roman" w:hAnsi="Times New Roman"/>
        </w:rPr>
      </w:pPr>
      <w:r>
        <w:rPr>
          <w:color w:val="000000"/>
          <w:sz w:val="24"/>
        </w:rPr>
        <w:t>В 2018 году российский рыбохозяйственный комплекс вступил в новый цикл развития, нацеленный на достижение опережающего роста и повышенной инвестиционной активности. Предприятия Камчатского края в числе первых приняли участие в реализации программы инвестиционных квот. Доли квот на добычу водных биологических ресурсов под инвестиционные обязательства по строительству 8 рыбоперерабатывающих заводов и 24 рыбопромысловых судов закреплены за 14 региональными предприятиями. Фактический объем инвестиций составил 12 млрд руб. на строительство перерабатывающих заводов и 25 млрд руб. – на строительство рыболовных судов. Уже построено семь рыбоперерабатывающих заводов, три средних траулера-сейнера, один малотоннажный рыболовный сейнер.</w:t>
      </w:r>
    </w:p>
    <w:p w14:paraId="B8050000">
      <w:pPr>
        <w:pStyle w:val="Style_2"/>
        <w:spacing w:after="0" w:before="0" w:line="240" w:lineRule="auto"/>
        <w:ind w:firstLine="709" w:left="0" w:right="0"/>
        <w:jc w:val="both"/>
        <w:rPr>
          <w:rFonts w:ascii="Times New Roman" w:hAnsi="Times New Roman"/>
        </w:rPr>
      </w:pPr>
      <w:r>
        <w:rPr>
          <w:color w:val="000000"/>
          <w:sz w:val="24"/>
        </w:rPr>
        <w:t xml:space="preserve">Поддержка строительства береговых перерабатывающих производств в рамках первого этапа программы инвестквот позволила создать на территории Камчатского края ряд высокоэффективных передовых рыбоперерабатывающих комплексов, выпускающих продукцию широчайшего ассортимента с высокой добавленной стоимостью. </w:t>
      </w:r>
    </w:p>
    <w:p w14:paraId="B9050000">
      <w:pPr>
        <w:pStyle w:val="Style_2"/>
        <w:tabs>
          <w:tab w:leader="none" w:pos="708" w:val="clear"/>
          <w:tab w:leader="none" w:pos="993" w:val="left"/>
        </w:tabs>
        <w:spacing w:after="0" w:before="0" w:line="240" w:lineRule="auto"/>
        <w:ind w:firstLine="709" w:left="0" w:right="0"/>
        <w:jc w:val="both"/>
        <w:rPr>
          <w:rFonts w:ascii="Times New Roman" w:hAnsi="Times New Roman"/>
        </w:rPr>
      </w:pPr>
      <w:r>
        <w:rPr>
          <w:color w:val="000000"/>
          <w:sz w:val="24"/>
        </w:rPr>
        <w:t>Основные показатели представленного прогноза разработаны с учетом оценки динамики изменения основных отраслевых показателей, анализа приоритетных направлений, основных рисков и проблем, существующих в отрасли, перспектив реализации рыбохозяйственными организациями своих инвестиционных проектов, исходя из посыла наличия стабильной «ресурсной базы» для его развития (но с предполагаемым выловом тихоокеанских лососей на уровне 190–220 тыс. тонн в среднесрочной перспективе). Общий объем вылова водных биологических ресурсов прогнозируется на уровне 1 380–1 410 тыс. тонн.</w:t>
      </w:r>
    </w:p>
    <w:p w14:paraId="BA050000">
      <w:pPr>
        <w:pStyle w:val="Style_2"/>
        <w:tabs>
          <w:tab w:leader="none" w:pos="708" w:val="clear"/>
          <w:tab w:leader="none" w:pos="993" w:val="left"/>
        </w:tabs>
        <w:spacing w:after="0" w:before="0" w:line="240" w:lineRule="auto"/>
        <w:ind w:firstLine="709" w:left="0" w:right="0"/>
        <w:jc w:val="both"/>
        <w:rPr>
          <w:rFonts w:ascii="Times New Roman" w:hAnsi="Times New Roman"/>
        </w:rPr>
      </w:pPr>
      <w:r>
        <w:rPr>
          <w:color w:val="000000"/>
          <w:sz w:val="24"/>
        </w:rPr>
        <w:t>При прогнозировании индикаторов развития рыбохозяйственного комплекса Камчатского края на среднесрочный период учтены следующие основные «сдерживающие» факторы, которые могут оказать существенное влияние:</w:t>
      </w:r>
    </w:p>
    <w:p w14:paraId="BB050000">
      <w:pPr>
        <w:pStyle w:val="Style_5"/>
        <w:numPr>
          <w:ilvl w:val="0"/>
          <w:numId w:val="2"/>
        </w:numPr>
        <w:tabs>
          <w:tab w:leader="none" w:pos="708" w:val="clear"/>
          <w:tab w:leader="none" w:pos="993" w:val="left"/>
        </w:tabs>
        <w:spacing w:after="0" w:before="0" w:line="240" w:lineRule="auto"/>
        <w:ind w:firstLine="709" w:left="0" w:right="0"/>
        <w:contextualSpacing w:val="1"/>
        <w:jc w:val="both"/>
        <w:rPr>
          <w:rFonts w:ascii="Times New Roman" w:hAnsi="Times New Roman"/>
        </w:rPr>
      </w:pPr>
      <w:r>
        <w:rPr>
          <w:color w:val="000000"/>
          <w:sz w:val="24"/>
        </w:rPr>
        <w:t>сложность прогнозирования промысловой ситуации и ожидаемых подходов тихоокеанских лососей к берегам Камчатки, в том числе из-за отсутствия актуальных результатов исследований вследствие недостаточного финансирования «промысловой науки»;</w:t>
      </w:r>
      <w:bookmarkStart w:id="9" w:name="_GoBack"/>
      <w:bookmarkEnd w:id="9"/>
    </w:p>
    <w:p w14:paraId="BC050000">
      <w:pPr>
        <w:pStyle w:val="Style_5"/>
        <w:numPr>
          <w:ilvl w:val="0"/>
          <w:numId w:val="2"/>
        </w:numPr>
        <w:tabs>
          <w:tab w:leader="none" w:pos="708" w:val="clear"/>
          <w:tab w:leader="none" w:pos="993" w:val="left"/>
        </w:tabs>
        <w:spacing w:after="0" w:before="0" w:line="240" w:lineRule="auto"/>
        <w:ind w:firstLine="709" w:left="0" w:right="0"/>
        <w:contextualSpacing w:val="1"/>
        <w:jc w:val="both"/>
        <w:rPr>
          <w:rFonts w:ascii="Times New Roman" w:hAnsi="Times New Roman"/>
        </w:rPr>
      </w:pPr>
      <w:r>
        <w:rPr>
          <w:color w:val="000000"/>
          <w:sz w:val="24"/>
        </w:rPr>
        <w:t>текущее состояние рыбопромыслового флота предприятий, характеризующееся значительным износом основных производственных фондов;</w:t>
      </w:r>
    </w:p>
    <w:p w14:paraId="BD050000">
      <w:pPr>
        <w:pStyle w:val="Style_5"/>
        <w:numPr>
          <w:ilvl w:val="0"/>
          <w:numId w:val="2"/>
        </w:numPr>
        <w:tabs>
          <w:tab w:leader="none" w:pos="708" w:val="clear"/>
          <w:tab w:leader="none" w:pos="993" w:val="left"/>
        </w:tabs>
        <w:spacing w:after="0" w:before="0" w:line="240" w:lineRule="auto"/>
        <w:ind w:firstLine="709" w:left="0" w:right="0"/>
        <w:contextualSpacing w:val="1"/>
        <w:jc w:val="both"/>
        <w:rPr>
          <w:rFonts w:ascii="Times New Roman" w:hAnsi="Times New Roman"/>
        </w:rPr>
      </w:pPr>
      <w:r>
        <w:rPr>
          <w:color w:val="000000"/>
          <w:sz w:val="24"/>
        </w:rPr>
        <w:t>риск потери ресурсной базы рыболовства вследствие перерегистрации пользователей долей квот на добычу (вылов) водных биоресурсов в другие субъекты Российской Федерации;</w:t>
      </w:r>
    </w:p>
    <w:p w14:paraId="BE050000">
      <w:pPr>
        <w:pStyle w:val="Style_5"/>
        <w:numPr>
          <w:ilvl w:val="0"/>
          <w:numId w:val="2"/>
        </w:numPr>
        <w:tabs>
          <w:tab w:leader="none" w:pos="708" w:val="clear"/>
          <w:tab w:leader="none" w:pos="993" w:val="left"/>
        </w:tabs>
        <w:spacing w:after="0" w:before="0" w:line="240" w:lineRule="auto"/>
        <w:ind w:firstLine="709" w:left="0" w:right="0"/>
        <w:contextualSpacing w:val="1"/>
        <w:jc w:val="both"/>
        <w:rPr>
          <w:rFonts w:ascii="Times New Roman" w:hAnsi="Times New Roman"/>
        </w:rPr>
      </w:pPr>
      <w:r>
        <w:rPr>
          <w:color w:val="000000"/>
          <w:sz w:val="24"/>
        </w:rPr>
        <w:t>отмена налоговых преференций в отношении федеральных налогов и сборов;</w:t>
      </w:r>
    </w:p>
    <w:p w14:paraId="BF050000">
      <w:pPr>
        <w:pStyle w:val="Style_5"/>
        <w:numPr>
          <w:ilvl w:val="0"/>
          <w:numId w:val="2"/>
        </w:numPr>
        <w:tabs>
          <w:tab w:leader="none" w:pos="708" w:val="clear"/>
          <w:tab w:leader="none" w:pos="993" w:val="left"/>
        </w:tabs>
        <w:spacing w:after="0" w:before="0" w:line="240" w:lineRule="auto"/>
        <w:ind w:firstLine="709" w:left="0" w:right="0"/>
        <w:contextualSpacing w:val="1"/>
        <w:jc w:val="both"/>
        <w:rPr>
          <w:rFonts w:ascii="Times New Roman" w:hAnsi="Times New Roman"/>
        </w:rPr>
      </w:pPr>
      <w:r>
        <w:rPr>
          <w:color w:val="000000"/>
          <w:sz w:val="24"/>
        </w:rPr>
        <w:t>дефицит консолидированного бюджета Камчатского края, сокращение объемов государственной поддержки реализации инвестиционных проектов за счет средств федерального и краевого бюджетов;</w:t>
      </w:r>
    </w:p>
    <w:p w14:paraId="C0050000">
      <w:pPr>
        <w:pStyle w:val="Style_5"/>
        <w:numPr>
          <w:ilvl w:val="0"/>
          <w:numId w:val="2"/>
        </w:numPr>
        <w:tabs>
          <w:tab w:leader="none" w:pos="708" w:val="clear"/>
          <w:tab w:leader="none" w:pos="993" w:val="left"/>
        </w:tabs>
        <w:spacing w:after="0" w:before="0" w:line="240" w:lineRule="auto"/>
        <w:ind w:firstLine="709" w:left="0" w:right="0"/>
        <w:contextualSpacing w:val="1"/>
        <w:jc w:val="both"/>
        <w:rPr>
          <w:rFonts w:ascii="Times New Roman" w:hAnsi="Times New Roman"/>
        </w:rPr>
      </w:pPr>
      <w:r>
        <w:rPr>
          <w:color w:val="000000"/>
          <w:sz w:val="24"/>
        </w:rPr>
        <w:t>масштабные изменения макроэкономических показателей рыбной отрасли, затрагивающие перестройку логистической структуры и основные рынки сбыта рыбной продукции, обусловленные проведением военной операции на Украине.</w:t>
      </w:r>
    </w:p>
    <w:p w14:paraId="C1050000">
      <w:pPr>
        <w:pStyle w:val="Style_2"/>
        <w:tabs>
          <w:tab w:leader="none" w:pos="708" w:val="clear"/>
          <w:tab w:leader="none" w:pos="993" w:val="left"/>
        </w:tabs>
        <w:spacing w:after="0" w:before="0" w:line="240" w:lineRule="auto"/>
        <w:ind w:firstLine="709" w:left="0" w:right="0"/>
        <w:jc w:val="both"/>
        <w:rPr>
          <w:rFonts w:ascii="Times New Roman" w:hAnsi="Times New Roman"/>
        </w:rPr>
      </w:pPr>
      <w:r>
        <w:rPr>
          <w:color w:val="000000"/>
          <w:sz w:val="24"/>
        </w:rPr>
        <w:t>Основными позитивными факторами, определяющими положительные тенденции развития регионального рыбохозяйственного комплекса Камчатского края в среднесрочном прогнозируемом периоде, станут:</w:t>
      </w:r>
    </w:p>
    <w:p w14:paraId="C2050000">
      <w:pPr>
        <w:pStyle w:val="Style_5"/>
        <w:numPr>
          <w:ilvl w:val="0"/>
          <w:numId w:val="2"/>
        </w:numPr>
        <w:tabs>
          <w:tab w:leader="none" w:pos="708" w:val="clear"/>
          <w:tab w:leader="none" w:pos="993" w:val="left"/>
        </w:tabs>
        <w:spacing w:after="0" w:before="0" w:line="240" w:lineRule="auto"/>
        <w:ind w:firstLine="709" w:left="0" w:right="0"/>
        <w:contextualSpacing w:val="1"/>
        <w:jc w:val="both"/>
        <w:rPr>
          <w:rFonts w:ascii="Times New Roman" w:hAnsi="Times New Roman"/>
        </w:rPr>
      </w:pPr>
      <w:r>
        <w:rPr>
          <w:color w:val="000000"/>
          <w:sz w:val="24"/>
        </w:rPr>
        <w:t>увеличение глубины переработки продукции рыбопромышленного комплекса, включая переработку рыбных отходов;</w:t>
      </w:r>
    </w:p>
    <w:p w14:paraId="C3050000">
      <w:pPr>
        <w:pStyle w:val="Style_5"/>
        <w:numPr>
          <w:ilvl w:val="0"/>
          <w:numId w:val="2"/>
        </w:numPr>
        <w:tabs>
          <w:tab w:leader="none" w:pos="708" w:val="clear"/>
          <w:tab w:leader="none" w:pos="993" w:val="left"/>
        </w:tabs>
        <w:spacing w:after="0" w:before="0" w:line="240" w:lineRule="auto"/>
        <w:ind w:firstLine="709" w:left="0" w:right="0"/>
        <w:contextualSpacing w:val="1"/>
        <w:jc w:val="both"/>
        <w:rPr>
          <w:rFonts w:ascii="Times New Roman" w:hAnsi="Times New Roman"/>
        </w:rPr>
      </w:pPr>
      <w:r>
        <w:rPr>
          <w:color w:val="000000"/>
          <w:sz w:val="24"/>
        </w:rPr>
        <w:t>повышение инвестиционной активности хозяйствующих субъектов, в том числе в результате реализации исполнительными органами государственной власти Камчатского края мероприятий по улучшению условий для предпринимательской и инвестиционной деятельности, получения доступа к «инвестиционным квотам», создания условий для развития экспорта продукции АПК;</w:t>
      </w:r>
    </w:p>
    <w:p w14:paraId="C4050000">
      <w:pPr>
        <w:pStyle w:val="Style_5"/>
        <w:numPr>
          <w:ilvl w:val="0"/>
          <w:numId w:val="2"/>
        </w:numPr>
        <w:tabs>
          <w:tab w:leader="none" w:pos="708" w:val="clear"/>
          <w:tab w:leader="none" w:pos="993" w:val="left"/>
        </w:tabs>
        <w:spacing w:after="0" w:before="0" w:line="240" w:lineRule="auto"/>
        <w:ind w:firstLine="709" w:left="0" w:right="0"/>
        <w:contextualSpacing w:val="1"/>
        <w:jc w:val="both"/>
        <w:rPr>
          <w:rFonts w:ascii="Times New Roman" w:hAnsi="Times New Roman"/>
        </w:rPr>
      </w:pPr>
      <w:r>
        <w:rPr>
          <w:color w:val="000000"/>
          <w:sz w:val="24"/>
        </w:rPr>
        <w:t>«перерегистрация» пользователей долей квот на добычу (вылов) водных биоресурсов из других субъектов Российской Федерации;</w:t>
      </w:r>
    </w:p>
    <w:p w14:paraId="C5050000">
      <w:pPr>
        <w:pStyle w:val="Style_5"/>
        <w:numPr>
          <w:ilvl w:val="0"/>
          <w:numId w:val="2"/>
        </w:numPr>
        <w:tabs>
          <w:tab w:leader="none" w:pos="708" w:val="clear"/>
          <w:tab w:leader="none" w:pos="993" w:val="left"/>
        </w:tabs>
        <w:spacing w:after="0" w:before="0" w:line="240" w:lineRule="auto"/>
        <w:ind w:firstLine="709" w:left="0" w:right="0"/>
        <w:contextualSpacing w:val="1"/>
        <w:jc w:val="both"/>
        <w:rPr>
          <w:rFonts w:ascii="Times New Roman" w:hAnsi="Times New Roman"/>
        </w:rPr>
      </w:pPr>
      <w:r>
        <w:rPr>
          <w:color w:val="000000"/>
          <w:sz w:val="24"/>
        </w:rPr>
        <w:t>развитие Севморпути как маршрута доставки рыбной продукции камчатских предприятий в европейскую часть России.</w:t>
      </w:r>
    </w:p>
    <w:p w14:paraId="C6050000">
      <w:pPr>
        <w:pStyle w:val="Style_2"/>
        <w:spacing w:line="240" w:lineRule="auto"/>
        <w:ind w:firstLine="709" w:left="0" w:right="0"/>
        <w:jc w:val="both"/>
        <w:rPr>
          <w:rFonts w:ascii="Times New Roman" w:hAnsi="Times New Roman"/>
          <w:b w:val="0"/>
          <w:color w:val="632523"/>
          <w:highlight w:val="yellow"/>
        </w:rPr>
      </w:pPr>
    </w:p>
    <w:p w14:paraId="C7050000">
      <w:pPr>
        <w:pStyle w:val="Style_2"/>
        <w:spacing w:line="240" w:lineRule="auto"/>
        <w:ind w:firstLine="0" w:left="0" w:right="0"/>
        <w:rPr>
          <w:rFonts w:ascii="Times New Roman" w:hAnsi="Times New Roman"/>
        </w:rPr>
      </w:pPr>
      <w:r>
        <w:rPr>
          <w:b w:val="1"/>
          <w:color w:val="000000"/>
        </w:rPr>
        <w:t>21. Лесозаготовки</w:t>
      </w:r>
    </w:p>
    <w:p w14:paraId="C8050000">
      <w:pPr>
        <w:pStyle w:val="Style_2"/>
        <w:spacing w:after="0" w:before="0" w:line="240" w:lineRule="auto"/>
        <w:ind w:firstLine="709" w:left="20" w:right="20"/>
        <w:jc w:val="both"/>
        <w:rPr>
          <w:rFonts w:ascii="Times New Roman" w:hAnsi="Times New Roman"/>
        </w:rPr>
      </w:pPr>
      <w:r>
        <w:rPr>
          <w:color w:val="000000"/>
          <w:sz w:val="24"/>
        </w:rPr>
        <w:t>Основными факторами, сдерживающими инвестиционную активность в лесном секторе Камчатского края, являются истощение доступной лесосырьевой базы и неразвитость лесной инфраструктуры, препятствующая созданию инвестиционных площадок в области использования лесов, а также высокие кредитные ставки (до 25%), препятствующие обновлению основных фондов (лесозаготовительного и лесоперерабатывающего оборудования).</w:t>
      </w:r>
    </w:p>
    <w:p w14:paraId="C9050000">
      <w:pPr>
        <w:pStyle w:val="Style_2"/>
        <w:spacing w:after="0" w:before="0" w:line="240" w:lineRule="auto"/>
        <w:ind w:firstLine="709" w:left="20" w:right="20"/>
        <w:jc w:val="both"/>
        <w:rPr>
          <w:rFonts w:ascii="Times New Roman" w:hAnsi="Times New Roman"/>
        </w:rPr>
      </w:pPr>
      <w:r>
        <w:rPr>
          <w:color w:val="000000"/>
          <w:sz w:val="24"/>
        </w:rPr>
        <w:t xml:space="preserve">Традиционно наибольшей популярностью в использовании лесов является заготовка древесины. Причём наибольшей привлекательностью для лесозаготовителей в Камчатском крае пользуются хвойные насаждения, как наиболее подходящие для выпуска товарной продукции (пиломатериалы). В лесном фонде Камчатского края более половины покрытых лесной растительностью земель (52%) занято кустарниками, преимущественно кедровым и ольховым стланиками. На втором месте по распространению (31%) находятся насаждения твердолиственного хозяйства и на третьем </w:t>
      </w:r>
      <w:r>
        <w:rPr>
          <w:color w:val="000000"/>
        </w:rPr>
        <w:t>–</w:t>
      </w:r>
      <w:r>
        <w:rPr>
          <w:color w:val="000000"/>
          <w:sz w:val="24"/>
        </w:rPr>
        <w:t xml:space="preserve"> мягколиственные породы (11%). Менее 6% покрытых лесной растительностью земель занимает хвойное хозяйство, которое расположено в основном на ограниченной территории Мильковского, Быстринского, Усть- Камчатского и Пенжинского районов Камчатского края. </w:t>
      </w:r>
    </w:p>
    <w:p w14:paraId="CA050000">
      <w:pPr>
        <w:pStyle w:val="Style_2"/>
        <w:spacing w:after="0" w:before="0" w:line="240" w:lineRule="auto"/>
        <w:ind w:firstLine="709" w:left="20" w:right="20"/>
        <w:jc w:val="both"/>
        <w:rPr>
          <w:rFonts w:ascii="Times New Roman" w:hAnsi="Times New Roman"/>
        </w:rPr>
      </w:pPr>
      <w:r>
        <w:rPr>
          <w:color w:val="000000"/>
          <w:sz w:val="24"/>
        </w:rPr>
        <w:t>Расчётная лесосека по Камчатскому краю составляет 2 107,8 тыс. м</w:t>
      </w:r>
      <w:r>
        <w:rPr>
          <w:color w:val="000000"/>
          <w:sz w:val="24"/>
          <w:vertAlign w:val="superscript"/>
        </w:rPr>
        <w:t>3</w:t>
      </w:r>
      <w:r>
        <w:rPr>
          <w:color w:val="000000"/>
          <w:sz w:val="24"/>
        </w:rPr>
        <w:t>, из них по хвойному хозяйству – 696,0 тыс. м</w:t>
      </w:r>
      <w:r>
        <w:rPr>
          <w:color w:val="000000"/>
          <w:sz w:val="24"/>
          <w:vertAlign w:val="superscript"/>
        </w:rPr>
        <w:t>3</w:t>
      </w:r>
      <w:r>
        <w:rPr>
          <w:color w:val="000000"/>
          <w:sz w:val="24"/>
        </w:rPr>
        <w:t>. Плановый показатель по объему заготовленной древесины на 2024 год составляет 120 тыс. м</w:t>
      </w:r>
      <w:r>
        <w:rPr>
          <w:color w:val="000000"/>
          <w:sz w:val="24"/>
          <w:vertAlign w:val="superscript"/>
        </w:rPr>
        <w:t>3</w:t>
      </w:r>
      <w:r>
        <w:rPr>
          <w:color w:val="000000"/>
          <w:sz w:val="24"/>
        </w:rPr>
        <w:t>. В 2025 году прогнозируется некоторое увеличение установленного годового объема отпуска древесины по договорам аренды лесных участков с целью заготовки древесины (на 8%, что составит 130 тыс. м</w:t>
      </w:r>
      <w:r>
        <w:rPr>
          <w:color w:val="000000"/>
          <w:sz w:val="24"/>
          <w:vertAlign w:val="superscript"/>
        </w:rPr>
        <w:t>3</w:t>
      </w:r>
      <w:r>
        <w:rPr>
          <w:color w:val="000000"/>
          <w:sz w:val="24"/>
        </w:rPr>
        <w:t>) по сравнению с 2024 годом, а в 2026 году – 140 тыс. </w:t>
      </w:r>
      <w:r>
        <w:rPr>
          <w:color w:val="000000"/>
          <w:sz w:val="24"/>
        </w:rPr>
        <w:t>м</w:t>
      </w:r>
      <w:r>
        <w:rPr>
          <w:color w:val="000000"/>
          <w:sz w:val="24"/>
          <w:vertAlign w:val="superscript"/>
        </w:rPr>
        <w:t>3</w:t>
      </w:r>
      <w:r>
        <w:rPr>
          <w:color w:val="000000"/>
          <w:sz w:val="24"/>
        </w:rPr>
        <w:t>. Освоение расчетной лесосеки от всех видов рубок и видов использования лесов ожидается: 2024 год – 5,7%; 2025 год – 6,5%; 2026 год – 6,6%.</w:t>
      </w:r>
    </w:p>
    <w:p w14:paraId="CB050000">
      <w:pPr>
        <w:pStyle w:val="Style_2"/>
        <w:spacing w:after="0" w:before="0" w:line="240" w:lineRule="auto"/>
        <w:ind w:firstLine="709" w:left="20" w:right="20"/>
        <w:jc w:val="both"/>
        <w:rPr>
          <w:rFonts w:ascii="Times New Roman" w:hAnsi="Times New Roman"/>
        </w:rPr>
      </w:pPr>
      <w:r>
        <w:rPr>
          <w:color w:val="000000"/>
          <w:sz w:val="24"/>
        </w:rPr>
        <w:t>Ежегодно в Камчатском крае заготавливалось не более 150,0 тыс. м</w:t>
      </w:r>
      <w:r>
        <w:rPr>
          <w:color w:val="000000"/>
          <w:sz w:val="24"/>
          <w:vertAlign w:val="superscript"/>
        </w:rPr>
        <w:t>3</w:t>
      </w:r>
      <w:r>
        <w:rPr>
          <w:color w:val="000000"/>
          <w:sz w:val="24"/>
        </w:rPr>
        <w:t xml:space="preserve"> древесины всех пород деревьев. В 2023 году общий объем заготовки древесины на территории Камчатского края  снизился на 18,8% по сравнению с 2022 годом (168,9 тыс. м</w:t>
      </w:r>
      <w:r>
        <w:rPr>
          <w:color w:val="000000"/>
          <w:sz w:val="24"/>
          <w:vertAlign w:val="superscript"/>
        </w:rPr>
        <w:t>3</w:t>
      </w:r>
      <w:r>
        <w:rPr>
          <w:color w:val="000000"/>
          <w:sz w:val="24"/>
        </w:rPr>
        <w:t>) и составил 137,1 тыс. м</w:t>
      </w:r>
      <w:r>
        <w:rPr>
          <w:color w:val="000000"/>
          <w:sz w:val="24"/>
          <w:vertAlign w:val="superscript"/>
        </w:rPr>
        <w:t>3</w:t>
      </w:r>
      <w:r>
        <w:rPr>
          <w:color w:val="000000"/>
          <w:sz w:val="24"/>
        </w:rPr>
        <w:t>. Объём заготовленной древесины арендаторами в 2023 году также снизился на 51,2% и составил 20,5 тыс. м</w:t>
      </w:r>
      <w:r>
        <w:rPr>
          <w:color w:val="000000"/>
          <w:sz w:val="24"/>
          <w:vertAlign w:val="superscript"/>
        </w:rPr>
        <w:t>3</w:t>
      </w:r>
      <w:r>
        <w:rPr>
          <w:color w:val="000000"/>
          <w:sz w:val="24"/>
        </w:rPr>
        <w:t xml:space="preserve"> (42,04 тыс. м</w:t>
      </w:r>
      <w:r>
        <w:rPr>
          <w:color w:val="000000"/>
          <w:sz w:val="24"/>
          <w:vertAlign w:val="superscript"/>
        </w:rPr>
        <w:t>3</w:t>
      </w:r>
      <w:r>
        <w:rPr>
          <w:color w:val="000000"/>
          <w:sz w:val="24"/>
        </w:rPr>
        <w:t xml:space="preserve"> в 2022 году), а по договорам купли-продажи, напротив, вырос на 130,4%, и составил 50,6 тыс. м</w:t>
      </w:r>
      <w:r>
        <w:rPr>
          <w:color w:val="000000"/>
          <w:sz w:val="24"/>
          <w:vertAlign w:val="superscript"/>
        </w:rPr>
        <w:t>3</w:t>
      </w:r>
      <w:r>
        <w:rPr>
          <w:color w:val="000000"/>
          <w:sz w:val="24"/>
        </w:rPr>
        <w:t xml:space="preserve"> (2022 год – 21,96 тыс. м</w:t>
      </w:r>
      <w:r>
        <w:rPr>
          <w:color w:val="000000"/>
          <w:sz w:val="24"/>
          <w:vertAlign w:val="superscript"/>
        </w:rPr>
        <w:t>3</w:t>
      </w:r>
      <w:r>
        <w:rPr>
          <w:color w:val="000000"/>
          <w:sz w:val="24"/>
        </w:rPr>
        <w:t>). Объем заготовки древесины при рубках, произведенных в целях геологического изучения недр и строительстве объектов, не связанных с лесной инфраструктурой составил 44,4 тыс. м</w:t>
      </w:r>
      <w:r>
        <w:rPr>
          <w:color w:val="000000"/>
          <w:sz w:val="24"/>
          <w:vertAlign w:val="superscript"/>
        </w:rPr>
        <w:t>3</w:t>
      </w:r>
      <w:r>
        <w:rPr>
          <w:color w:val="000000"/>
          <w:sz w:val="24"/>
        </w:rPr>
        <w:t xml:space="preserve"> и снизился на 56,2% по сравнению с предыдущим годом (69,36 тыс. м</w:t>
      </w:r>
      <w:r>
        <w:rPr>
          <w:color w:val="000000"/>
          <w:sz w:val="24"/>
          <w:vertAlign w:val="superscript"/>
        </w:rPr>
        <w:t>3</w:t>
      </w:r>
      <w:r>
        <w:rPr>
          <w:color w:val="000000"/>
          <w:sz w:val="24"/>
        </w:rPr>
        <w:t>). Гражданами для строительства жилых домов и хозяйственных построек, а также для целей отопления в 2023 году заготовлено 21,6 тыс. м</w:t>
      </w:r>
      <w:r>
        <w:rPr>
          <w:color w:val="000000"/>
          <w:sz w:val="24"/>
          <w:vertAlign w:val="superscript"/>
        </w:rPr>
        <w:t>3</w:t>
      </w:r>
      <w:r>
        <w:rPr>
          <w:color w:val="000000"/>
          <w:sz w:val="24"/>
        </w:rPr>
        <w:t>, что на 39,2%</w:t>
      </w:r>
      <w:r>
        <w:rPr>
          <w:color w:val="000000"/>
          <w:sz w:val="24"/>
        </w:rPr>
        <w:t xml:space="preserve"> меньше, чем в 2022 году (35,5 тыс. м</w:t>
      </w:r>
      <w:r>
        <w:rPr>
          <w:color w:val="000000"/>
          <w:sz w:val="24"/>
          <w:vertAlign w:val="superscript"/>
        </w:rPr>
        <w:t>3</w:t>
      </w:r>
      <w:r>
        <w:rPr>
          <w:color w:val="000000"/>
          <w:sz w:val="24"/>
        </w:rPr>
        <w:t>).</w:t>
      </w:r>
    </w:p>
    <w:p w14:paraId="CC050000">
      <w:pPr>
        <w:pStyle w:val="Style_2"/>
        <w:spacing w:after="0" w:before="0" w:line="240" w:lineRule="auto"/>
        <w:ind w:firstLine="709" w:left="20" w:right="20"/>
        <w:jc w:val="both"/>
        <w:rPr>
          <w:rFonts w:ascii="Times New Roman" w:hAnsi="Times New Roman"/>
        </w:rPr>
      </w:pPr>
      <w:r>
        <w:rPr>
          <w:color w:val="000000"/>
          <w:sz w:val="24"/>
        </w:rPr>
        <w:t xml:space="preserve">По данным, представленным лесопромышленниками: </w:t>
      </w:r>
    </w:p>
    <w:p w14:paraId="CD050000">
      <w:pPr>
        <w:pStyle w:val="Style_2"/>
        <w:widowControl w:val="1"/>
        <w:spacing w:after="0" w:before="0" w:line="240" w:lineRule="auto"/>
        <w:ind w:firstLine="737" w:left="0" w:right="0"/>
        <w:jc w:val="both"/>
        <w:rPr>
          <w:rFonts w:ascii="Times New Roman" w:hAnsi="Times New Roman"/>
        </w:rPr>
      </w:pPr>
      <w:r>
        <w:rPr>
          <w:color w:val="000000"/>
          <w:sz w:val="24"/>
        </w:rPr>
        <w:t xml:space="preserve">– </w:t>
      </w:r>
      <w:r>
        <w:rPr>
          <w:color w:val="000000"/>
          <w:sz w:val="24"/>
        </w:rPr>
        <w:t>заготовлено древесины – 20,5 тыс. м</w:t>
      </w:r>
      <w:r>
        <w:rPr>
          <w:color w:val="000000"/>
          <w:sz w:val="24"/>
          <w:vertAlign w:val="superscript"/>
        </w:rPr>
        <w:t>3</w:t>
      </w:r>
      <w:r>
        <w:rPr>
          <w:color w:val="000000"/>
          <w:sz w:val="24"/>
        </w:rPr>
        <w:t xml:space="preserve"> (-51,2% к 2022 году), из которой произведено 11,45 тыс. м</w:t>
      </w:r>
      <w:r>
        <w:rPr>
          <w:color w:val="000000"/>
          <w:sz w:val="24"/>
          <w:vertAlign w:val="superscript"/>
        </w:rPr>
        <w:t xml:space="preserve">3 </w:t>
      </w:r>
      <w:r>
        <w:rPr>
          <w:color w:val="000000"/>
          <w:sz w:val="24"/>
        </w:rPr>
        <w:t>лесоматериалов круглых (снижение на 78% к 2022 году),</w:t>
      </w:r>
    </w:p>
    <w:p w14:paraId="CE050000">
      <w:pPr>
        <w:pStyle w:val="Style_2"/>
        <w:widowControl w:val="1"/>
        <w:spacing w:after="0" w:before="0" w:line="240" w:lineRule="auto"/>
        <w:ind w:firstLine="737" w:left="0" w:right="0"/>
        <w:jc w:val="both"/>
        <w:rPr>
          <w:rFonts w:ascii="Times New Roman" w:hAnsi="Times New Roman"/>
        </w:rPr>
      </w:pPr>
      <w:r>
        <w:rPr>
          <w:color w:val="000000"/>
          <w:sz w:val="24"/>
        </w:rPr>
        <w:t xml:space="preserve">– </w:t>
      </w:r>
      <w:r>
        <w:rPr>
          <w:color w:val="000000"/>
          <w:sz w:val="24"/>
        </w:rPr>
        <w:t>поставлено на переработку 7,58 тыс. м</w:t>
      </w:r>
      <w:r>
        <w:rPr>
          <w:color w:val="000000"/>
          <w:sz w:val="24"/>
          <w:vertAlign w:val="superscript"/>
        </w:rPr>
        <w:t>3</w:t>
      </w:r>
      <w:r>
        <w:rPr>
          <w:color w:val="000000"/>
          <w:sz w:val="24"/>
        </w:rPr>
        <w:t xml:space="preserve"> (-34,6% к 2022 году), произведено пиломатериалов 1,94 тыс. м</w:t>
      </w:r>
      <w:r>
        <w:rPr>
          <w:color w:val="000000"/>
          <w:sz w:val="24"/>
          <w:vertAlign w:val="superscript"/>
        </w:rPr>
        <w:t>3</w:t>
      </w:r>
      <w:r>
        <w:rPr>
          <w:color w:val="000000"/>
          <w:sz w:val="24"/>
        </w:rPr>
        <w:t xml:space="preserve"> (-68,7% к 2022 году);</w:t>
      </w:r>
    </w:p>
    <w:p w14:paraId="CF050000">
      <w:pPr>
        <w:pStyle w:val="Style_2"/>
        <w:widowControl w:val="1"/>
        <w:spacing w:after="0" w:before="0" w:line="240" w:lineRule="auto"/>
        <w:ind w:firstLine="737" w:left="0" w:right="0"/>
        <w:jc w:val="both"/>
        <w:rPr>
          <w:rFonts w:ascii="Times New Roman" w:hAnsi="Times New Roman"/>
        </w:rPr>
      </w:pPr>
      <w:r>
        <w:rPr>
          <w:color w:val="000000"/>
          <w:sz w:val="24"/>
        </w:rPr>
        <w:t xml:space="preserve">– </w:t>
      </w:r>
      <w:r>
        <w:rPr>
          <w:color w:val="000000"/>
          <w:sz w:val="24"/>
        </w:rPr>
        <w:t>отгружено (реализовано) товарной продукции по лесопромышленному комплексу (без НДС, акцизов и других аналогичных платежей) – 53,3 млн руб. или на 3,9% меньше, чем в 2022 году.</w:t>
      </w:r>
    </w:p>
    <w:p w14:paraId="D0050000">
      <w:pPr>
        <w:pStyle w:val="Style_2"/>
        <w:widowControl w:val="1"/>
        <w:spacing w:after="0" w:before="0" w:line="240" w:lineRule="auto"/>
        <w:ind w:firstLine="737" w:left="0" w:right="0"/>
        <w:jc w:val="both"/>
        <w:rPr>
          <w:rFonts w:ascii="Times New Roman" w:hAnsi="Times New Roman"/>
        </w:rPr>
      </w:pPr>
      <w:r>
        <w:rPr>
          <w:color w:val="000000"/>
          <w:sz w:val="24"/>
        </w:rPr>
        <w:t>Себестоимость заготовки древесины в 2023 году составила 4 000,4 руб. и выросла по сравнению с 2022 годом вдвое. Средняя цена реализации круглых лесоматериалов в 2023 году составила 8 267,7 руб. Себестоимость производства пиломатериалов в 2023 году – 14 452, руб. (на уровне 2022 года). Средняя цена реализации пиломатериалов в 2023 году составила 18 357,89 руб./м</w:t>
      </w:r>
      <w:r>
        <w:rPr>
          <w:color w:val="000000"/>
          <w:sz w:val="24"/>
          <w:vertAlign w:val="superscript"/>
        </w:rPr>
        <w:t>3</w:t>
      </w:r>
      <w:r>
        <w:rPr>
          <w:color w:val="000000"/>
          <w:sz w:val="24"/>
        </w:rPr>
        <w:t>.</w:t>
      </w:r>
    </w:p>
    <w:p w14:paraId="D1050000">
      <w:pPr>
        <w:pStyle w:val="Style_2"/>
        <w:widowControl w:val="1"/>
        <w:spacing w:after="0" w:before="0" w:line="240" w:lineRule="auto"/>
        <w:ind w:firstLine="737" w:left="0" w:right="0"/>
        <w:jc w:val="both"/>
        <w:rPr>
          <w:rFonts w:ascii="Times New Roman" w:hAnsi="Times New Roman"/>
        </w:rPr>
      </w:pPr>
      <w:r>
        <w:rPr>
          <w:color w:val="000000"/>
          <w:sz w:val="24"/>
        </w:rPr>
        <w:t>Вся заготавливаемая древесина и произведенные пиломатериалы реализуются на внутреннем рынке Камчатского края. Вследствие низкой товарности леса на корню, от 40% до 60% заготовленной древесины реализуется в качестве дров.</w:t>
      </w:r>
    </w:p>
    <w:p w14:paraId="D2050000">
      <w:pPr>
        <w:pStyle w:val="Style_2"/>
        <w:widowControl w:val="1"/>
        <w:spacing w:after="0" w:before="0" w:line="240" w:lineRule="auto"/>
        <w:ind w:firstLine="737" w:left="0" w:right="0"/>
        <w:jc w:val="both"/>
        <w:rPr>
          <w:rFonts w:ascii="Times New Roman" w:hAnsi="Times New Roman"/>
        </w:rPr>
      </w:pPr>
      <w:r>
        <w:rPr>
          <w:color w:val="000000"/>
          <w:sz w:val="24"/>
        </w:rPr>
        <w:t>Внутренняя потребность в таких видах конечной продукции деревообработки, как дверные и оконные блоки, отделочные материалы, доски и прочее, оценивается не менее 1 тыс. м</w:t>
      </w:r>
      <w:r>
        <w:rPr>
          <w:color w:val="000000"/>
          <w:sz w:val="24"/>
          <w:vertAlign w:val="superscript"/>
        </w:rPr>
        <w:t>3</w:t>
      </w:r>
      <w:r>
        <w:rPr>
          <w:color w:val="000000"/>
          <w:sz w:val="24"/>
        </w:rPr>
        <w:t xml:space="preserve"> в год. Спрос на эти виды изделий из древесины удовлетворяется за счет ввоза из западных регионов страны.</w:t>
      </w:r>
    </w:p>
    <w:p w14:paraId="D3050000">
      <w:pPr>
        <w:pStyle w:val="Style_2"/>
        <w:widowControl w:val="1"/>
        <w:spacing w:after="0" w:before="0" w:line="240" w:lineRule="auto"/>
        <w:ind w:firstLine="737" w:left="0" w:right="0"/>
        <w:jc w:val="both"/>
        <w:rPr>
          <w:rFonts w:ascii="Times New Roman" w:hAnsi="Times New Roman"/>
        </w:rPr>
      </w:pPr>
      <w:r>
        <w:rPr>
          <w:color w:val="000000"/>
          <w:sz w:val="24"/>
        </w:rPr>
        <w:t>Сдерживающими факторами в развитии лесозаготовок и лесопереработки в Камчатском крае являются:</w:t>
      </w:r>
    </w:p>
    <w:p w14:paraId="D4050000">
      <w:pPr>
        <w:pStyle w:val="Style_2"/>
        <w:widowControl w:val="1"/>
        <w:spacing w:after="0" w:before="0" w:line="240" w:lineRule="auto"/>
        <w:ind w:firstLine="737" w:left="0" w:right="0"/>
        <w:jc w:val="both"/>
        <w:rPr>
          <w:rFonts w:ascii="Times New Roman" w:hAnsi="Times New Roman"/>
        </w:rPr>
      </w:pPr>
      <w:r>
        <w:rPr>
          <w:color w:val="000000"/>
          <w:sz w:val="24"/>
        </w:rPr>
        <w:t>1) низкая доступность лесных ресурсов, связанная с недостаточной развитостью транспортной сети (лесовозных и лесных дорог, отсутствие мостов);</w:t>
      </w:r>
    </w:p>
    <w:p w14:paraId="D5050000">
      <w:pPr>
        <w:pStyle w:val="Style_2"/>
        <w:widowControl w:val="1"/>
        <w:spacing w:after="0" w:before="0" w:line="240" w:lineRule="auto"/>
        <w:ind w:firstLine="737" w:left="0" w:right="0"/>
        <w:jc w:val="both"/>
        <w:rPr>
          <w:rFonts w:ascii="Times New Roman" w:hAnsi="Times New Roman"/>
        </w:rPr>
      </w:pPr>
      <w:r>
        <w:rPr>
          <w:color w:val="000000"/>
          <w:sz w:val="24"/>
        </w:rPr>
        <w:t>2) низкая товарность и деконцентрация древесных лесных ресурсов;</w:t>
      </w:r>
    </w:p>
    <w:p w14:paraId="D6050000">
      <w:pPr>
        <w:pStyle w:val="Style_2"/>
        <w:widowControl w:val="1"/>
        <w:spacing w:after="0" w:before="0" w:line="240" w:lineRule="auto"/>
        <w:ind w:firstLine="737" w:left="0" w:right="0"/>
        <w:jc w:val="both"/>
        <w:rPr>
          <w:rFonts w:ascii="Times New Roman" w:hAnsi="Times New Roman"/>
        </w:rPr>
      </w:pPr>
      <w:r>
        <w:rPr>
          <w:color w:val="000000"/>
          <w:sz w:val="24"/>
        </w:rPr>
        <w:t>3) удаленность рынков сбыта и высокие транспортные затраты;</w:t>
      </w:r>
    </w:p>
    <w:p w14:paraId="D7050000">
      <w:pPr>
        <w:pStyle w:val="Style_2"/>
        <w:widowControl w:val="1"/>
        <w:spacing w:after="0" w:before="0" w:line="240" w:lineRule="auto"/>
        <w:ind w:firstLine="737" w:left="0" w:right="0"/>
        <w:jc w:val="both"/>
        <w:rPr>
          <w:rFonts w:ascii="Times New Roman" w:hAnsi="Times New Roman"/>
        </w:rPr>
      </w:pPr>
      <w:r>
        <w:rPr>
          <w:color w:val="000000"/>
          <w:sz w:val="24"/>
        </w:rPr>
        <w:t>4) высокие проценты кредитов, нехватка оборотных средств, высокий уровень налогообложения;</w:t>
      </w:r>
    </w:p>
    <w:p w14:paraId="D8050000">
      <w:pPr>
        <w:pStyle w:val="Style_2"/>
        <w:widowControl w:val="1"/>
        <w:spacing w:after="0" w:before="0" w:line="240" w:lineRule="auto"/>
        <w:ind w:firstLine="737" w:left="0" w:right="0"/>
        <w:jc w:val="both"/>
        <w:rPr>
          <w:rFonts w:ascii="Times New Roman" w:hAnsi="Times New Roman"/>
        </w:rPr>
      </w:pPr>
      <w:r>
        <w:rPr>
          <w:color w:val="000000"/>
          <w:sz w:val="24"/>
        </w:rPr>
        <w:t>5) реальная экономически доступная расчетная лесосека значительно ниже официальной из-за несоответствия материалов лесоустройства количественным и качественным характеристикам древостоя;</w:t>
      </w:r>
    </w:p>
    <w:p w14:paraId="D9050000">
      <w:pPr>
        <w:pStyle w:val="Style_2"/>
        <w:widowControl w:val="1"/>
        <w:spacing w:after="0" w:before="0" w:line="240" w:lineRule="auto"/>
        <w:ind w:firstLine="737" w:left="0" w:right="0"/>
        <w:jc w:val="both"/>
        <w:rPr>
          <w:rFonts w:ascii="Times New Roman" w:hAnsi="Times New Roman"/>
        </w:rPr>
      </w:pPr>
      <w:r>
        <w:rPr>
          <w:color w:val="000000"/>
          <w:sz w:val="24"/>
        </w:rPr>
        <w:t>6) ярко выраженная по природным условиям (зимний период) сезонность заготовки древесины.</w:t>
      </w:r>
    </w:p>
    <w:p w14:paraId="DA050000">
      <w:pPr>
        <w:pStyle w:val="Style_2"/>
        <w:widowControl w:val="1"/>
        <w:spacing w:after="0" w:before="0" w:line="240" w:lineRule="auto"/>
        <w:ind w:firstLine="737" w:left="0" w:right="0"/>
        <w:jc w:val="both"/>
        <w:rPr>
          <w:rFonts w:ascii="Times New Roman" w:hAnsi="Times New Roman"/>
        </w:rPr>
      </w:pPr>
      <w:r>
        <w:rPr>
          <w:color w:val="000000"/>
          <w:sz w:val="24"/>
        </w:rPr>
        <w:t>Самыми острыми проблемами развития лесопромышленного комплекса являются крайне низкая инвестиционная деятельность, недостаточное количество магистральных лесовозных дорог на арендованных участках лесного фонда и слабое техническое оснащение предприятий комплекса для переработки мелкотоварной древесины.</w:t>
      </w:r>
    </w:p>
    <w:p w14:paraId="DB050000">
      <w:pPr>
        <w:pStyle w:val="Style_2"/>
        <w:widowControl w:val="1"/>
        <w:spacing w:after="0" w:before="0" w:line="240" w:lineRule="auto"/>
        <w:ind w:firstLine="737" w:left="0" w:right="0"/>
        <w:jc w:val="both"/>
        <w:rPr>
          <w:rFonts w:ascii="Times New Roman" w:hAnsi="Times New Roman"/>
        </w:rPr>
      </w:pPr>
      <w:r>
        <w:rPr>
          <w:color w:val="000000"/>
          <w:sz w:val="24"/>
        </w:rPr>
        <w:t>Кроме того, ежегодно снижается количество организаций, занимающихся заготовкой и переработкой древесины. Так, на территории Камчатского края в 2017 году зарегистрировано 26 лесопользователей, по состоянию на 1 января 2024 года в Камчатском крае 21 действующий договор аренды лесных участков для заготовки древесины, заключенный с 15 юридическими лицами и индивидуальными предпринимателями, так же на рынке деревообработки действуют 2 учреждения с государственным участием.</w:t>
      </w:r>
    </w:p>
    <w:p w14:paraId="DC050000">
      <w:pPr>
        <w:pStyle w:val="Style_2"/>
        <w:widowControl w:val="1"/>
        <w:spacing w:after="0" w:before="0" w:line="240" w:lineRule="auto"/>
        <w:ind w:firstLine="737" w:left="0" w:right="0"/>
        <w:jc w:val="both"/>
        <w:rPr>
          <w:rFonts w:ascii="Times New Roman" w:hAnsi="Times New Roman"/>
        </w:rPr>
      </w:pPr>
      <w:r>
        <w:rPr>
          <w:color w:val="000000"/>
          <w:sz w:val="24"/>
        </w:rPr>
        <w:t>Прогноз по заключению новых договоров аренды лесных участков в целях заготовки древесины остается негативным по причинам: устаревших материалов лесоустройства (отсутствие достоверных сведений о количественных и качественных характеристиках лесных насаждений); обязательности государственного кадастрового учета лесных участков до предоставления их в пользование; низкой доступности лесных ресурсов, связанных с недостаточной развитостью транспортной сети (лесовозных и лесных дорог, отсутствие мостов через основные водные артерии Камчатского края); низкой товарностью и деконцентрацией древесных лесных ресурсов.</w:t>
      </w:r>
    </w:p>
    <w:p w14:paraId="DD050000">
      <w:pPr>
        <w:pStyle w:val="Style_2"/>
        <w:widowControl w:val="1"/>
        <w:spacing w:after="0" w:before="0" w:line="240" w:lineRule="auto"/>
        <w:ind w:firstLine="737" w:left="0" w:right="0"/>
        <w:jc w:val="both"/>
        <w:rPr>
          <w:rFonts w:ascii="Times New Roman" w:hAnsi="Times New Roman"/>
        </w:rPr>
      </w:pPr>
      <w:r>
        <w:rPr>
          <w:color w:val="000000"/>
          <w:sz w:val="24"/>
        </w:rPr>
        <w:t>С учетом истощения доступной существующей лесоресурсной базы, неразвитостью лесной инфраструктуры, довольно длинным плечом (более 350 км) вывоза продукции лесопромышленного комплекса на основные рынки сбыта (г. Петропавловск-Камчатский, г. Елизово), низкой инвестиционной активности существенного увеличения заготовки древесины в Камчатском крае в ближайшие 3</w:t>
      </w:r>
      <w:r>
        <w:rPr>
          <w:color w:val="000000"/>
          <w:sz w:val="24"/>
        </w:rPr>
        <w:t>–</w:t>
      </w:r>
      <w:r>
        <w:rPr>
          <w:color w:val="000000"/>
          <w:sz w:val="24"/>
        </w:rPr>
        <w:t>5 лет не предвидится.</w:t>
      </w:r>
    </w:p>
    <w:p w14:paraId="DE050000">
      <w:pPr>
        <w:pStyle w:val="Style_2"/>
        <w:widowControl w:val="1"/>
        <w:spacing w:after="0" w:before="0" w:line="240" w:lineRule="auto"/>
        <w:ind w:firstLine="737" w:left="0" w:right="0"/>
        <w:jc w:val="both"/>
        <w:rPr>
          <w:rFonts w:ascii="Times New Roman" w:hAnsi="Times New Roman"/>
        </w:rPr>
      </w:pPr>
      <w:r>
        <w:rPr>
          <w:color w:val="000000"/>
          <w:sz w:val="24"/>
        </w:rPr>
        <w:t>В 2024 году прогнозируется, что заготовка древесины незначительно увеличится по сравнению с 2023 годом в связи с планируемым заключением новых договоров купли-продажи лесных насаждений. Предполагается, что влияние экономических санкций, введенных в отношении Российской Федерации, будет минимальным в отношении работы лесопромышленного комплекса Камчатского края, так как вся продукция комплекса производится исключительно для внутреннего рынка края и не является экспортным товаром.</w:t>
      </w:r>
    </w:p>
    <w:p w14:paraId="DF050000">
      <w:pPr>
        <w:pStyle w:val="Style_2"/>
        <w:widowControl w:val="1"/>
        <w:spacing w:after="0" w:before="0" w:line="240" w:lineRule="auto"/>
        <w:ind w:firstLine="737" w:left="0" w:right="0"/>
        <w:jc w:val="both"/>
        <w:rPr>
          <w:rFonts w:ascii="Times New Roman" w:hAnsi="Times New Roman"/>
        </w:rPr>
      </w:pPr>
      <w:r>
        <w:rPr>
          <w:color w:val="000000"/>
          <w:sz w:val="24"/>
        </w:rPr>
        <w:t>Несмотря на стабильный спрос со стороны населения на местную производимую продукцию стабильный, объем отгруженных товаров собственного производства, выполненных работ и услуг собственными силами по виду деятельности «Лесозаготовки» в прогнозном периоде не увеличится.</w:t>
      </w:r>
    </w:p>
    <w:p w14:paraId="E0050000">
      <w:pPr>
        <w:pStyle w:val="Style_2"/>
        <w:widowControl w:val="1"/>
        <w:spacing w:after="0" w:before="0" w:line="240" w:lineRule="auto"/>
        <w:ind w:firstLine="737" w:left="0" w:right="0"/>
        <w:jc w:val="both"/>
        <w:rPr>
          <w:rFonts w:ascii="Times New Roman" w:hAnsi="Times New Roman"/>
        </w:rPr>
      </w:pPr>
      <w:r>
        <w:rPr>
          <w:color w:val="000000"/>
          <w:sz w:val="24"/>
        </w:rPr>
        <w:t xml:space="preserve">Согласно базовому варианту прогноза в 2024 году уровень производства лесоматериалов уменьшится на 3,5%. В 2025–2027 годах при условии развития лесной инфраструктуры возможен рост производства лесоматериалов до 1,0% в год. </w:t>
      </w:r>
    </w:p>
    <w:p w14:paraId="E1050000">
      <w:pPr>
        <w:pStyle w:val="Style_2"/>
        <w:widowControl w:val="1"/>
        <w:spacing w:after="0" w:before="0" w:line="240" w:lineRule="auto"/>
        <w:ind w:firstLine="737" w:left="0" w:right="0"/>
        <w:jc w:val="both"/>
        <w:rPr>
          <w:rFonts w:ascii="Times New Roman" w:hAnsi="Times New Roman"/>
        </w:rPr>
      </w:pPr>
      <w:r>
        <w:rPr>
          <w:color w:val="000000"/>
          <w:sz w:val="24"/>
        </w:rPr>
        <w:t xml:space="preserve">В случае развития экономики по консервативному варианту уровень производства лесоматериалов в 2024 году снизится на 4,3%, в 2025 году </w:t>
      </w:r>
      <w:r>
        <w:rPr>
          <w:color w:val="000000"/>
          <w:sz w:val="24"/>
        </w:rPr>
        <w:t>–</w:t>
      </w:r>
      <w:r>
        <w:rPr>
          <w:color w:val="000000"/>
          <w:sz w:val="24"/>
        </w:rPr>
        <w:t xml:space="preserve"> на 1%. В 2026–2027 годах производство сохранится на уровне 2025 года. </w:t>
      </w:r>
    </w:p>
    <w:p w14:paraId="E2050000">
      <w:pPr>
        <w:pStyle w:val="Style_2"/>
        <w:widowControl w:val="1"/>
        <w:spacing w:after="0" w:before="0" w:line="240" w:lineRule="auto"/>
        <w:ind w:firstLine="737" w:left="0" w:right="0"/>
        <w:jc w:val="both"/>
        <w:rPr>
          <w:rFonts w:ascii="Times New Roman" w:hAnsi="Times New Roman"/>
          <w:sz w:val="24"/>
        </w:rPr>
      </w:pPr>
    </w:p>
    <w:p w14:paraId="E3050000">
      <w:pPr>
        <w:pStyle w:val="Style_2"/>
        <w:spacing w:line="240" w:lineRule="auto"/>
        <w:ind/>
        <w:rPr>
          <w:rFonts w:ascii="Times New Roman" w:hAnsi="Times New Roman"/>
        </w:rPr>
      </w:pPr>
      <w:r>
        <w:rPr>
          <w:b w:val="1"/>
          <w:color w:val="000000"/>
        </w:rPr>
        <w:t>22. Туристическая деятельность</w:t>
      </w:r>
    </w:p>
    <w:p w14:paraId="E4050000">
      <w:pPr>
        <w:pStyle w:val="Style_2"/>
        <w:spacing w:line="240" w:lineRule="auto"/>
        <w:ind w:firstLine="709" w:left="0" w:right="0"/>
        <w:jc w:val="both"/>
        <w:rPr>
          <w:rFonts w:ascii="Times New Roman" w:hAnsi="Times New Roman"/>
        </w:rPr>
      </w:pPr>
      <w:r>
        <w:t xml:space="preserve">Туристическая отрасль Камчатского края на конец 2023 года включала: 139 туристических операторов (2022 год – 132 туроператора), 381 компанию – туристских агентов (2022 год – 241 турагент), 252 пункта общественного питания (2022 год – 241 пункт), 190 единиц коллективных средств размещения (2022 год – 173 КСР). </w:t>
      </w:r>
    </w:p>
    <w:p w14:paraId="E5050000">
      <w:pPr>
        <w:pStyle w:val="Style_2"/>
        <w:spacing w:line="240" w:lineRule="auto"/>
        <w:ind w:firstLine="709" w:left="0" w:right="0"/>
        <w:jc w:val="both"/>
        <w:rPr>
          <w:rFonts w:ascii="Times New Roman" w:hAnsi="Times New Roman"/>
        </w:rPr>
      </w:pPr>
      <w:r>
        <w:t>Камчатка на протяжении достаточно длительного периода характеризуется устойчивым ростом потока международных туристов. Развитие туризма предъявляет достаточно высокие требования к качеству предоставляемых услуг, что в свою очередь требует развития туристской инфраструктуры и подготовки высококвалифицированных туристских кадров. Кроме того, требует активного продвижения брэнда края и отдельных турпродуктов за рубежом.</w:t>
      </w:r>
    </w:p>
    <w:p w14:paraId="E6050000">
      <w:pPr>
        <w:pStyle w:val="Style_2"/>
        <w:spacing w:line="240" w:lineRule="auto"/>
        <w:ind w:firstLine="567" w:left="0" w:right="0"/>
        <w:jc w:val="both"/>
        <w:rPr>
          <w:rFonts w:ascii="Times New Roman" w:hAnsi="Times New Roman"/>
        </w:rPr>
      </w:pPr>
    </w:p>
    <w:p w14:paraId="E7050000">
      <w:pPr>
        <w:pStyle w:val="Style_2"/>
        <w:spacing w:line="240" w:lineRule="auto"/>
        <w:ind w:firstLine="708" w:left="0" w:right="0"/>
        <w:jc w:val="center"/>
        <w:rPr>
          <w:rFonts w:ascii="Times New Roman" w:hAnsi="Times New Roman"/>
        </w:rPr>
      </w:pPr>
      <w:r>
        <w:rPr>
          <w:b w:val="0"/>
        </w:rPr>
        <w:t>Динамика обслуженных туристов с 2021 по 2023 годы (чел.)</w:t>
      </w:r>
    </w:p>
    <w:tbl>
      <w:tblPr>
        <w:tblStyle w:val="Style_6"/>
        <w:tblInd w:type="dxa" w:w="108"/>
        <w:tblLayout w:type="fixed"/>
        <w:tblCellMar>
          <w:top w:type="dxa" w:w="0"/>
          <w:left w:type="dxa" w:w="108"/>
          <w:bottom w:type="dxa" w:w="0"/>
          <w:right w:type="dxa" w:w="108"/>
        </w:tblCellMar>
      </w:tblPr>
      <w:tblGrid>
        <w:gridCol w:w="5588"/>
        <w:gridCol w:w="1509"/>
        <w:gridCol w:w="1497"/>
        <w:gridCol w:w="1503"/>
      </w:tblGrid>
      <w:tr>
        <w:trPr>
          <w:trHeight w:hRule="atLeast" w:val="507"/>
        </w:trPr>
        <w:tc>
          <w:tcPr>
            <w:tcW w:type="dxa" w:w="5588"/>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vAlign w:val="center"/>
          </w:tcPr>
          <w:p w14:paraId="E8050000">
            <w:pPr>
              <w:pStyle w:val="Style_2"/>
              <w:widowControl w:val="1"/>
              <w:spacing w:after="0" w:before="0" w:line="240" w:lineRule="auto"/>
              <w:ind w:firstLine="0" w:left="0" w:right="0"/>
              <w:jc w:val="center"/>
              <w:rPr>
                <w:rFonts w:ascii="Times New Roman" w:hAnsi="Times New Roman"/>
                <w:b w:val="0"/>
                <w:color w:val="000000"/>
                <w:spacing w:val="0"/>
                <w:sz w:val="22"/>
              </w:rPr>
            </w:pPr>
          </w:p>
        </w:tc>
        <w:tc>
          <w:tcPr>
            <w:tcW w:type="dxa" w:w="150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9050000">
            <w:pPr>
              <w:pStyle w:val="Style_2"/>
              <w:widowControl w:val="1"/>
              <w:spacing w:after="0" w:before="0" w:line="240" w:lineRule="auto"/>
              <w:ind w:firstLine="0" w:left="0" w:right="0"/>
              <w:jc w:val="center"/>
              <w:rPr>
                <w:rFonts w:ascii="Times New Roman" w:hAnsi="Times New Roman"/>
              </w:rPr>
            </w:pPr>
            <w:r>
              <w:rPr>
                <w:b w:val="0"/>
                <w:color w:val="000000"/>
                <w:spacing w:val="0"/>
                <w:sz w:val="22"/>
              </w:rPr>
              <w:t>2021 год</w:t>
            </w:r>
          </w:p>
        </w:tc>
        <w:tc>
          <w:tcPr>
            <w:tcW w:type="dxa" w:w="149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A050000">
            <w:pPr>
              <w:pStyle w:val="Style_2"/>
              <w:widowControl w:val="1"/>
              <w:spacing w:after="0" w:before="0" w:line="240" w:lineRule="auto"/>
              <w:ind w:firstLine="0" w:left="0" w:right="0"/>
              <w:jc w:val="center"/>
              <w:rPr>
                <w:rFonts w:ascii="Times New Roman" w:hAnsi="Times New Roman"/>
              </w:rPr>
            </w:pPr>
            <w:r>
              <w:rPr>
                <w:b w:val="0"/>
                <w:color w:val="000000"/>
                <w:spacing w:val="0"/>
                <w:sz w:val="22"/>
              </w:rPr>
              <w:t>2022 год</w:t>
            </w:r>
          </w:p>
        </w:tc>
        <w:tc>
          <w:tcPr>
            <w:tcW w:type="dxa" w:w="150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B050000">
            <w:pPr>
              <w:pStyle w:val="Style_2"/>
              <w:widowControl w:val="1"/>
              <w:spacing w:after="0" w:before="0" w:line="240" w:lineRule="auto"/>
              <w:ind w:firstLine="0" w:left="0" w:right="0"/>
              <w:jc w:val="center"/>
              <w:rPr>
                <w:rFonts w:ascii="Times New Roman" w:hAnsi="Times New Roman"/>
              </w:rPr>
            </w:pPr>
            <w:r>
              <w:rPr>
                <w:b w:val="0"/>
                <w:color w:val="000000"/>
                <w:spacing w:val="0"/>
                <w:sz w:val="22"/>
              </w:rPr>
              <w:t>2023 год</w:t>
            </w:r>
          </w:p>
        </w:tc>
      </w:tr>
      <w:tr>
        <w:trPr>
          <w:trHeight w:hRule="atLeast" w:val="441"/>
        </w:trPr>
        <w:tc>
          <w:tcPr>
            <w:tcW w:type="dxa" w:w="5588"/>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EC050000">
            <w:pPr>
              <w:pStyle w:val="Style_2"/>
              <w:widowControl w:val="1"/>
              <w:spacing w:after="0" w:before="0" w:line="240" w:lineRule="auto"/>
              <w:ind w:firstLine="0" w:left="0" w:right="0"/>
              <w:jc w:val="left"/>
              <w:rPr>
                <w:rFonts w:ascii="Times New Roman" w:hAnsi="Times New Roman"/>
              </w:rPr>
            </w:pPr>
            <w:r>
              <w:rPr>
                <w:b w:val="0"/>
                <w:color w:val="000000"/>
                <w:spacing w:val="0"/>
                <w:sz w:val="22"/>
              </w:rPr>
              <w:t>Общее число обслуженных туристов,</w:t>
            </w:r>
          </w:p>
          <w:p w14:paraId="ED050000">
            <w:pPr>
              <w:pStyle w:val="Style_2"/>
              <w:widowControl w:val="1"/>
              <w:spacing w:after="0" w:before="0" w:line="240" w:lineRule="auto"/>
              <w:ind w:firstLine="0" w:left="0" w:right="0"/>
              <w:jc w:val="left"/>
              <w:rPr>
                <w:rFonts w:ascii="Times New Roman" w:hAnsi="Times New Roman"/>
              </w:rPr>
            </w:pPr>
            <w:r>
              <w:rPr>
                <w:b w:val="0"/>
                <w:color w:val="000000"/>
                <w:spacing w:val="0"/>
                <w:sz w:val="22"/>
              </w:rPr>
              <w:t>в том числе:</w:t>
            </w:r>
          </w:p>
        </w:tc>
        <w:tc>
          <w:tcPr>
            <w:tcW w:type="dxa" w:w="150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E050000">
            <w:pPr>
              <w:pStyle w:val="Style_2"/>
              <w:widowControl w:val="1"/>
              <w:spacing w:after="0" w:before="0" w:line="240" w:lineRule="auto"/>
              <w:ind w:firstLine="0" w:left="0" w:right="0"/>
              <w:jc w:val="center"/>
              <w:rPr>
                <w:rFonts w:ascii="Times New Roman" w:hAnsi="Times New Roman"/>
              </w:rPr>
            </w:pPr>
            <w:r>
              <w:rPr>
                <w:b w:val="0"/>
                <w:color w:val="000000"/>
                <w:spacing w:val="0"/>
                <w:sz w:val="22"/>
              </w:rPr>
              <w:t>245 380</w:t>
            </w:r>
          </w:p>
        </w:tc>
        <w:tc>
          <w:tcPr>
            <w:tcW w:type="dxa" w:w="149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EF050000">
            <w:pPr>
              <w:pStyle w:val="Style_2"/>
              <w:widowControl w:val="1"/>
              <w:spacing w:after="0" w:before="0" w:line="240" w:lineRule="auto"/>
              <w:ind w:firstLine="0" w:left="0" w:right="0"/>
              <w:jc w:val="center"/>
              <w:rPr>
                <w:rFonts w:ascii="Times New Roman" w:hAnsi="Times New Roman"/>
              </w:rPr>
            </w:pPr>
            <w:r>
              <w:rPr>
                <w:b w:val="0"/>
                <w:color w:val="000000"/>
                <w:spacing w:val="0"/>
                <w:sz w:val="22"/>
              </w:rPr>
              <w:t>339 295</w:t>
            </w:r>
          </w:p>
        </w:tc>
        <w:tc>
          <w:tcPr>
            <w:tcW w:type="dxa" w:w="150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0050000">
            <w:pPr>
              <w:pStyle w:val="Style_2"/>
              <w:widowControl w:val="1"/>
              <w:spacing w:after="0" w:before="0" w:line="240" w:lineRule="auto"/>
              <w:ind w:firstLine="0" w:left="0" w:right="0"/>
              <w:jc w:val="center"/>
              <w:rPr>
                <w:rFonts w:ascii="Times New Roman" w:hAnsi="Times New Roman"/>
              </w:rPr>
            </w:pPr>
            <w:r>
              <w:rPr>
                <w:b w:val="0"/>
                <w:color w:val="000000"/>
                <w:spacing w:val="0"/>
                <w:sz w:val="22"/>
              </w:rPr>
              <w:t>367 582</w:t>
            </w:r>
          </w:p>
        </w:tc>
      </w:tr>
      <w:tr>
        <w:trPr>
          <w:trHeight w:hRule="atLeast" w:val="349"/>
        </w:trPr>
        <w:tc>
          <w:tcPr>
            <w:tcW w:type="dxa" w:w="5588"/>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F1050000">
            <w:pPr>
              <w:pStyle w:val="Style_2"/>
              <w:widowControl w:val="1"/>
              <w:spacing w:after="0" w:before="0" w:line="240" w:lineRule="auto"/>
              <w:ind w:firstLine="0" w:left="0" w:right="0"/>
              <w:jc w:val="left"/>
              <w:rPr>
                <w:rFonts w:ascii="Times New Roman" w:hAnsi="Times New Roman"/>
              </w:rPr>
            </w:pPr>
            <w:r>
              <w:rPr>
                <w:b w:val="0"/>
                <w:color w:val="000000"/>
                <w:spacing w:val="0"/>
                <w:sz w:val="22"/>
              </w:rPr>
              <w:t>количество обслуженных иностранных туристов</w:t>
            </w:r>
          </w:p>
        </w:tc>
        <w:tc>
          <w:tcPr>
            <w:tcW w:type="dxa" w:w="150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2050000">
            <w:pPr>
              <w:pStyle w:val="Style_2"/>
              <w:widowControl w:val="1"/>
              <w:spacing w:after="0" w:before="0" w:line="240" w:lineRule="auto"/>
              <w:ind w:firstLine="0" w:left="0" w:right="0"/>
              <w:jc w:val="center"/>
              <w:rPr>
                <w:rFonts w:ascii="Times New Roman" w:hAnsi="Times New Roman"/>
              </w:rPr>
            </w:pPr>
            <w:r>
              <w:rPr>
                <w:b w:val="0"/>
                <w:color w:val="000000"/>
                <w:spacing w:val="0"/>
                <w:sz w:val="22"/>
              </w:rPr>
              <w:t>13 260</w:t>
            </w:r>
          </w:p>
        </w:tc>
        <w:tc>
          <w:tcPr>
            <w:tcW w:type="dxa" w:w="149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3050000">
            <w:pPr>
              <w:pStyle w:val="Style_2"/>
              <w:widowControl w:val="1"/>
              <w:spacing w:after="0" w:before="0" w:line="240" w:lineRule="auto"/>
              <w:ind w:firstLine="0" w:left="0" w:right="0"/>
              <w:jc w:val="center"/>
              <w:rPr>
                <w:rFonts w:ascii="Times New Roman" w:hAnsi="Times New Roman"/>
              </w:rPr>
            </w:pPr>
            <w:r>
              <w:rPr>
                <w:b w:val="0"/>
                <w:color w:val="000000"/>
                <w:spacing w:val="0"/>
                <w:sz w:val="22"/>
              </w:rPr>
              <w:t>14 153</w:t>
            </w:r>
          </w:p>
        </w:tc>
        <w:tc>
          <w:tcPr>
            <w:tcW w:type="dxa" w:w="150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4050000">
            <w:pPr>
              <w:pStyle w:val="Style_2"/>
              <w:widowControl w:val="1"/>
              <w:spacing w:after="0" w:before="0" w:line="240" w:lineRule="auto"/>
              <w:ind w:firstLine="0" w:left="0" w:right="0"/>
              <w:jc w:val="center"/>
              <w:rPr>
                <w:rFonts w:ascii="Times New Roman" w:hAnsi="Times New Roman"/>
              </w:rPr>
            </w:pPr>
            <w:r>
              <w:rPr>
                <w:b w:val="0"/>
                <w:color w:val="000000"/>
                <w:spacing w:val="0"/>
                <w:sz w:val="22"/>
              </w:rPr>
              <w:t>15 717</w:t>
            </w:r>
          </w:p>
        </w:tc>
      </w:tr>
      <w:tr>
        <w:trPr>
          <w:trHeight w:hRule="atLeast" w:val="425"/>
        </w:trPr>
        <w:tc>
          <w:tcPr>
            <w:tcW w:type="dxa" w:w="5588"/>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F5050000">
            <w:pPr>
              <w:pStyle w:val="Style_2"/>
              <w:widowControl w:val="1"/>
              <w:spacing w:after="0" w:before="0" w:line="240" w:lineRule="auto"/>
              <w:ind w:firstLine="0" w:left="0" w:right="0"/>
              <w:jc w:val="left"/>
              <w:rPr>
                <w:rFonts w:ascii="Times New Roman" w:hAnsi="Times New Roman"/>
              </w:rPr>
            </w:pPr>
            <w:r>
              <w:rPr>
                <w:b w:val="0"/>
                <w:color w:val="000000"/>
                <w:spacing w:val="0"/>
                <w:sz w:val="22"/>
              </w:rPr>
              <w:t>количество обслуженных российских туристов, включая жителей Камчатского края</w:t>
            </w:r>
          </w:p>
        </w:tc>
        <w:tc>
          <w:tcPr>
            <w:tcW w:type="dxa" w:w="150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6050000">
            <w:pPr>
              <w:pStyle w:val="Style_2"/>
              <w:widowControl w:val="1"/>
              <w:spacing w:after="0" w:before="0" w:line="240" w:lineRule="auto"/>
              <w:ind w:firstLine="0" w:left="0" w:right="0"/>
              <w:jc w:val="center"/>
              <w:rPr>
                <w:rFonts w:ascii="Times New Roman" w:hAnsi="Times New Roman"/>
              </w:rPr>
            </w:pPr>
            <w:r>
              <w:rPr>
                <w:b w:val="0"/>
                <w:color w:val="000000"/>
                <w:spacing w:val="0"/>
                <w:sz w:val="22"/>
              </w:rPr>
              <w:t>232 120</w:t>
            </w:r>
          </w:p>
        </w:tc>
        <w:tc>
          <w:tcPr>
            <w:tcW w:type="dxa" w:w="149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7050000">
            <w:pPr>
              <w:pStyle w:val="Style_2"/>
              <w:widowControl w:val="1"/>
              <w:spacing w:after="0" w:before="0" w:line="240" w:lineRule="auto"/>
              <w:ind w:firstLine="0" w:left="0" w:right="0"/>
              <w:jc w:val="center"/>
              <w:rPr>
                <w:rFonts w:ascii="Times New Roman" w:hAnsi="Times New Roman"/>
              </w:rPr>
            </w:pPr>
            <w:r>
              <w:rPr>
                <w:b w:val="0"/>
                <w:color w:val="000000"/>
                <w:spacing w:val="0"/>
                <w:sz w:val="22"/>
              </w:rPr>
              <w:t>325 142</w:t>
            </w:r>
          </w:p>
        </w:tc>
        <w:tc>
          <w:tcPr>
            <w:tcW w:type="dxa" w:w="150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F8050000">
            <w:pPr>
              <w:pStyle w:val="Style_2"/>
              <w:widowControl w:val="1"/>
              <w:spacing w:after="0" w:before="0" w:line="240" w:lineRule="auto"/>
              <w:ind w:firstLine="0" w:left="0" w:right="0"/>
              <w:jc w:val="center"/>
              <w:rPr>
                <w:rFonts w:ascii="Times New Roman" w:hAnsi="Times New Roman"/>
              </w:rPr>
            </w:pPr>
            <w:r>
              <w:rPr>
                <w:b w:val="0"/>
                <w:color w:val="000000"/>
                <w:spacing w:val="0"/>
                <w:sz w:val="22"/>
              </w:rPr>
              <w:t>351 865</w:t>
            </w:r>
          </w:p>
        </w:tc>
      </w:tr>
    </w:tbl>
    <w:p w14:paraId="F9050000">
      <w:pPr>
        <w:pStyle w:val="Style_2"/>
        <w:spacing w:line="240" w:lineRule="auto"/>
        <w:ind w:firstLine="709" w:left="0" w:right="0"/>
        <w:jc w:val="both"/>
        <w:rPr>
          <w:rFonts w:ascii="Times New Roman" w:hAnsi="Times New Roman"/>
          <w:b w:val="0"/>
        </w:rPr>
      </w:pPr>
    </w:p>
    <w:p w14:paraId="FA050000">
      <w:pPr>
        <w:pStyle w:val="Style_2"/>
        <w:spacing w:after="0" w:before="0" w:line="240" w:lineRule="auto"/>
        <w:ind w:firstLine="708" w:left="0" w:right="0"/>
        <w:jc w:val="both"/>
        <w:rPr>
          <w:rFonts w:ascii="Times New Roman" w:hAnsi="Times New Roman"/>
        </w:rPr>
      </w:pPr>
      <w:r>
        <w:t>В связи с ограничениями по выездному туризму из-за политической ситуации в 2023 году продолжилось развитие внутреннего туризма. Немаловажный фактор, влияющий на спрос – наличие полетных программ. Закрытие южных аэропортов России значительно повлияло на транспортную доступность ряда регионов, куда туристы были вынуждены добираться железнодорожным или личным автомобильным транспортом. Картину внутреннего туризма на Камчатку улучшили набирающие популярность внутрироссийские чартеры. В итоге в 2023 году объем туристского потока увеличился на 8% по сравнению с 2022 годом.</w:t>
      </w:r>
    </w:p>
    <w:p w14:paraId="FB050000">
      <w:pPr>
        <w:pStyle w:val="Style_2"/>
        <w:spacing w:line="240" w:lineRule="auto"/>
        <w:ind w:firstLine="709" w:left="0" w:right="0"/>
        <w:jc w:val="both"/>
        <w:rPr>
          <w:rFonts w:ascii="Times New Roman" w:hAnsi="Times New Roman"/>
        </w:rPr>
      </w:pPr>
      <w:r>
        <w:t>Общее же количество иностранных граждан, посетивших регион в 2023 году, составило немногим более 15 тысяч человек, – это порядка 4% от общей доли туристов.</w:t>
      </w:r>
    </w:p>
    <w:p w14:paraId="FC050000">
      <w:pPr>
        <w:pStyle w:val="Style_2"/>
        <w:spacing w:line="240" w:lineRule="auto"/>
        <w:ind w:firstLine="567" w:left="0" w:right="0"/>
        <w:jc w:val="both"/>
        <w:rPr>
          <w:rFonts w:ascii="Times New Roman" w:hAnsi="Times New Roman"/>
        </w:rPr>
      </w:pPr>
    </w:p>
    <w:p w14:paraId="FD050000">
      <w:pPr>
        <w:pStyle w:val="Style_2"/>
        <w:spacing w:line="240" w:lineRule="auto"/>
        <w:ind w:firstLine="567" w:left="0" w:right="0"/>
        <w:jc w:val="center"/>
        <w:rPr>
          <w:rFonts w:ascii="Times New Roman" w:hAnsi="Times New Roman"/>
        </w:rPr>
      </w:pPr>
      <w:r>
        <w:rPr>
          <w:b w:val="0"/>
        </w:rPr>
        <w:t xml:space="preserve">Динамика численности лиц, обслуженных средствами размещения </w:t>
      </w:r>
    </w:p>
    <w:p w14:paraId="FE050000">
      <w:pPr>
        <w:pStyle w:val="Style_2"/>
        <w:spacing w:line="240" w:lineRule="auto"/>
        <w:ind w:firstLine="567" w:left="0" w:right="0"/>
        <w:jc w:val="center"/>
        <w:rPr>
          <w:rFonts w:ascii="Times New Roman" w:hAnsi="Times New Roman"/>
        </w:rPr>
      </w:pPr>
      <w:r>
        <w:rPr>
          <w:b w:val="0"/>
        </w:rPr>
        <w:t>с 2021 по 2023 годы (чел.)</w:t>
      </w:r>
    </w:p>
    <w:tbl>
      <w:tblPr>
        <w:tblStyle w:val="Style_6"/>
        <w:tblInd w:type="dxa" w:w="108"/>
        <w:tblLayout w:type="fixed"/>
        <w:tblCellMar>
          <w:top w:type="dxa" w:w="0"/>
          <w:left w:type="dxa" w:w="108"/>
          <w:bottom w:type="dxa" w:w="0"/>
          <w:right w:type="dxa" w:w="108"/>
        </w:tblCellMar>
      </w:tblPr>
      <w:tblGrid>
        <w:gridCol w:w="5588"/>
        <w:gridCol w:w="1509"/>
        <w:gridCol w:w="1497"/>
        <w:gridCol w:w="1503"/>
      </w:tblGrid>
      <w:tr>
        <w:trPr>
          <w:trHeight w:hRule="atLeast" w:val="507"/>
        </w:trPr>
        <w:tc>
          <w:tcPr>
            <w:tcW w:type="dxa" w:w="5588"/>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vAlign w:val="center"/>
          </w:tcPr>
          <w:p w14:paraId="FF050000">
            <w:pPr>
              <w:pStyle w:val="Style_2"/>
              <w:widowControl w:val="1"/>
              <w:spacing w:after="0" w:before="0" w:line="240" w:lineRule="auto"/>
              <w:ind w:firstLine="0" w:left="0" w:right="0"/>
              <w:jc w:val="left"/>
              <w:rPr>
                <w:rFonts w:ascii="Times New Roman" w:hAnsi="Times New Roman"/>
                <w:b w:val="0"/>
                <w:color w:val="000000"/>
                <w:spacing w:val="0"/>
                <w:sz w:val="22"/>
              </w:rPr>
            </w:pPr>
          </w:p>
        </w:tc>
        <w:tc>
          <w:tcPr>
            <w:tcW w:type="dxa" w:w="150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0060000">
            <w:pPr>
              <w:pStyle w:val="Style_2"/>
              <w:widowControl w:val="1"/>
              <w:spacing w:after="0" w:before="0" w:line="240" w:lineRule="auto"/>
              <w:ind w:firstLine="0" w:left="0" w:right="0"/>
              <w:jc w:val="center"/>
              <w:rPr>
                <w:rFonts w:ascii="Times New Roman" w:hAnsi="Times New Roman"/>
              </w:rPr>
            </w:pPr>
            <w:r>
              <w:rPr>
                <w:b w:val="0"/>
                <w:color w:val="000000"/>
                <w:spacing w:val="0"/>
                <w:sz w:val="22"/>
              </w:rPr>
              <w:t>2021 год</w:t>
            </w:r>
          </w:p>
        </w:tc>
        <w:tc>
          <w:tcPr>
            <w:tcW w:type="dxa" w:w="149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1060000">
            <w:pPr>
              <w:pStyle w:val="Style_2"/>
              <w:widowControl w:val="1"/>
              <w:spacing w:after="0" w:before="0" w:line="240" w:lineRule="auto"/>
              <w:ind w:firstLine="0" w:left="0" w:right="0"/>
              <w:jc w:val="center"/>
              <w:rPr>
                <w:rFonts w:ascii="Times New Roman" w:hAnsi="Times New Roman"/>
              </w:rPr>
            </w:pPr>
            <w:r>
              <w:rPr>
                <w:b w:val="0"/>
                <w:color w:val="000000"/>
                <w:spacing w:val="0"/>
                <w:sz w:val="22"/>
              </w:rPr>
              <w:t>2022 год</w:t>
            </w:r>
          </w:p>
        </w:tc>
        <w:tc>
          <w:tcPr>
            <w:tcW w:type="dxa" w:w="150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2060000">
            <w:pPr>
              <w:pStyle w:val="Style_2"/>
              <w:widowControl w:val="1"/>
              <w:spacing w:after="0" w:before="0" w:line="240" w:lineRule="auto"/>
              <w:ind w:firstLine="0" w:left="0" w:right="0"/>
              <w:jc w:val="center"/>
              <w:rPr>
                <w:rFonts w:ascii="Times New Roman" w:hAnsi="Times New Roman"/>
              </w:rPr>
            </w:pPr>
            <w:r>
              <w:rPr>
                <w:b w:val="0"/>
                <w:color w:val="000000"/>
                <w:spacing w:val="0"/>
                <w:sz w:val="22"/>
              </w:rPr>
              <w:t>2023 год</w:t>
            </w:r>
          </w:p>
        </w:tc>
      </w:tr>
      <w:tr>
        <w:trPr>
          <w:trHeight w:hRule="atLeast" w:val="537"/>
        </w:trPr>
        <w:tc>
          <w:tcPr>
            <w:tcW w:type="dxa" w:w="5588"/>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03060000">
            <w:pPr>
              <w:pStyle w:val="Style_2"/>
              <w:widowControl w:val="1"/>
              <w:spacing w:after="0" w:before="0" w:line="240" w:lineRule="auto"/>
              <w:ind w:firstLine="0" w:left="0" w:right="0"/>
              <w:jc w:val="left"/>
              <w:rPr>
                <w:rFonts w:ascii="Times New Roman" w:hAnsi="Times New Roman"/>
              </w:rPr>
            </w:pPr>
            <w:r>
              <w:rPr>
                <w:b w:val="0"/>
                <w:color w:val="000000"/>
                <w:spacing w:val="0"/>
                <w:sz w:val="22"/>
              </w:rPr>
              <w:t>Численность граждан Российской Федерации, размещенных в коллективных средствах размещения</w:t>
            </w:r>
          </w:p>
        </w:tc>
        <w:tc>
          <w:tcPr>
            <w:tcW w:type="dxa" w:w="150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4060000">
            <w:pPr>
              <w:pStyle w:val="Style_2"/>
              <w:widowControl w:val="1"/>
              <w:spacing w:after="0" w:before="0" w:line="240" w:lineRule="auto"/>
              <w:ind w:firstLine="0" w:left="0" w:right="0"/>
              <w:jc w:val="center"/>
              <w:rPr>
                <w:rFonts w:ascii="Times New Roman" w:hAnsi="Times New Roman"/>
              </w:rPr>
            </w:pPr>
            <w:r>
              <w:rPr>
                <w:b w:val="0"/>
                <w:color w:val="000000"/>
                <w:spacing w:val="0"/>
                <w:sz w:val="22"/>
              </w:rPr>
              <w:t>141 504</w:t>
            </w:r>
          </w:p>
        </w:tc>
        <w:tc>
          <w:tcPr>
            <w:tcW w:type="dxa" w:w="149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5060000">
            <w:pPr>
              <w:pStyle w:val="Style_2"/>
              <w:widowControl w:val="1"/>
              <w:spacing w:after="0" w:before="0" w:line="240" w:lineRule="auto"/>
              <w:ind w:firstLine="0" w:left="0" w:right="0"/>
              <w:jc w:val="center"/>
              <w:rPr>
                <w:rFonts w:ascii="Times New Roman" w:hAnsi="Times New Roman"/>
              </w:rPr>
            </w:pPr>
            <w:r>
              <w:rPr>
                <w:b w:val="0"/>
                <w:color w:val="000000"/>
                <w:spacing w:val="0"/>
                <w:sz w:val="22"/>
              </w:rPr>
              <w:t>180 427</w:t>
            </w:r>
          </w:p>
        </w:tc>
        <w:tc>
          <w:tcPr>
            <w:tcW w:type="dxa" w:w="150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6060000">
            <w:pPr>
              <w:pStyle w:val="Style_2"/>
              <w:widowControl w:val="0"/>
              <w:spacing w:after="0" w:before="0" w:line="240" w:lineRule="auto"/>
              <w:ind w:firstLine="0" w:left="0" w:right="0"/>
              <w:jc w:val="center"/>
              <w:rPr>
                <w:rFonts w:ascii="Times New Roman" w:hAnsi="Times New Roman"/>
              </w:rPr>
            </w:pPr>
            <w:r>
              <w:rPr>
                <w:b w:val="0"/>
                <w:color w:val="000000"/>
                <w:spacing w:val="0"/>
                <w:sz w:val="24"/>
              </w:rPr>
              <w:t>224 310</w:t>
            </w:r>
          </w:p>
        </w:tc>
      </w:tr>
      <w:tr>
        <w:trPr>
          <w:trHeight w:hRule="atLeast" w:val="525"/>
        </w:trPr>
        <w:tc>
          <w:tcPr>
            <w:tcW w:type="dxa" w:w="5588"/>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07060000">
            <w:pPr>
              <w:pStyle w:val="Style_2"/>
              <w:widowControl w:val="1"/>
              <w:spacing w:after="0" w:before="0" w:line="240" w:lineRule="auto"/>
              <w:ind w:firstLine="0" w:left="0" w:right="0"/>
              <w:jc w:val="left"/>
              <w:rPr>
                <w:rFonts w:ascii="Times New Roman" w:hAnsi="Times New Roman"/>
              </w:rPr>
            </w:pPr>
            <w:r>
              <w:rPr>
                <w:b w:val="0"/>
                <w:color w:val="000000"/>
                <w:spacing w:val="0"/>
                <w:sz w:val="22"/>
              </w:rPr>
              <w:t>Численность иностранных граждан, размещенных в коллективных средствах размещения</w:t>
            </w:r>
          </w:p>
        </w:tc>
        <w:tc>
          <w:tcPr>
            <w:tcW w:type="dxa" w:w="150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8060000">
            <w:pPr>
              <w:pStyle w:val="Style_2"/>
              <w:widowControl w:val="1"/>
              <w:spacing w:after="0" w:before="0" w:line="240" w:lineRule="auto"/>
              <w:ind w:firstLine="0" w:left="0" w:right="0"/>
              <w:jc w:val="center"/>
              <w:rPr>
                <w:rFonts w:ascii="Times New Roman" w:hAnsi="Times New Roman"/>
              </w:rPr>
            </w:pPr>
            <w:r>
              <w:rPr>
                <w:b w:val="0"/>
                <w:color w:val="000000"/>
                <w:spacing w:val="0"/>
                <w:sz w:val="22"/>
              </w:rPr>
              <w:t>2 066</w:t>
            </w:r>
          </w:p>
        </w:tc>
        <w:tc>
          <w:tcPr>
            <w:tcW w:type="dxa" w:w="149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9060000">
            <w:pPr>
              <w:pStyle w:val="Style_2"/>
              <w:widowControl w:val="1"/>
              <w:spacing w:after="0" w:before="0" w:line="240" w:lineRule="auto"/>
              <w:ind w:firstLine="0" w:left="0" w:right="0"/>
              <w:jc w:val="center"/>
              <w:rPr>
                <w:rFonts w:ascii="Times New Roman" w:hAnsi="Times New Roman"/>
              </w:rPr>
            </w:pPr>
            <w:r>
              <w:rPr>
                <w:b w:val="0"/>
                <w:color w:val="000000"/>
                <w:spacing w:val="0"/>
                <w:sz w:val="22"/>
              </w:rPr>
              <w:t>1 545</w:t>
            </w:r>
          </w:p>
        </w:tc>
        <w:tc>
          <w:tcPr>
            <w:tcW w:type="dxa" w:w="150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A060000">
            <w:pPr>
              <w:pStyle w:val="Style_2"/>
              <w:widowControl w:val="0"/>
              <w:spacing w:after="0" w:before="0" w:line="240" w:lineRule="auto"/>
              <w:ind w:firstLine="0" w:left="0" w:right="0"/>
              <w:jc w:val="center"/>
              <w:rPr>
                <w:rFonts w:ascii="Times New Roman" w:hAnsi="Times New Roman"/>
              </w:rPr>
            </w:pPr>
            <w:r>
              <w:rPr>
                <w:b w:val="0"/>
                <w:color w:val="000000"/>
                <w:spacing w:val="0"/>
                <w:sz w:val="24"/>
              </w:rPr>
              <w:t>3 601</w:t>
            </w:r>
          </w:p>
        </w:tc>
      </w:tr>
      <w:tr>
        <w:trPr>
          <w:trHeight w:hRule="atLeast" w:val="559"/>
        </w:trPr>
        <w:tc>
          <w:tcPr>
            <w:tcW w:type="dxa" w:w="5588"/>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0B060000">
            <w:pPr>
              <w:pStyle w:val="Style_2"/>
              <w:widowControl w:val="1"/>
              <w:spacing w:after="0" w:before="0" w:line="240" w:lineRule="auto"/>
              <w:ind w:firstLine="0" w:left="0" w:right="0"/>
              <w:jc w:val="left"/>
              <w:rPr>
                <w:rFonts w:ascii="Times New Roman" w:hAnsi="Times New Roman"/>
              </w:rPr>
            </w:pPr>
            <w:r>
              <w:rPr>
                <w:b w:val="0"/>
                <w:color w:val="000000"/>
                <w:spacing w:val="0"/>
                <w:sz w:val="22"/>
              </w:rPr>
              <w:t>Общая численность лиц, размещенных в коллективных средствах размещения</w:t>
            </w:r>
          </w:p>
        </w:tc>
        <w:tc>
          <w:tcPr>
            <w:tcW w:type="dxa" w:w="1509"/>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C060000">
            <w:pPr>
              <w:pStyle w:val="Style_2"/>
              <w:widowControl w:val="1"/>
              <w:spacing w:after="0" w:before="0" w:line="240" w:lineRule="auto"/>
              <w:ind w:firstLine="0" w:left="0" w:right="0"/>
              <w:jc w:val="center"/>
              <w:rPr>
                <w:rFonts w:ascii="Times New Roman" w:hAnsi="Times New Roman"/>
              </w:rPr>
            </w:pPr>
            <w:r>
              <w:rPr>
                <w:b w:val="0"/>
                <w:color w:val="000000"/>
                <w:spacing w:val="0"/>
                <w:sz w:val="22"/>
              </w:rPr>
              <w:t>143 570</w:t>
            </w:r>
          </w:p>
        </w:tc>
        <w:tc>
          <w:tcPr>
            <w:tcW w:type="dxa" w:w="1497"/>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D060000">
            <w:pPr>
              <w:pStyle w:val="Style_2"/>
              <w:widowControl w:val="1"/>
              <w:spacing w:after="0" w:before="0" w:line="240" w:lineRule="auto"/>
              <w:ind w:firstLine="0" w:left="0" w:right="0"/>
              <w:jc w:val="center"/>
              <w:rPr>
                <w:rFonts w:ascii="Times New Roman" w:hAnsi="Times New Roman"/>
              </w:rPr>
            </w:pPr>
            <w:r>
              <w:rPr>
                <w:b w:val="0"/>
                <w:color w:val="000000"/>
                <w:spacing w:val="0"/>
                <w:sz w:val="22"/>
              </w:rPr>
              <w:t>181 972</w:t>
            </w:r>
          </w:p>
        </w:tc>
        <w:tc>
          <w:tcPr>
            <w:tcW w:type="dxa" w:w="1503"/>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0E060000">
            <w:pPr>
              <w:pStyle w:val="Style_2"/>
              <w:widowControl w:val="0"/>
              <w:spacing w:after="0" w:before="0" w:line="240" w:lineRule="auto"/>
              <w:ind w:firstLine="0" w:left="0" w:right="0"/>
              <w:jc w:val="center"/>
              <w:rPr>
                <w:rFonts w:ascii="Times New Roman" w:hAnsi="Times New Roman"/>
              </w:rPr>
            </w:pPr>
            <w:r>
              <w:rPr>
                <w:b w:val="0"/>
                <w:color w:val="000000"/>
                <w:spacing w:val="0"/>
                <w:sz w:val="24"/>
              </w:rPr>
              <w:t>227 911</w:t>
            </w:r>
          </w:p>
        </w:tc>
      </w:tr>
    </w:tbl>
    <w:p w14:paraId="0F060000">
      <w:pPr>
        <w:pStyle w:val="Style_2"/>
        <w:spacing w:line="240" w:lineRule="auto"/>
        <w:ind w:firstLine="708" w:left="0" w:right="0"/>
        <w:jc w:val="center"/>
        <w:rPr>
          <w:rFonts w:ascii="Times New Roman" w:hAnsi="Times New Roman"/>
          <w:b w:val="0"/>
        </w:rPr>
      </w:pPr>
    </w:p>
    <w:p w14:paraId="10060000">
      <w:pPr>
        <w:pStyle w:val="Style_2"/>
        <w:widowControl w:val="1"/>
        <w:spacing w:after="0" w:before="0" w:line="240" w:lineRule="auto"/>
        <w:ind w:firstLine="737" w:left="0" w:right="0"/>
        <w:jc w:val="both"/>
        <w:rPr>
          <w:rFonts w:ascii="Times New Roman" w:hAnsi="Times New Roman"/>
        </w:rPr>
      </w:pPr>
      <w:r>
        <w:t>В 2023 году на реализацию мероприятий государственной программы Камчатского края «Развитие внутреннего и въездного туризма в Камчатском крае» было предусмотрен</w:t>
      </w:r>
      <w:r>
        <w:rPr>
          <w:b w:val="0"/>
        </w:rPr>
        <w:t xml:space="preserve">о </w:t>
      </w:r>
      <w:r>
        <w:rPr>
          <w:b w:val="0"/>
          <w:i w:val="0"/>
        </w:rPr>
        <w:t>801,5 млн рублей, освоено 800,9 млн рублей, что составляет</w:t>
      </w:r>
      <w:r>
        <w:rPr>
          <w:b w:val="0"/>
          <w:i w:val="0"/>
        </w:rPr>
        <w:t xml:space="preserve"> 99,9%</w:t>
      </w:r>
      <w:r>
        <w:rPr>
          <w:b w:val="1"/>
          <w:i w:val="0"/>
        </w:rPr>
        <w:t xml:space="preserve"> </w:t>
      </w:r>
      <w:r>
        <w:rPr>
          <w:b w:val="0"/>
          <w:i w:val="0"/>
        </w:rPr>
        <w:t>от планируемого объема.</w:t>
      </w:r>
    </w:p>
    <w:p w14:paraId="11060000">
      <w:pPr>
        <w:pStyle w:val="Style_2"/>
        <w:spacing w:line="240" w:lineRule="auto"/>
        <w:ind w:firstLine="567" w:left="0" w:right="-1"/>
        <w:jc w:val="both"/>
        <w:rPr>
          <w:rFonts w:ascii="Times New Roman" w:hAnsi="Times New Roman"/>
        </w:rPr>
      </w:pPr>
    </w:p>
    <w:p w14:paraId="12060000">
      <w:pPr>
        <w:pStyle w:val="Style_2"/>
        <w:spacing w:line="240" w:lineRule="auto"/>
        <w:ind w:firstLine="567" w:left="0" w:right="0"/>
        <w:jc w:val="center"/>
        <w:rPr>
          <w:rFonts w:ascii="Times New Roman" w:hAnsi="Times New Roman"/>
        </w:rPr>
      </w:pPr>
      <w:r>
        <w:rPr>
          <w:b w:val="0"/>
        </w:rPr>
        <w:t>Объем средств консолидированного бюджета Камчатского края, направленных на развитие туризма с 2021 по 2023 годы (млн руб.).</w:t>
      </w:r>
    </w:p>
    <w:tbl>
      <w:tblPr>
        <w:tblStyle w:val="Style_6"/>
        <w:tblInd w:type="dxa" w:w="0"/>
        <w:tblLayout w:type="fixed"/>
        <w:tblCellMar>
          <w:top w:type="dxa" w:w="0"/>
          <w:left w:type="dxa" w:w="108"/>
          <w:bottom w:type="dxa" w:w="0"/>
          <w:right w:type="dxa" w:w="108"/>
        </w:tblCellMar>
      </w:tblPr>
      <w:tblGrid>
        <w:gridCol w:w="5076"/>
        <w:gridCol w:w="1707"/>
        <w:gridCol w:w="1707"/>
        <w:gridCol w:w="1707"/>
      </w:tblGrid>
      <w:tr>
        <w:tc>
          <w:tcPr>
            <w:tcW w:type="dxa" w:w="5076"/>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13060000">
            <w:pPr>
              <w:pStyle w:val="Style_2"/>
              <w:widowControl w:val="1"/>
              <w:spacing w:after="0" w:before="0" w:line="240" w:lineRule="auto"/>
              <w:ind w:firstLine="0" w:left="0" w:right="0"/>
              <w:jc w:val="left"/>
              <w:rPr>
                <w:rFonts w:ascii="Times New Roman" w:hAnsi="Times New Roman"/>
                <w:b w:val="0"/>
                <w:color w:val="000000"/>
                <w:spacing w:val="0"/>
                <w:sz w:val="22"/>
              </w:rPr>
            </w:pPr>
          </w:p>
        </w:tc>
        <w:tc>
          <w:tcPr>
            <w:tcW w:type="dxa" w:w="170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4060000">
            <w:pPr>
              <w:pStyle w:val="Style_2"/>
              <w:widowControl w:val="1"/>
              <w:spacing w:after="0" w:before="0" w:line="240" w:lineRule="auto"/>
              <w:ind w:firstLine="0" w:left="0" w:right="0"/>
              <w:jc w:val="center"/>
              <w:rPr>
                <w:rFonts w:ascii="Times New Roman" w:hAnsi="Times New Roman"/>
              </w:rPr>
            </w:pPr>
            <w:r>
              <w:rPr>
                <w:b w:val="0"/>
                <w:color w:val="000000"/>
                <w:spacing w:val="0"/>
                <w:sz w:val="22"/>
              </w:rPr>
              <w:t>2021 год</w:t>
            </w:r>
          </w:p>
        </w:tc>
        <w:tc>
          <w:tcPr>
            <w:tcW w:type="dxa" w:w="170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5060000">
            <w:pPr>
              <w:pStyle w:val="Style_2"/>
              <w:widowControl w:val="1"/>
              <w:spacing w:after="0" w:before="0" w:line="240" w:lineRule="auto"/>
              <w:ind w:firstLine="0" w:left="0" w:right="0"/>
              <w:jc w:val="center"/>
              <w:rPr>
                <w:rFonts w:ascii="Times New Roman" w:hAnsi="Times New Roman"/>
              </w:rPr>
            </w:pPr>
            <w:r>
              <w:rPr>
                <w:b w:val="0"/>
                <w:color w:val="000000"/>
                <w:spacing w:val="0"/>
                <w:sz w:val="22"/>
              </w:rPr>
              <w:t>2022 год</w:t>
            </w:r>
          </w:p>
        </w:tc>
        <w:tc>
          <w:tcPr>
            <w:tcW w:type="dxa" w:w="170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6060000">
            <w:pPr>
              <w:pStyle w:val="Style_2"/>
              <w:widowControl w:val="0"/>
              <w:spacing w:after="0" w:before="0" w:line="240" w:lineRule="auto"/>
              <w:ind w:firstLine="0" w:left="0" w:right="0"/>
              <w:jc w:val="center"/>
              <w:rPr>
                <w:rFonts w:ascii="Times New Roman" w:hAnsi="Times New Roman"/>
              </w:rPr>
            </w:pPr>
            <w:r>
              <w:rPr>
                <w:b w:val="0"/>
                <w:color w:val="000000"/>
                <w:spacing w:val="0"/>
                <w:sz w:val="24"/>
              </w:rPr>
              <w:t>2023 год</w:t>
            </w:r>
          </w:p>
        </w:tc>
      </w:tr>
      <w:tr>
        <w:tc>
          <w:tcPr>
            <w:tcW w:type="dxa" w:w="5076"/>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17060000">
            <w:pPr>
              <w:pStyle w:val="Style_2"/>
              <w:widowControl w:val="1"/>
              <w:spacing w:after="0" w:before="0" w:line="240" w:lineRule="auto"/>
              <w:ind w:firstLine="0" w:left="0" w:right="0"/>
              <w:jc w:val="left"/>
              <w:rPr>
                <w:rFonts w:ascii="Times New Roman" w:hAnsi="Times New Roman"/>
              </w:rPr>
            </w:pPr>
            <w:r>
              <w:rPr>
                <w:b w:val="0"/>
                <w:color w:val="000000"/>
                <w:spacing w:val="0"/>
                <w:sz w:val="22"/>
              </w:rPr>
              <w:t>Объем средств консолидированного бюджета Камчатского края, направленных на развитие туризма, в том числе</w:t>
            </w:r>
          </w:p>
        </w:tc>
        <w:tc>
          <w:tcPr>
            <w:tcW w:type="dxa" w:w="170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8060000">
            <w:pPr>
              <w:pStyle w:val="Style_2"/>
              <w:widowControl w:val="1"/>
              <w:spacing w:after="0" w:before="0" w:line="240" w:lineRule="auto"/>
              <w:ind w:firstLine="0" w:left="0" w:right="0"/>
              <w:jc w:val="right"/>
              <w:rPr>
                <w:rFonts w:ascii="Times New Roman" w:hAnsi="Times New Roman"/>
              </w:rPr>
            </w:pPr>
            <w:r>
              <w:rPr>
                <w:b w:val="0"/>
                <w:color w:val="000000"/>
                <w:spacing w:val="0"/>
                <w:sz w:val="22"/>
              </w:rPr>
              <w:t>132,055</w:t>
            </w:r>
          </w:p>
        </w:tc>
        <w:tc>
          <w:tcPr>
            <w:tcW w:type="dxa" w:w="170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9060000">
            <w:pPr>
              <w:pStyle w:val="Style_2"/>
              <w:widowControl w:val="1"/>
              <w:spacing w:after="0" w:before="0" w:line="240" w:lineRule="auto"/>
              <w:ind w:firstLine="0" w:left="0" w:right="0"/>
              <w:jc w:val="right"/>
              <w:rPr>
                <w:rFonts w:ascii="Times New Roman" w:hAnsi="Times New Roman"/>
              </w:rPr>
            </w:pPr>
            <w:r>
              <w:rPr>
                <w:b w:val="0"/>
                <w:color w:val="000000"/>
                <w:spacing w:val="0"/>
                <w:sz w:val="22"/>
              </w:rPr>
              <w:t>1 122,041</w:t>
            </w:r>
          </w:p>
        </w:tc>
        <w:tc>
          <w:tcPr>
            <w:tcW w:type="dxa" w:w="170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A060000">
            <w:pPr>
              <w:pStyle w:val="Style_2"/>
              <w:widowControl w:val="0"/>
              <w:spacing w:after="0" w:before="0" w:line="240" w:lineRule="auto"/>
              <w:ind w:firstLine="0" w:left="0" w:right="0"/>
              <w:jc w:val="right"/>
              <w:rPr>
                <w:rFonts w:ascii="Times New Roman" w:hAnsi="Times New Roman"/>
              </w:rPr>
            </w:pPr>
            <w:r>
              <w:rPr>
                <w:b w:val="0"/>
                <w:color w:val="000000"/>
                <w:spacing w:val="0"/>
                <w:sz w:val="22"/>
              </w:rPr>
              <w:t>800,909</w:t>
            </w:r>
          </w:p>
        </w:tc>
      </w:tr>
      <w:tr>
        <w:tc>
          <w:tcPr>
            <w:tcW w:type="dxa" w:w="5076"/>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1B060000">
            <w:pPr>
              <w:pStyle w:val="Style_2"/>
              <w:widowControl w:val="1"/>
              <w:spacing w:after="0" w:before="0" w:line="240" w:lineRule="auto"/>
              <w:ind w:firstLine="0" w:left="0" w:right="0"/>
              <w:jc w:val="left"/>
              <w:rPr>
                <w:rFonts w:ascii="Times New Roman" w:hAnsi="Times New Roman"/>
              </w:rPr>
            </w:pPr>
            <w:r>
              <w:rPr>
                <w:b w:val="0"/>
                <w:color w:val="000000"/>
                <w:spacing w:val="0"/>
                <w:sz w:val="22"/>
              </w:rPr>
              <w:t xml:space="preserve"> </w:t>
            </w:r>
            <w:r>
              <w:rPr>
                <w:b w:val="0"/>
                <w:color w:val="000000"/>
                <w:spacing w:val="0"/>
                <w:sz w:val="22"/>
              </w:rPr>
              <w:t>федеральный бюджет</w:t>
            </w:r>
          </w:p>
        </w:tc>
        <w:tc>
          <w:tcPr>
            <w:tcW w:type="dxa" w:w="170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C060000">
            <w:pPr>
              <w:pStyle w:val="Style_2"/>
              <w:widowControl w:val="1"/>
              <w:spacing w:after="0" w:before="0" w:line="240" w:lineRule="auto"/>
              <w:ind w:firstLine="0" w:left="0" w:right="0"/>
              <w:jc w:val="right"/>
              <w:rPr>
                <w:rFonts w:ascii="Times New Roman" w:hAnsi="Times New Roman"/>
              </w:rPr>
            </w:pPr>
            <w:r>
              <w:rPr>
                <w:b w:val="0"/>
                <w:color w:val="000000"/>
                <w:spacing w:val="0"/>
                <w:sz w:val="22"/>
              </w:rPr>
              <w:t>0</w:t>
            </w:r>
          </w:p>
        </w:tc>
        <w:tc>
          <w:tcPr>
            <w:tcW w:type="dxa" w:w="170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D060000">
            <w:pPr>
              <w:pStyle w:val="Style_2"/>
              <w:widowControl w:val="1"/>
              <w:spacing w:after="0" w:before="0" w:line="240" w:lineRule="auto"/>
              <w:ind w:firstLine="0" w:left="0" w:right="0"/>
              <w:jc w:val="right"/>
              <w:rPr>
                <w:rFonts w:ascii="Times New Roman" w:hAnsi="Times New Roman"/>
              </w:rPr>
            </w:pPr>
            <w:r>
              <w:rPr>
                <w:b w:val="0"/>
                <w:color w:val="000000"/>
                <w:spacing w:val="0"/>
                <w:sz w:val="22"/>
              </w:rPr>
              <w:t>360,459</w:t>
            </w:r>
          </w:p>
        </w:tc>
        <w:tc>
          <w:tcPr>
            <w:tcW w:type="dxa" w:w="170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1E060000">
            <w:pPr>
              <w:pStyle w:val="Style_2"/>
              <w:widowControl w:val="0"/>
              <w:spacing w:after="0" w:before="0" w:line="240" w:lineRule="auto"/>
              <w:ind w:firstLine="0" w:left="0" w:right="0"/>
              <w:jc w:val="right"/>
              <w:rPr>
                <w:rFonts w:ascii="Times New Roman" w:hAnsi="Times New Roman"/>
              </w:rPr>
            </w:pPr>
            <w:r>
              <w:rPr>
                <w:b w:val="0"/>
                <w:color w:val="000000"/>
                <w:spacing w:val="0"/>
                <w:sz w:val="22"/>
              </w:rPr>
              <w:t>213,750</w:t>
            </w:r>
          </w:p>
        </w:tc>
      </w:tr>
      <w:tr>
        <w:tc>
          <w:tcPr>
            <w:tcW w:type="dxa" w:w="5076"/>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1F060000">
            <w:pPr>
              <w:pStyle w:val="Style_2"/>
              <w:widowControl w:val="1"/>
              <w:spacing w:after="0" w:before="0" w:line="240" w:lineRule="auto"/>
              <w:ind w:firstLine="0" w:left="0" w:right="0"/>
              <w:jc w:val="left"/>
              <w:rPr>
                <w:rFonts w:ascii="Times New Roman" w:hAnsi="Times New Roman"/>
              </w:rPr>
            </w:pPr>
            <w:r>
              <w:rPr>
                <w:b w:val="0"/>
                <w:color w:val="000000"/>
                <w:spacing w:val="0"/>
                <w:sz w:val="22"/>
              </w:rPr>
              <w:t xml:space="preserve"> </w:t>
            </w:r>
            <w:r>
              <w:rPr>
                <w:b w:val="0"/>
                <w:color w:val="000000"/>
                <w:spacing w:val="0"/>
                <w:sz w:val="22"/>
              </w:rPr>
              <w:t>краевой бюджет</w:t>
            </w:r>
          </w:p>
        </w:tc>
        <w:tc>
          <w:tcPr>
            <w:tcW w:type="dxa" w:w="170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0060000">
            <w:pPr>
              <w:pStyle w:val="Style_2"/>
              <w:widowControl w:val="1"/>
              <w:spacing w:after="0" w:before="0" w:line="240" w:lineRule="auto"/>
              <w:ind w:firstLine="0" w:left="0" w:right="0"/>
              <w:jc w:val="right"/>
              <w:rPr>
                <w:rFonts w:ascii="Times New Roman" w:hAnsi="Times New Roman"/>
              </w:rPr>
            </w:pPr>
            <w:r>
              <w:rPr>
                <w:b w:val="0"/>
                <w:color w:val="000000"/>
                <w:spacing w:val="0"/>
                <w:sz w:val="22"/>
              </w:rPr>
              <w:t>130,454</w:t>
            </w:r>
          </w:p>
        </w:tc>
        <w:tc>
          <w:tcPr>
            <w:tcW w:type="dxa" w:w="170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1060000">
            <w:pPr>
              <w:pStyle w:val="Style_2"/>
              <w:widowControl w:val="1"/>
              <w:spacing w:after="0" w:before="0" w:line="240" w:lineRule="auto"/>
              <w:ind w:firstLine="0" w:left="0" w:right="0"/>
              <w:jc w:val="right"/>
              <w:rPr>
                <w:rFonts w:ascii="Times New Roman" w:hAnsi="Times New Roman"/>
              </w:rPr>
            </w:pPr>
            <w:r>
              <w:rPr>
                <w:b w:val="0"/>
                <w:color w:val="000000"/>
                <w:spacing w:val="0"/>
                <w:sz w:val="22"/>
              </w:rPr>
              <w:t>428,189</w:t>
            </w:r>
          </w:p>
        </w:tc>
        <w:tc>
          <w:tcPr>
            <w:tcW w:type="dxa" w:w="170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2060000">
            <w:pPr>
              <w:pStyle w:val="Style_2"/>
              <w:widowControl w:val="0"/>
              <w:spacing w:after="0" w:before="0" w:line="240" w:lineRule="auto"/>
              <w:ind w:firstLine="0" w:left="0" w:right="0"/>
              <w:jc w:val="right"/>
              <w:rPr>
                <w:rFonts w:ascii="Times New Roman" w:hAnsi="Times New Roman"/>
              </w:rPr>
            </w:pPr>
            <w:r>
              <w:rPr>
                <w:b w:val="0"/>
                <w:color w:val="000000"/>
                <w:spacing w:val="0"/>
                <w:sz w:val="22"/>
              </w:rPr>
              <w:t>574,806</w:t>
            </w:r>
          </w:p>
        </w:tc>
      </w:tr>
      <w:tr>
        <w:tc>
          <w:tcPr>
            <w:tcW w:type="dxa" w:w="5076"/>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23060000">
            <w:pPr>
              <w:pStyle w:val="Style_2"/>
              <w:widowControl w:val="1"/>
              <w:spacing w:after="0" w:before="0" w:line="240" w:lineRule="auto"/>
              <w:ind w:firstLine="0" w:left="0" w:right="0"/>
              <w:jc w:val="left"/>
              <w:rPr>
                <w:rFonts w:ascii="Times New Roman" w:hAnsi="Times New Roman"/>
              </w:rPr>
            </w:pPr>
            <w:r>
              <w:rPr>
                <w:b w:val="0"/>
                <w:color w:val="000000"/>
                <w:spacing w:val="0"/>
                <w:sz w:val="22"/>
              </w:rPr>
              <w:t xml:space="preserve"> </w:t>
            </w:r>
            <w:r>
              <w:rPr>
                <w:b w:val="0"/>
                <w:color w:val="000000"/>
                <w:spacing w:val="0"/>
                <w:sz w:val="22"/>
              </w:rPr>
              <w:t>Резервный фонд Камчатского края</w:t>
            </w:r>
          </w:p>
        </w:tc>
        <w:tc>
          <w:tcPr>
            <w:tcW w:type="dxa" w:w="170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4060000">
            <w:pPr>
              <w:pStyle w:val="Style_2"/>
              <w:widowControl w:val="1"/>
              <w:spacing w:after="0" w:before="0" w:line="240" w:lineRule="auto"/>
              <w:ind w:firstLine="0" w:left="0" w:right="0"/>
              <w:jc w:val="right"/>
              <w:rPr>
                <w:rFonts w:ascii="Times New Roman" w:hAnsi="Times New Roman"/>
              </w:rPr>
            </w:pPr>
            <w:r>
              <w:rPr>
                <w:b w:val="0"/>
                <w:color w:val="000000"/>
                <w:spacing w:val="0"/>
                <w:sz w:val="22"/>
              </w:rPr>
              <w:t>1,601</w:t>
            </w:r>
          </w:p>
        </w:tc>
        <w:tc>
          <w:tcPr>
            <w:tcW w:type="dxa" w:w="170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5060000">
            <w:pPr>
              <w:pStyle w:val="Style_2"/>
              <w:widowControl w:val="1"/>
              <w:spacing w:after="0" w:before="0" w:line="240" w:lineRule="auto"/>
              <w:ind w:firstLine="0" w:left="0" w:right="0"/>
              <w:jc w:val="right"/>
              <w:rPr>
                <w:rFonts w:ascii="Times New Roman" w:hAnsi="Times New Roman"/>
              </w:rPr>
            </w:pPr>
            <w:r>
              <w:rPr>
                <w:b w:val="0"/>
                <w:color w:val="000000"/>
                <w:spacing w:val="0"/>
                <w:sz w:val="22"/>
              </w:rPr>
              <w:t>3,103</w:t>
            </w:r>
          </w:p>
        </w:tc>
        <w:tc>
          <w:tcPr>
            <w:tcW w:type="dxa" w:w="170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6060000">
            <w:pPr>
              <w:pStyle w:val="Style_2"/>
              <w:widowControl w:val="0"/>
              <w:spacing w:after="0" w:before="0" w:line="240" w:lineRule="auto"/>
              <w:ind w:firstLine="0" w:left="0" w:right="0"/>
              <w:jc w:val="right"/>
              <w:rPr>
                <w:rFonts w:ascii="Times New Roman" w:hAnsi="Times New Roman"/>
              </w:rPr>
            </w:pPr>
            <w:r>
              <w:rPr>
                <w:b w:val="0"/>
                <w:color w:val="000000"/>
                <w:spacing w:val="0"/>
                <w:sz w:val="22"/>
              </w:rPr>
              <w:t>0,356</w:t>
            </w:r>
          </w:p>
        </w:tc>
      </w:tr>
      <w:tr>
        <w:trPr>
          <w:trHeight w:hRule="atLeast" w:val="220"/>
        </w:trPr>
        <w:tc>
          <w:tcPr>
            <w:tcW w:type="dxa" w:w="5076"/>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27060000">
            <w:pPr>
              <w:pStyle w:val="Style_2"/>
              <w:widowControl w:val="1"/>
              <w:spacing w:after="0" w:before="0" w:line="240" w:lineRule="auto"/>
              <w:ind w:firstLine="0" w:left="0" w:right="0"/>
              <w:jc w:val="left"/>
              <w:rPr>
                <w:rFonts w:ascii="Times New Roman" w:hAnsi="Times New Roman"/>
              </w:rPr>
            </w:pPr>
            <w:r>
              <w:rPr>
                <w:b w:val="0"/>
                <w:color w:val="000000"/>
                <w:spacing w:val="0"/>
                <w:sz w:val="22"/>
              </w:rPr>
              <w:t xml:space="preserve"> </w:t>
            </w:r>
            <w:r>
              <w:rPr>
                <w:b w:val="0"/>
                <w:color w:val="000000"/>
                <w:spacing w:val="0"/>
                <w:sz w:val="22"/>
              </w:rPr>
              <w:t>местные бюджеты</w:t>
            </w:r>
          </w:p>
        </w:tc>
        <w:tc>
          <w:tcPr>
            <w:tcW w:type="dxa" w:w="170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8060000">
            <w:pPr>
              <w:pStyle w:val="Style_2"/>
              <w:widowControl w:val="1"/>
              <w:spacing w:after="0" w:before="0" w:line="240" w:lineRule="auto"/>
              <w:ind w:firstLine="0" w:left="0" w:right="0"/>
              <w:jc w:val="right"/>
              <w:rPr>
                <w:rFonts w:ascii="Times New Roman" w:hAnsi="Times New Roman"/>
              </w:rPr>
            </w:pPr>
            <w:r>
              <w:rPr>
                <w:b w:val="0"/>
                <w:color w:val="000000"/>
                <w:spacing w:val="0"/>
                <w:sz w:val="22"/>
              </w:rPr>
              <w:t>132,055</w:t>
            </w:r>
          </w:p>
        </w:tc>
        <w:tc>
          <w:tcPr>
            <w:tcW w:type="dxa" w:w="170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9060000">
            <w:pPr>
              <w:pStyle w:val="Style_2"/>
              <w:widowControl w:val="1"/>
              <w:spacing w:after="0" w:before="0" w:line="240" w:lineRule="auto"/>
              <w:ind w:firstLine="0" w:left="0" w:right="0"/>
              <w:jc w:val="right"/>
              <w:rPr>
                <w:rFonts w:ascii="Times New Roman" w:hAnsi="Times New Roman"/>
              </w:rPr>
            </w:pPr>
            <w:r>
              <w:rPr>
                <w:b w:val="0"/>
                <w:color w:val="000000"/>
                <w:spacing w:val="0"/>
                <w:sz w:val="22"/>
              </w:rPr>
              <w:t>330,290</w:t>
            </w:r>
          </w:p>
        </w:tc>
        <w:tc>
          <w:tcPr>
            <w:tcW w:type="dxa" w:w="1707"/>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A060000">
            <w:pPr>
              <w:pStyle w:val="Style_2"/>
              <w:widowControl w:val="0"/>
              <w:spacing w:after="0" w:before="0" w:line="240" w:lineRule="auto"/>
              <w:ind w:firstLine="0" w:left="0" w:right="0"/>
              <w:jc w:val="right"/>
              <w:rPr>
                <w:rFonts w:ascii="Times New Roman" w:hAnsi="Times New Roman"/>
              </w:rPr>
            </w:pPr>
            <w:r>
              <w:rPr>
                <w:b w:val="0"/>
                <w:color w:val="000000"/>
                <w:spacing w:val="0"/>
                <w:sz w:val="22"/>
              </w:rPr>
              <w:t>11,997</w:t>
            </w:r>
          </w:p>
        </w:tc>
      </w:tr>
    </w:tbl>
    <w:p w14:paraId="2B060000">
      <w:pPr>
        <w:pStyle w:val="Style_2"/>
        <w:spacing w:line="240" w:lineRule="auto"/>
        <w:ind w:firstLine="708" w:left="0" w:right="0"/>
        <w:jc w:val="center"/>
        <w:rPr>
          <w:rFonts w:ascii="Times New Roman" w:hAnsi="Times New Roman"/>
          <w:b w:val="0"/>
        </w:rPr>
      </w:pPr>
    </w:p>
    <w:p w14:paraId="2C060000">
      <w:pPr>
        <w:pStyle w:val="Style_2"/>
        <w:spacing w:line="240" w:lineRule="auto"/>
        <w:ind w:firstLine="708" w:left="0" w:right="0"/>
        <w:jc w:val="center"/>
        <w:rPr>
          <w:rFonts w:ascii="Times New Roman" w:hAnsi="Times New Roman"/>
        </w:rPr>
      </w:pPr>
      <w:r>
        <w:rPr>
          <w:b w:val="0"/>
        </w:rPr>
        <w:t>Динамика платных услуг населению с 2021 по 2023 годы (млн руб.)</w:t>
      </w:r>
    </w:p>
    <w:tbl>
      <w:tblPr>
        <w:tblStyle w:val="Style_6"/>
        <w:tblInd w:type="dxa" w:w="0"/>
        <w:tblLayout w:type="fixed"/>
        <w:tblCellMar>
          <w:top w:type="dxa" w:w="0"/>
          <w:left w:type="dxa" w:w="108"/>
          <w:bottom w:type="dxa" w:w="0"/>
          <w:right w:type="dxa" w:w="108"/>
        </w:tblCellMar>
      </w:tblPr>
      <w:tblGrid>
        <w:gridCol w:w="5639"/>
        <w:gridCol w:w="1519"/>
        <w:gridCol w:w="1521"/>
        <w:gridCol w:w="1519"/>
      </w:tblGrid>
      <w:tr>
        <w:tc>
          <w:tcPr>
            <w:tcW w:type="dxa" w:w="5639"/>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2D060000">
            <w:pPr>
              <w:pStyle w:val="Style_2"/>
              <w:widowControl w:val="1"/>
              <w:spacing w:after="0" w:before="0" w:line="240" w:lineRule="auto"/>
              <w:ind w:firstLine="0" w:left="0" w:right="0"/>
              <w:jc w:val="left"/>
              <w:rPr>
                <w:rFonts w:ascii="Times New Roman" w:hAnsi="Times New Roman"/>
                <w:b w:val="0"/>
                <w:color w:val="000000"/>
                <w:spacing w:val="0"/>
                <w:sz w:val="22"/>
              </w:rPr>
            </w:pPr>
          </w:p>
        </w:tc>
        <w:tc>
          <w:tcPr>
            <w:tcW w:type="dxa" w:w="151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E060000">
            <w:pPr>
              <w:pStyle w:val="Style_2"/>
              <w:widowControl w:val="1"/>
              <w:spacing w:after="0" w:before="0" w:line="240" w:lineRule="auto"/>
              <w:ind w:firstLine="0" w:left="0" w:right="0"/>
              <w:jc w:val="center"/>
              <w:rPr>
                <w:rFonts w:ascii="Times New Roman" w:hAnsi="Times New Roman"/>
              </w:rPr>
            </w:pPr>
            <w:r>
              <w:rPr>
                <w:b w:val="0"/>
                <w:color w:val="000000"/>
                <w:spacing w:val="0"/>
                <w:sz w:val="22"/>
              </w:rPr>
              <w:t>2021 год</w:t>
            </w:r>
          </w:p>
        </w:tc>
        <w:tc>
          <w:tcPr>
            <w:tcW w:type="dxa" w:w="152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2F060000">
            <w:pPr>
              <w:pStyle w:val="Style_2"/>
              <w:widowControl w:val="1"/>
              <w:spacing w:after="0" w:before="0" w:line="240" w:lineRule="auto"/>
              <w:ind w:firstLine="0" w:left="0" w:right="0"/>
              <w:jc w:val="center"/>
              <w:rPr>
                <w:rFonts w:ascii="Times New Roman" w:hAnsi="Times New Roman"/>
              </w:rPr>
            </w:pPr>
            <w:r>
              <w:rPr>
                <w:b w:val="0"/>
                <w:color w:val="000000"/>
                <w:spacing w:val="0"/>
                <w:sz w:val="22"/>
              </w:rPr>
              <w:t>2022 год</w:t>
            </w:r>
          </w:p>
        </w:tc>
        <w:tc>
          <w:tcPr>
            <w:tcW w:type="dxa" w:w="151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0060000">
            <w:pPr>
              <w:pStyle w:val="Style_2"/>
              <w:widowControl w:val="1"/>
              <w:spacing w:after="0" w:before="0" w:line="240" w:lineRule="auto"/>
              <w:ind w:firstLine="0" w:left="0" w:right="0"/>
              <w:jc w:val="center"/>
              <w:rPr>
                <w:rFonts w:ascii="Times New Roman" w:hAnsi="Times New Roman"/>
              </w:rPr>
            </w:pPr>
            <w:r>
              <w:rPr>
                <w:b w:val="0"/>
                <w:color w:val="000000"/>
                <w:spacing w:val="0"/>
                <w:sz w:val="22"/>
              </w:rPr>
              <w:t>2023 год</w:t>
            </w:r>
          </w:p>
        </w:tc>
      </w:tr>
      <w:tr>
        <w:tc>
          <w:tcPr>
            <w:tcW w:type="dxa" w:w="5639"/>
            <w:tcBorders>
              <w:top w:color="000000" w:sz="4" w:val="single"/>
              <w:left w:color="000000" w:sz="4" w:val="single"/>
              <w:bottom w:color="000000" w:sz="4" w:val="single"/>
              <w:right w:color="000000" w:sz="4" w:val="single"/>
            </w:tcBorders>
            <w:shd w:fill="auto" w:val="clear"/>
            <w:tcMar>
              <w:top w:type="dxa" w:w="0"/>
              <w:left w:type="dxa" w:w="108"/>
              <w:bottom w:type="dxa" w:w="0"/>
              <w:right w:type="dxa" w:w="108"/>
            </w:tcMar>
          </w:tcPr>
          <w:p w14:paraId="31060000">
            <w:pPr>
              <w:pStyle w:val="Style_2"/>
              <w:widowControl w:val="1"/>
              <w:spacing w:after="0" w:before="0" w:line="240" w:lineRule="auto"/>
              <w:ind w:firstLine="0" w:left="0" w:right="0"/>
              <w:jc w:val="left"/>
              <w:rPr>
                <w:rFonts w:ascii="Times New Roman" w:hAnsi="Times New Roman"/>
              </w:rPr>
            </w:pPr>
            <w:r>
              <w:rPr>
                <w:b w:val="0"/>
                <w:color w:val="000000"/>
                <w:spacing w:val="0"/>
                <w:sz w:val="22"/>
              </w:rPr>
              <w:t>Объем платных туристских услуг, оказанных населению</w:t>
            </w:r>
          </w:p>
        </w:tc>
        <w:tc>
          <w:tcPr>
            <w:tcW w:type="dxa" w:w="151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2060000">
            <w:pPr>
              <w:pStyle w:val="Style_2"/>
              <w:widowControl w:val="1"/>
              <w:spacing w:after="0" w:before="0" w:line="240" w:lineRule="auto"/>
              <w:ind w:firstLine="0" w:left="0" w:right="0"/>
              <w:jc w:val="center"/>
              <w:rPr>
                <w:rFonts w:ascii="Times New Roman" w:hAnsi="Times New Roman"/>
              </w:rPr>
            </w:pPr>
            <w:r>
              <w:rPr>
                <w:b w:val="0"/>
                <w:color w:val="000000"/>
                <w:spacing w:val="0"/>
                <w:sz w:val="22"/>
              </w:rPr>
              <w:t>745,0</w:t>
            </w:r>
          </w:p>
        </w:tc>
        <w:tc>
          <w:tcPr>
            <w:tcW w:type="dxa" w:w="152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3060000">
            <w:pPr>
              <w:pStyle w:val="Style_2"/>
              <w:widowControl w:val="1"/>
              <w:spacing w:after="0" w:before="0" w:line="240" w:lineRule="auto"/>
              <w:ind w:firstLine="0" w:left="0" w:right="0"/>
              <w:jc w:val="center"/>
              <w:rPr>
                <w:rFonts w:ascii="Times New Roman" w:hAnsi="Times New Roman"/>
              </w:rPr>
            </w:pPr>
            <w:r>
              <w:rPr>
                <w:b w:val="0"/>
                <w:color w:val="000000"/>
                <w:spacing w:val="0"/>
                <w:sz w:val="22"/>
              </w:rPr>
              <w:t>924,0</w:t>
            </w:r>
          </w:p>
        </w:tc>
        <w:tc>
          <w:tcPr>
            <w:tcW w:type="dxa" w:w="151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4060000">
            <w:pPr>
              <w:pStyle w:val="Style_2"/>
              <w:widowControl w:val="1"/>
              <w:spacing w:after="0" w:before="0" w:line="240" w:lineRule="auto"/>
              <w:ind w:firstLine="0" w:left="0" w:right="0"/>
              <w:jc w:val="center"/>
              <w:rPr>
                <w:rFonts w:ascii="Times New Roman" w:hAnsi="Times New Roman"/>
              </w:rPr>
            </w:pPr>
            <w:r>
              <w:rPr>
                <w:b w:val="0"/>
                <w:color w:val="000000"/>
                <w:spacing w:val="0"/>
                <w:sz w:val="22"/>
              </w:rPr>
              <w:t>1 034,1</w:t>
            </w:r>
          </w:p>
        </w:tc>
      </w:tr>
      <w:tr>
        <w:tc>
          <w:tcPr>
            <w:tcW w:type="dxa" w:w="563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5060000">
            <w:pPr>
              <w:pStyle w:val="Style_2"/>
              <w:widowControl w:val="1"/>
              <w:spacing w:after="0" w:before="0" w:line="240" w:lineRule="auto"/>
              <w:ind w:firstLine="0" w:left="0" w:right="0"/>
              <w:jc w:val="left"/>
              <w:rPr>
                <w:rFonts w:ascii="Times New Roman" w:hAnsi="Times New Roman"/>
              </w:rPr>
            </w:pPr>
            <w:r>
              <w:rPr>
                <w:b w:val="0"/>
                <w:color w:val="000000"/>
                <w:spacing w:val="0"/>
                <w:sz w:val="22"/>
              </w:rPr>
              <w:t>Объем платных услуг гостиниц и аналогичных средств размещения</w:t>
            </w:r>
          </w:p>
        </w:tc>
        <w:tc>
          <w:tcPr>
            <w:tcW w:type="dxa" w:w="151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6060000">
            <w:pPr>
              <w:pStyle w:val="Style_2"/>
              <w:widowControl w:val="1"/>
              <w:spacing w:after="0" w:before="0" w:line="240" w:lineRule="auto"/>
              <w:ind w:firstLine="0" w:left="0" w:right="0"/>
              <w:jc w:val="center"/>
              <w:rPr>
                <w:rFonts w:ascii="Times New Roman" w:hAnsi="Times New Roman"/>
              </w:rPr>
            </w:pPr>
            <w:r>
              <w:rPr>
                <w:b w:val="0"/>
                <w:color w:val="000000"/>
                <w:spacing w:val="0"/>
                <w:sz w:val="22"/>
              </w:rPr>
              <w:t>707,8</w:t>
            </w:r>
          </w:p>
        </w:tc>
        <w:tc>
          <w:tcPr>
            <w:tcW w:type="dxa" w:w="152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7060000">
            <w:pPr>
              <w:pStyle w:val="Style_2"/>
              <w:widowControl w:val="1"/>
              <w:spacing w:after="0" w:before="0" w:line="240" w:lineRule="auto"/>
              <w:ind w:firstLine="0" w:left="0" w:right="0"/>
              <w:jc w:val="center"/>
              <w:rPr>
                <w:rFonts w:ascii="Times New Roman" w:hAnsi="Times New Roman"/>
              </w:rPr>
            </w:pPr>
            <w:r>
              <w:rPr>
                <w:b w:val="0"/>
                <w:color w:val="000000"/>
                <w:spacing w:val="0"/>
                <w:sz w:val="22"/>
              </w:rPr>
              <w:t>966,0</w:t>
            </w:r>
          </w:p>
        </w:tc>
        <w:tc>
          <w:tcPr>
            <w:tcW w:type="dxa" w:w="151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8060000">
            <w:pPr>
              <w:pStyle w:val="Style_2"/>
              <w:widowControl w:val="1"/>
              <w:spacing w:after="0" w:before="0" w:line="240" w:lineRule="auto"/>
              <w:ind w:firstLine="0" w:left="0" w:right="0"/>
              <w:jc w:val="center"/>
              <w:rPr>
                <w:rFonts w:ascii="Times New Roman" w:hAnsi="Times New Roman"/>
              </w:rPr>
            </w:pPr>
            <w:r>
              <w:rPr>
                <w:b w:val="0"/>
                <w:color w:val="000000"/>
                <w:spacing w:val="0"/>
                <w:sz w:val="22"/>
              </w:rPr>
              <w:t>1 069,8</w:t>
            </w:r>
          </w:p>
        </w:tc>
      </w:tr>
      <w:tr>
        <w:tc>
          <w:tcPr>
            <w:tcW w:type="dxa" w:w="563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9060000">
            <w:pPr>
              <w:pStyle w:val="Style_2"/>
              <w:widowControl w:val="1"/>
              <w:spacing w:after="0" w:before="0" w:line="240" w:lineRule="auto"/>
              <w:ind w:firstLine="0" w:left="0" w:right="0"/>
              <w:jc w:val="left"/>
              <w:rPr>
                <w:rFonts w:ascii="Times New Roman" w:hAnsi="Times New Roman"/>
              </w:rPr>
            </w:pPr>
            <w:r>
              <w:rPr>
                <w:b w:val="0"/>
                <w:color w:val="000000"/>
                <w:spacing w:val="0"/>
                <w:sz w:val="22"/>
              </w:rPr>
              <w:t>Объем платных услуг специализированных коллективных средств размещения и санаторно-оздоровительных услуг</w:t>
            </w:r>
          </w:p>
        </w:tc>
        <w:tc>
          <w:tcPr>
            <w:tcW w:type="dxa" w:w="151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A060000">
            <w:pPr>
              <w:pStyle w:val="Style_2"/>
              <w:widowControl w:val="1"/>
              <w:spacing w:after="0" w:before="0" w:line="240" w:lineRule="auto"/>
              <w:ind w:firstLine="0" w:left="0" w:right="0"/>
              <w:jc w:val="center"/>
              <w:rPr>
                <w:rFonts w:ascii="Times New Roman" w:hAnsi="Times New Roman"/>
              </w:rPr>
            </w:pPr>
            <w:r>
              <w:rPr>
                <w:b w:val="0"/>
                <w:color w:val="000000"/>
                <w:spacing w:val="0"/>
                <w:sz w:val="22"/>
              </w:rPr>
              <w:t>90,7</w:t>
            </w:r>
          </w:p>
        </w:tc>
        <w:tc>
          <w:tcPr>
            <w:tcW w:type="dxa" w:w="152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B060000">
            <w:pPr>
              <w:pStyle w:val="Style_2"/>
              <w:widowControl w:val="1"/>
              <w:spacing w:after="0" w:before="0" w:line="240" w:lineRule="auto"/>
              <w:ind w:firstLine="0" w:left="0" w:right="0"/>
              <w:jc w:val="center"/>
              <w:rPr>
                <w:rFonts w:ascii="Times New Roman" w:hAnsi="Times New Roman"/>
              </w:rPr>
            </w:pPr>
            <w:r>
              <w:rPr>
                <w:b w:val="0"/>
                <w:color w:val="000000"/>
                <w:spacing w:val="0"/>
                <w:sz w:val="22"/>
              </w:rPr>
              <w:t>100,4</w:t>
            </w:r>
          </w:p>
        </w:tc>
        <w:tc>
          <w:tcPr>
            <w:tcW w:type="dxa" w:w="151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C060000">
            <w:pPr>
              <w:pStyle w:val="Style_2"/>
              <w:widowControl w:val="1"/>
              <w:spacing w:after="0" w:before="0" w:line="240" w:lineRule="auto"/>
              <w:ind w:firstLine="0" w:left="0" w:right="0"/>
              <w:jc w:val="center"/>
              <w:rPr>
                <w:rFonts w:ascii="Times New Roman" w:hAnsi="Times New Roman"/>
              </w:rPr>
            </w:pPr>
            <w:r>
              <w:rPr>
                <w:b w:val="0"/>
                <w:color w:val="000000"/>
                <w:spacing w:val="0"/>
                <w:sz w:val="22"/>
              </w:rPr>
              <w:t>91,6</w:t>
            </w:r>
          </w:p>
        </w:tc>
      </w:tr>
      <w:tr>
        <w:tc>
          <w:tcPr>
            <w:tcW w:type="dxa" w:w="563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D060000">
            <w:pPr>
              <w:pStyle w:val="Style_2"/>
              <w:widowControl w:val="1"/>
              <w:spacing w:after="0" w:before="0" w:line="240" w:lineRule="auto"/>
              <w:ind w:firstLine="0" w:left="0" w:right="0"/>
              <w:jc w:val="left"/>
              <w:rPr>
                <w:rFonts w:ascii="Times New Roman" w:hAnsi="Times New Roman"/>
              </w:rPr>
            </w:pPr>
            <w:r>
              <w:rPr>
                <w:b w:val="0"/>
                <w:color w:val="000000"/>
                <w:spacing w:val="0"/>
                <w:sz w:val="22"/>
              </w:rPr>
              <w:t>Объем услуг физической культуры и спорта</w:t>
            </w:r>
          </w:p>
        </w:tc>
        <w:tc>
          <w:tcPr>
            <w:tcW w:type="dxa" w:w="151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E060000">
            <w:pPr>
              <w:pStyle w:val="Style_2"/>
              <w:widowControl w:val="1"/>
              <w:spacing w:after="0" w:before="0" w:line="240" w:lineRule="auto"/>
              <w:ind w:firstLine="0" w:left="0" w:right="0"/>
              <w:jc w:val="center"/>
              <w:rPr>
                <w:rFonts w:ascii="Times New Roman" w:hAnsi="Times New Roman"/>
              </w:rPr>
            </w:pPr>
            <w:r>
              <w:rPr>
                <w:b w:val="0"/>
                <w:color w:val="000000"/>
                <w:spacing w:val="0"/>
                <w:sz w:val="22"/>
              </w:rPr>
              <w:t>281,6</w:t>
            </w:r>
          </w:p>
        </w:tc>
        <w:tc>
          <w:tcPr>
            <w:tcW w:type="dxa" w:w="152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3F060000">
            <w:pPr>
              <w:pStyle w:val="Style_2"/>
              <w:widowControl w:val="1"/>
              <w:spacing w:after="0" w:before="0" w:line="240" w:lineRule="auto"/>
              <w:ind w:firstLine="0" w:left="0" w:right="0"/>
              <w:jc w:val="center"/>
              <w:rPr>
                <w:rFonts w:ascii="Times New Roman" w:hAnsi="Times New Roman"/>
              </w:rPr>
            </w:pPr>
            <w:r>
              <w:rPr>
                <w:b w:val="0"/>
                <w:color w:val="000000"/>
                <w:spacing w:val="0"/>
                <w:sz w:val="22"/>
              </w:rPr>
              <w:t>363,7</w:t>
            </w:r>
          </w:p>
        </w:tc>
        <w:tc>
          <w:tcPr>
            <w:tcW w:type="dxa" w:w="151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0060000">
            <w:pPr>
              <w:pStyle w:val="Style_2"/>
              <w:widowControl w:val="1"/>
              <w:spacing w:after="0" w:before="0" w:line="240" w:lineRule="auto"/>
              <w:ind w:firstLine="0" w:left="0" w:right="0"/>
              <w:jc w:val="center"/>
              <w:rPr>
                <w:rFonts w:ascii="Times New Roman" w:hAnsi="Times New Roman"/>
              </w:rPr>
            </w:pPr>
            <w:r>
              <w:rPr>
                <w:b w:val="0"/>
                <w:color w:val="000000"/>
                <w:spacing w:val="0"/>
                <w:sz w:val="22"/>
              </w:rPr>
              <w:t>387,4</w:t>
            </w:r>
          </w:p>
        </w:tc>
      </w:tr>
      <w:tr>
        <w:trPr>
          <w:trHeight w:hRule="atLeast" w:val="245"/>
        </w:trPr>
        <w:tc>
          <w:tcPr>
            <w:tcW w:type="dxa" w:w="563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1060000">
            <w:pPr>
              <w:pStyle w:val="Style_2"/>
              <w:widowControl w:val="1"/>
              <w:spacing w:after="0" w:before="0" w:line="240" w:lineRule="auto"/>
              <w:ind w:firstLine="0" w:left="0" w:right="0"/>
              <w:jc w:val="left"/>
              <w:rPr>
                <w:rFonts w:ascii="Times New Roman" w:hAnsi="Times New Roman"/>
              </w:rPr>
            </w:pPr>
            <w:r>
              <w:rPr>
                <w:b w:val="0"/>
                <w:color w:val="000000"/>
                <w:spacing w:val="0"/>
                <w:sz w:val="22"/>
              </w:rPr>
              <w:t>Объем услуг культуры</w:t>
            </w:r>
          </w:p>
        </w:tc>
        <w:tc>
          <w:tcPr>
            <w:tcW w:type="dxa" w:w="151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2060000">
            <w:pPr>
              <w:pStyle w:val="Style_2"/>
              <w:widowControl w:val="1"/>
              <w:spacing w:after="0" w:before="0" w:line="240" w:lineRule="auto"/>
              <w:ind w:firstLine="0" w:left="0" w:right="0"/>
              <w:jc w:val="center"/>
              <w:rPr>
                <w:rFonts w:ascii="Times New Roman" w:hAnsi="Times New Roman"/>
              </w:rPr>
            </w:pPr>
            <w:r>
              <w:rPr>
                <w:b w:val="0"/>
                <w:color w:val="000000"/>
                <w:spacing w:val="0"/>
                <w:sz w:val="22"/>
              </w:rPr>
              <w:t>247,2</w:t>
            </w:r>
          </w:p>
        </w:tc>
        <w:tc>
          <w:tcPr>
            <w:tcW w:type="dxa" w:w="152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3060000">
            <w:pPr>
              <w:pStyle w:val="Style_2"/>
              <w:widowControl w:val="1"/>
              <w:spacing w:after="0" w:before="0" w:line="240" w:lineRule="auto"/>
              <w:ind w:firstLine="0" w:left="0" w:right="0"/>
              <w:jc w:val="center"/>
              <w:rPr>
                <w:rFonts w:ascii="Times New Roman" w:hAnsi="Times New Roman"/>
              </w:rPr>
            </w:pPr>
            <w:r>
              <w:rPr>
                <w:b w:val="0"/>
                <w:color w:val="000000"/>
                <w:spacing w:val="0"/>
                <w:sz w:val="22"/>
              </w:rPr>
              <w:t>273,3</w:t>
            </w:r>
          </w:p>
        </w:tc>
        <w:tc>
          <w:tcPr>
            <w:tcW w:type="dxa" w:w="151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4060000">
            <w:pPr>
              <w:pStyle w:val="Style_2"/>
              <w:widowControl w:val="1"/>
              <w:spacing w:after="0" w:before="0" w:line="240" w:lineRule="auto"/>
              <w:ind w:firstLine="0" w:left="0" w:right="0"/>
              <w:jc w:val="center"/>
              <w:rPr>
                <w:rFonts w:ascii="Times New Roman" w:hAnsi="Times New Roman"/>
              </w:rPr>
            </w:pPr>
            <w:r>
              <w:rPr>
                <w:b w:val="0"/>
                <w:color w:val="000000"/>
                <w:spacing w:val="0"/>
                <w:sz w:val="22"/>
              </w:rPr>
              <w:t>300,1</w:t>
            </w:r>
          </w:p>
        </w:tc>
      </w:tr>
      <w:tr>
        <w:tc>
          <w:tcPr>
            <w:tcW w:type="dxa" w:w="563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5060000">
            <w:pPr>
              <w:pStyle w:val="Style_2"/>
              <w:widowControl w:val="1"/>
              <w:spacing w:after="0" w:before="0" w:line="240" w:lineRule="auto"/>
              <w:ind w:firstLine="0" w:left="0" w:right="0"/>
              <w:jc w:val="left"/>
              <w:rPr>
                <w:rFonts w:ascii="Times New Roman" w:hAnsi="Times New Roman"/>
              </w:rPr>
            </w:pPr>
            <w:r>
              <w:rPr>
                <w:b w:val="0"/>
                <w:color w:val="000000"/>
                <w:spacing w:val="0"/>
                <w:sz w:val="22"/>
              </w:rPr>
              <w:t>Общий объем платных услуг туристской индустрии</w:t>
            </w:r>
          </w:p>
        </w:tc>
        <w:tc>
          <w:tcPr>
            <w:tcW w:type="dxa" w:w="151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6060000">
            <w:pPr>
              <w:pStyle w:val="Style_2"/>
              <w:widowControl w:val="1"/>
              <w:spacing w:after="0" w:before="0" w:line="240" w:lineRule="auto"/>
              <w:ind w:firstLine="0" w:left="0" w:right="0"/>
              <w:jc w:val="center"/>
              <w:rPr>
                <w:rFonts w:ascii="Times New Roman" w:hAnsi="Times New Roman"/>
              </w:rPr>
            </w:pPr>
            <w:r>
              <w:rPr>
                <w:b w:val="0"/>
                <w:color w:val="000000"/>
                <w:spacing w:val="0"/>
                <w:sz w:val="22"/>
              </w:rPr>
              <w:t>2 072,3</w:t>
            </w:r>
          </w:p>
        </w:tc>
        <w:tc>
          <w:tcPr>
            <w:tcW w:type="dxa" w:w="152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7060000">
            <w:pPr>
              <w:pStyle w:val="Style_2"/>
              <w:widowControl w:val="1"/>
              <w:spacing w:after="0" w:before="0" w:line="240" w:lineRule="auto"/>
              <w:ind w:firstLine="0" w:left="0" w:right="0"/>
              <w:jc w:val="center"/>
              <w:rPr>
                <w:rFonts w:ascii="Times New Roman" w:hAnsi="Times New Roman"/>
              </w:rPr>
            </w:pPr>
            <w:r>
              <w:rPr>
                <w:b w:val="0"/>
                <w:color w:val="000000"/>
                <w:spacing w:val="0"/>
                <w:sz w:val="22"/>
              </w:rPr>
              <w:t>2 627,4</w:t>
            </w:r>
          </w:p>
        </w:tc>
        <w:tc>
          <w:tcPr>
            <w:tcW w:type="dxa" w:w="151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8060000">
            <w:pPr>
              <w:pStyle w:val="Style_2"/>
              <w:widowControl w:val="1"/>
              <w:spacing w:after="0" w:before="0" w:line="240" w:lineRule="auto"/>
              <w:ind w:firstLine="0" w:left="0" w:right="0"/>
              <w:jc w:val="center"/>
              <w:rPr>
                <w:rFonts w:ascii="Times New Roman" w:hAnsi="Times New Roman"/>
              </w:rPr>
            </w:pPr>
            <w:r>
              <w:rPr>
                <w:b w:val="0"/>
                <w:color w:val="000000"/>
                <w:spacing w:val="0"/>
                <w:sz w:val="22"/>
              </w:rPr>
              <w:t>2 883,0</w:t>
            </w:r>
          </w:p>
        </w:tc>
      </w:tr>
      <w:tr>
        <w:tc>
          <w:tcPr>
            <w:tcW w:type="dxa" w:w="563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9060000">
            <w:pPr>
              <w:pStyle w:val="Style_2"/>
              <w:widowControl w:val="1"/>
              <w:spacing w:after="0" w:before="0" w:line="240" w:lineRule="auto"/>
              <w:ind w:firstLine="0" w:left="0" w:right="0"/>
              <w:jc w:val="left"/>
              <w:rPr>
                <w:rFonts w:ascii="Times New Roman" w:hAnsi="Times New Roman"/>
              </w:rPr>
            </w:pPr>
            <w:r>
              <w:rPr>
                <w:b w:val="0"/>
                <w:color w:val="000000"/>
                <w:spacing w:val="0"/>
                <w:sz w:val="22"/>
              </w:rPr>
              <w:t>Общий объем платных услуг населению</w:t>
            </w:r>
          </w:p>
        </w:tc>
        <w:tc>
          <w:tcPr>
            <w:tcW w:type="dxa" w:w="151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A060000">
            <w:pPr>
              <w:pStyle w:val="Style_2"/>
              <w:widowControl w:val="1"/>
              <w:spacing w:after="0" w:before="0" w:line="240" w:lineRule="auto"/>
              <w:ind w:firstLine="0" w:left="0" w:right="0"/>
              <w:jc w:val="center"/>
              <w:rPr>
                <w:rFonts w:ascii="Times New Roman" w:hAnsi="Times New Roman"/>
              </w:rPr>
            </w:pPr>
            <w:r>
              <w:rPr>
                <w:b w:val="0"/>
                <w:color w:val="000000"/>
                <w:spacing w:val="0"/>
                <w:sz w:val="22"/>
              </w:rPr>
              <w:t>31 160,9</w:t>
            </w:r>
          </w:p>
        </w:tc>
        <w:tc>
          <w:tcPr>
            <w:tcW w:type="dxa" w:w="152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B060000">
            <w:pPr>
              <w:pStyle w:val="Style_2"/>
              <w:widowControl w:val="1"/>
              <w:spacing w:after="0" w:before="0" w:line="240" w:lineRule="auto"/>
              <w:ind w:firstLine="0" w:left="0" w:right="0"/>
              <w:jc w:val="center"/>
              <w:rPr>
                <w:rFonts w:ascii="Times New Roman" w:hAnsi="Times New Roman"/>
              </w:rPr>
            </w:pPr>
            <w:r>
              <w:rPr>
                <w:b w:val="0"/>
                <w:color w:val="000000"/>
                <w:spacing w:val="0"/>
                <w:sz w:val="22"/>
              </w:rPr>
              <w:t>31 603,1</w:t>
            </w:r>
          </w:p>
        </w:tc>
        <w:tc>
          <w:tcPr>
            <w:tcW w:type="dxa" w:w="151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C060000">
            <w:pPr>
              <w:pStyle w:val="Style_2"/>
              <w:widowControl w:val="1"/>
              <w:spacing w:after="0" w:before="0" w:line="240" w:lineRule="auto"/>
              <w:ind w:firstLine="0" w:left="0" w:right="0"/>
              <w:jc w:val="center"/>
              <w:rPr>
                <w:rFonts w:ascii="Times New Roman" w:hAnsi="Times New Roman"/>
              </w:rPr>
            </w:pPr>
            <w:r>
              <w:rPr>
                <w:b w:val="0"/>
                <w:color w:val="000000"/>
                <w:spacing w:val="0"/>
                <w:sz w:val="22"/>
              </w:rPr>
              <w:t>33 320,6</w:t>
            </w:r>
          </w:p>
        </w:tc>
      </w:tr>
      <w:tr>
        <w:tc>
          <w:tcPr>
            <w:tcW w:type="dxa" w:w="563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D060000">
            <w:pPr>
              <w:pStyle w:val="Style_2"/>
              <w:widowControl w:val="1"/>
              <w:spacing w:after="0" w:before="0" w:line="240" w:lineRule="auto"/>
              <w:ind w:firstLine="0" w:left="0" w:right="0"/>
              <w:jc w:val="left"/>
              <w:rPr>
                <w:rFonts w:ascii="Times New Roman" w:hAnsi="Times New Roman"/>
              </w:rPr>
            </w:pPr>
            <w:r>
              <w:rPr>
                <w:b w:val="0"/>
                <w:color w:val="000000"/>
                <w:spacing w:val="0"/>
                <w:sz w:val="22"/>
              </w:rPr>
              <w:t>Доля платных услуг туристской индустрии в общем объеме платных услуг</w:t>
            </w:r>
          </w:p>
        </w:tc>
        <w:tc>
          <w:tcPr>
            <w:tcW w:type="dxa" w:w="151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E060000">
            <w:pPr>
              <w:pStyle w:val="Style_2"/>
              <w:widowControl w:val="1"/>
              <w:spacing w:after="0" w:before="0" w:line="240" w:lineRule="auto"/>
              <w:ind w:firstLine="0" w:left="0" w:right="0"/>
              <w:jc w:val="center"/>
              <w:rPr>
                <w:rFonts w:ascii="Times New Roman" w:hAnsi="Times New Roman"/>
              </w:rPr>
            </w:pPr>
            <w:r>
              <w:rPr>
                <w:b w:val="0"/>
                <w:color w:val="000000"/>
                <w:spacing w:val="0"/>
                <w:sz w:val="22"/>
              </w:rPr>
              <w:t>6,65%</w:t>
            </w:r>
          </w:p>
        </w:tc>
        <w:tc>
          <w:tcPr>
            <w:tcW w:type="dxa" w:w="152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F060000">
            <w:pPr>
              <w:pStyle w:val="Style_2"/>
              <w:widowControl w:val="1"/>
              <w:spacing w:after="0" w:before="0" w:line="240" w:lineRule="auto"/>
              <w:ind w:firstLine="0" w:left="0" w:right="0"/>
              <w:jc w:val="center"/>
              <w:rPr>
                <w:rFonts w:ascii="Times New Roman" w:hAnsi="Times New Roman"/>
              </w:rPr>
            </w:pPr>
            <w:r>
              <w:rPr>
                <w:b w:val="0"/>
                <w:color w:val="000000"/>
                <w:spacing w:val="0"/>
                <w:sz w:val="22"/>
              </w:rPr>
              <w:t>8,3%</w:t>
            </w:r>
          </w:p>
        </w:tc>
        <w:tc>
          <w:tcPr>
            <w:tcW w:type="dxa" w:w="1519"/>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0060000">
            <w:pPr>
              <w:pStyle w:val="Style_2"/>
              <w:widowControl w:val="1"/>
              <w:spacing w:after="0" w:before="0" w:line="240" w:lineRule="auto"/>
              <w:ind w:firstLine="0" w:left="0" w:right="0"/>
              <w:jc w:val="center"/>
              <w:rPr>
                <w:rFonts w:ascii="Times New Roman" w:hAnsi="Times New Roman"/>
              </w:rPr>
            </w:pPr>
            <w:r>
              <w:rPr>
                <w:b w:val="0"/>
                <w:color w:val="000000"/>
                <w:spacing w:val="0"/>
                <w:sz w:val="22"/>
              </w:rPr>
              <w:t>8,6%</w:t>
            </w:r>
          </w:p>
        </w:tc>
      </w:tr>
    </w:tbl>
    <w:p w14:paraId="51060000">
      <w:pPr>
        <w:pStyle w:val="Style_2"/>
        <w:spacing w:line="240" w:lineRule="auto"/>
        <w:ind w:firstLine="567" w:left="0" w:right="0"/>
        <w:jc w:val="both"/>
        <w:rPr>
          <w:rFonts w:ascii="Times New Roman" w:hAnsi="Times New Roman"/>
          <w:b w:val="0"/>
        </w:rPr>
      </w:pPr>
    </w:p>
    <w:p w14:paraId="52060000">
      <w:pPr>
        <w:pStyle w:val="Style_2"/>
        <w:spacing w:line="240" w:lineRule="auto"/>
        <w:ind w:firstLine="709" w:left="0" w:right="0"/>
        <w:jc w:val="both"/>
        <w:rPr>
          <w:rFonts w:ascii="Times New Roman" w:hAnsi="Times New Roman"/>
        </w:rPr>
      </w:pPr>
      <w:r>
        <w:t>Всего за период 2018–2023 годы инвесторами создано 68 объектов размещения.</w:t>
      </w:r>
    </w:p>
    <w:p w14:paraId="53060000">
      <w:pPr>
        <w:pStyle w:val="Style_2"/>
        <w:spacing w:after="0" w:before="0" w:line="240" w:lineRule="auto"/>
        <w:ind w:firstLine="709" w:left="0" w:right="0"/>
        <w:jc w:val="both"/>
        <w:rPr>
          <w:rFonts w:ascii="Times New Roman" w:hAnsi="Times New Roman"/>
        </w:rPr>
      </w:pPr>
      <w:r>
        <w:t>В 2023 году открылось 17 новых средств размещения туристов. Среди них: апарт-отель «Гора», хостел «Эвен», хостел «Милано», гостевой дом «Камдомик», база отдыха «Аврора» в Мильковском районе, база отдыха «Шале», гостиница «Постоялый двор», хостел «Колизей», отель «Гостевой дом Камчатский квартал», загородный отель «Геолог», «Лагуна Вилладж», база отдыха «Легенда Путешествий», мини-гостиница «Толбачик», городская гостиница «Нарния», хостел «Тумрок», хостел «Модуль».</w:t>
      </w:r>
    </w:p>
    <w:p w14:paraId="54060000">
      <w:pPr>
        <w:pStyle w:val="Style_2"/>
        <w:spacing w:line="240" w:lineRule="auto"/>
        <w:ind w:firstLine="709" w:left="0" w:right="0"/>
        <w:jc w:val="both"/>
        <w:rPr>
          <w:rFonts w:ascii="Times New Roman" w:hAnsi="Times New Roman"/>
        </w:rPr>
      </w:pPr>
      <w:r>
        <w:t>В целях продвижения туристского продукта Камчатского края ежегодно:</w:t>
      </w:r>
    </w:p>
    <w:p w14:paraId="55060000">
      <w:pPr>
        <w:pStyle w:val="Style_7"/>
        <w:tabs>
          <w:tab w:leader="none" w:pos="708" w:val="clear"/>
          <w:tab w:leader="none" w:pos="851" w:val="left"/>
        </w:tabs>
        <w:spacing w:after="0" w:before="0" w:line="240" w:lineRule="auto"/>
        <w:ind w:firstLine="709" w:left="0" w:right="0"/>
        <w:contextualSpacing w:val="1"/>
        <w:jc w:val="both"/>
        <w:rPr>
          <w:rFonts w:ascii="Times New Roman" w:hAnsi="Times New Roman"/>
        </w:rPr>
      </w:pPr>
      <w:r>
        <w:rPr>
          <w:rFonts w:ascii="Times New Roman" w:hAnsi="Times New Roman"/>
        </w:rPr>
        <w:t xml:space="preserve">– </w:t>
      </w:r>
      <w:r>
        <w:rPr>
          <w:rFonts w:ascii="Times New Roman" w:hAnsi="Times New Roman"/>
          <w:sz w:val="24"/>
        </w:rPr>
        <w:t>делегации от Камчатского края принимают участие в крупнейших международных, межрегиональных и региональных презентационных и выставочных мероприятиях;</w:t>
      </w:r>
    </w:p>
    <w:p w14:paraId="56060000">
      <w:pPr>
        <w:pStyle w:val="Style_7"/>
        <w:tabs>
          <w:tab w:leader="none" w:pos="708" w:val="clear"/>
          <w:tab w:leader="none" w:pos="851" w:val="left"/>
        </w:tabs>
        <w:spacing w:after="0" w:before="0" w:line="240" w:lineRule="auto"/>
        <w:ind w:firstLine="709" w:left="0" w:right="0"/>
        <w:contextualSpacing w:val="1"/>
        <w:jc w:val="both"/>
        <w:rPr>
          <w:rFonts w:ascii="Times New Roman" w:hAnsi="Times New Roman"/>
        </w:rPr>
      </w:pPr>
      <w:r>
        <w:rPr>
          <w:rFonts w:ascii="Times New Roman" w:hAnsi="Times New Roman"/>
        </w:rPr>
        <w:t xml:space="preserve">– </w:t>
      </w:r>
      <w:r>
        <w:rPr>
          <w:rFonts w:ascii="Times New Roman" w:hAnsi="Times New Roman"/>
          <w:sz w:val="24"/>
        </w:rPr>
        <w:t>публикуются информационные материалы о туристической привлекательности Камчатского края в федеральных журналах, каталогах и бортовых журналах;</w:t>
      </w:r>
    </w:p>
    <w:p w14:paraId="57060000">
      <w:pPr>
        <w:pStyle w:val="Style_7"/>
        <w:tabs>
          <w:tab w:leader="none" w:pos="708" w:val="clear"/>
          <w:tab w:leader="none" w:pos="851" w:val="left"/>
        </w:tabs>
        <w:spacing w:after="0" w:before="0" w:line="240" w:lineRule="auto"/>
        <w:ind w:firstLine="709" w:left="0" w:right="0"/>
        <w:contextualSpacing w:val="1"/>
        <w:jc w:val="both"/>
        <w:rPr>
          <w:rFonts w:ascii="Times New Roman" w:hAnsi="Times New Roman"/>
        </w:rPr>
      </w:pPr>
      <w:r>
        <w:rPr>
          <w:rFonts w:ascii="Times New Roman" w:hAnsi="Times New Roman"/>
        </w:rPr>
        <w:t xml:space="preserve">– </w:t>
      </w:r>
      <w:r>
        <w:rPr>
          <w:rFonts w:ascii="Times New Roman" w:hAnsi="Times New Roman"/>
          <w:sz w:val="24"/>
        </w:rPr>
        <w:t>проводятся промо- и пресс-туры.</w:t>
      </w:r>
    </w:p>
    <w:p w14:paraId="58060000">
      <w:pPr>
        <w:pStyle w:val="Style_2"/>
        <w:tabs>
          <w:tab w:leader="none" w:pos="708" w:val="clear"/>
          <w:tab w:leader="none" w:pos="851" w:val="left"/>
        </w:tabs>
        <w:spacing w:line="240" w:lineRule="auto"/>
        <w:ind w:firstLine="709" w:left="0" w:right="0"/>
        <w:jc w:val="both"/>
        <w:rPr>
          <w:rFonts w:ascii="Times New Roman" w:hAnsi="Times New Roman"/>
        </w:rPr>
      </w:pPr>
      <w:r>
        <w:t>С целью популяризации отдельных видов туризма в Камчатском крае ежегодно проводятся:</w:t>
      </w:r>
    </w:p>
    <w:p w14:paraId="59060000">
      <w:pPr>
        <w:pStyle w:val="Style_7"/>
        <w:tabs>
          <w:tab w:leader="none" w:pos="708" w:val="clear"/>
          <w:tab w:leader="none" w:pos="851" w:val="left"/>
        </w:tabs>
        <w:spacing w:after="0" w:before="0" w:line="240" w:lineRule="auto"/>
        <w:ind w:firstLine="709" w:left="0" w:right="0"/>
        <w:contextualSpacing w:val="1"/>
        <w:jc w:val="both"/>
        <w:rPr>
          <w:rFonts w:ascii="Times New Roman" w:hAnsi="Times New Roman"/>
        </w:rPr>
      </w:pPr>
      <w:r>
        <w:rPr>
          <w:rFonts w:ascii="Times New Roman" w:hAnsi="Times New Roman"/>
        </w:rPr>
        <w:t xml:space="preserve">– </w:t>
      </w:r>
      <w:r>
        <w:rPr>
          <w:rFonts w:ascii="Times New Roman" w:hAnsi="Times New Roman"/>
          <w:sz w:val="24"/>
        </w:rPr>
        <w:t>краевой праздник «Дни туризма в Камчатском крае»;</w:t>
      </w:r>
    </w:p>
    <w:p w14:paraId="5A060000">
      <w:pPr>
        <w:pStyle w:val="Style_7"/>
        <w:tabs>
          <w:tab w:leader="none" w:pos="708" w:val="clear"/>
          <w:tab w:leader="none" w:pos="851" w:val="left"/>
        </w:tabs>
        <w:spacing w:after="0" w:before="0" w:line="240" w:lineRule="auto"/>
        <w:ind w:firstLine="709" w:left="0" w:right="0"/>
        <w:contextualSpacing w:val="1"/>
        <w:jc w:val="both"/>
        <w:rPr>
          <w:rFonts w:ascii="Times New Roman" w:hAnsi="Times New Roman"/>
        </w:rPr>
      </w:pPr>
      <w:r>
        <w:rPr>
          <w:rFonts w:ascii="Times New Roman" w:hAnsi="Times New Roman"/>
        </w:rPr>
        <w:t xml:space="preserve">– </w:t>
      </w:r>
      <w:r>
        <w:rPr>
          <w:rFonts w:ascii="Times New Roman" w:hAnsi="Times New Roman"/>
          <w:sz w:val="24"/>
        </w:rPr>
        <w:t>краевое мероприятие «День Вулкана»;</w:t>
      </w:r>
    </w:p>
    <w:p w14:paraId="5B060000">
      <w:pPr>
        <w:pStyle w:val="Style_7"/>
        <w:tabs>
          <w:tab w:leader="none" w:pos="708" w:val="clear"/>
          <w:tab w:leader="none" w:pos="851" w:val="left"/>
        </w:tabs>
        <w:spacing w:after="0" w:before="0" w:line="240" w:lineRule="auto"/>
        <w:ind w:firstLine="709" w:left="0" w:right="0"/>
        <w:contextualSpacing w:val="1"/>
        <w:jc w:val="both"/>
        <w:rPr>
          <w:rFonts w:ascii="Times New Roman" w:hAnsi="Times New Roman"/>
        </w:rPr>
      </w:pPr>
      <w:r>
        <w:rPr>
          <w:rFonts w:ascii="Times New Roman" w:hAnsi="Times New Roman"/>
        </w:rPr>
        <w:t xml:space="preserve">– </w:t>
      </w:r>
      <w:r>
        <w:rPr>
          <w:rFonts w:ascii="Times New Roman" w:hAnsi="Times New Roman"/>
          <w:sz w:val="24"/>
        </w:rPr>
        <w:t>фестиваль «ПапоротнИКРАб»;</w:t>
      </w:r>
    </w:p>
    <w:p w14:paraId="5C060000">
      <w:pPr>
        <w:pStyle w:val="Style_7"/>
        <w:tabs>
          <w:tab w:leader="none" w:pos="708" w:val="clear"/>
          <w:tab w:leader="none" w:pos="851" w:val="left"/>
        </w:tabs>
        <w:spacing w:after="0" w:before="0" w:line="240" w:lineRule="auto"/>
        <w:ind w:firstLine="709" w:left="0" w:right="0"/>
        <w:contextualSpacing w:val="1"/>
        <w:jc w:val="both"/>
        <w:rPr>
          <w:rFonts w:ascii="Times New Roman" w:hAnsi="Times New Roman"/>
        </w:rPr>
      </w:pPr>
      <w:r>
        <w:rPr>
          <w:rFonts w:ascii="Times New Roman" w:hAnsi="Times New Roman"/>
        </w:rPr>
        <w:t xml:space="preserve">– </w:t>
      </w:r>
      <w:r>
        <w:rPr>
          <w:rFonts w:ascii="Times New Roman" w:hAnsi="Times New Roman"/>
          <w:sz w:val="24"/>
        </w:rPr>
        <w:t>краевой фестиваль «Сохраним лососей ВМЕСТЕ!».</w:t>
      </w:r>
    </w:p>
    <w:p w14:paraId="5D060000">
      <w:pPr>
        <w:pStyle w:val="Style_2"/>
        <w:spacing w:line="240" w:lineRule="auto"/>
        <w:ind w:firstLine="708" w:left="0" w:right="0"/>
        <w:jc w:val="both"/>
        <w:rPr>
          <w:rFonts w:ascii="Times New Roman" w:hAnsi="Times New Roman"/>
        </w:rPr>
      </w:pPr>
      <w:r>
        <w:t>В 2022–2023 годах на Камчатке прошел Всероссийский молодежный экологический форум «Экосистема. Заповедный край». В 2023 году в участии форума привлечено 450 участников из 89 субъектов Российской Федерации и 12 зарубежных стран.</w:t>
      </w:r>
    </w:p>
    <w:p w14:paraId="5E060000">
      <w:pPr>
        <w:pStyle w:val="Style_2"/>
        <w:widowControl w:val="1"/>
        <w:spacing w:after="0" w:before="0" w:line="240" w:lineRule="auto"/>
        <w:ind w:firstLine="737" w:left="0" w:right="0"/>
        <w:jc w:val="both"/>
        <w:rPr>
          <w:rFonts w:ascii="Times New Roman" w:hAnsi="Times New Roman"/>
        </w:rPr>
      </w:pPr>
      <w:r>
        <w:t>В 2022 году больше 20 млн рублей удалось привлечь в регион на проведение таких крупных этнокультурных мероприятий, как просветительский марафон «Берингия – лицом к лицу с Севером», фестиваль «Страна Рыбы и Рыбоедов», Межрегиональный этнокультурный просветительский марафон «Берингия – Артика» за счет проектов АНО</w:t>
      </w:r>
      <w:r>
        <w:rPr>
          <w:b w:val="1"/>
        </w:rPr>
        <w:t> </w:t>
      </w:r>
      <w:r>
        <w:t>«КВТЦ», получивших грантовую поддержку Президентского фонда культурных инициатив.</w:t>
      </w:r>
    </w:p>
    <w:p w14:paraId="5F060000">
      <w:pPr>
        <w:pStyle w:val="Style_2"/>
        <w:widowControl w:val="1"/>
        <w:spacing w:after="0" w:before="0" w:line="240" w:lineRule="auto"/>
        <w:ind w:firstLine="737" w:left="0" w:right="0"/>
        <w:jc w:val="both"/>
        <w:rPr>
          <w:rFonts w:ascii="Times New Roman" w:hAnsi="Times New Roman"/>
        </w:rPr>
      </w:pPr>
      <w:r>
        <w:t>В 2023 году реализованы проекты «Межрегиональный этно-культурный просветительский марафон Берингия – Арктика», «Мультикультурный экодружелюбный арт-фестиваль «День вулкана», Фестиваль содружества региональных вкусов «Есть наше», конкурс детских рисунков в рамках фестиваля «Сохраним лососей ВМЕСТЕ!».</w:t>
      </w:r>
    </w:p>
    <w:p w14:paraId="60060000">
      <w:pPr>
        <w:pStyle w:val="Style_2"/>
        <w:tabs>
          <w:tab w:leader="none" w:pos="708" w:val="clear"/>
          <w:tab w:leader="none" w:pos="851" w:val="left"/>
        </w:tabs>
        <w:spacing w:line="240" w:lineRule="auto"/>
        <w:ind w:firstLine="567" w:left="0" w:right="0"/>
        <w:jc w:val="both"/>
        <w:rPr>
          <w:rFonts w:ascii="Times New Roman" w:hAnsi="Times New Roman"/>
        </w:rPr>
      </w:pPr>
      <w:r>
        <w:t>В целях повышения качества туристских услуг в Камчатском крае ежегодно:</w:t>
      </w:r>
    </w:p>
    <w:p w14:paraId="61060000">
      <w:pPr>
        <w:pStyle w:val="Style_7"/>
        <w:tabs>
          <w:tab w:leader="none" w:pos="708" w:val="clear"/>
          <w:tab w:leader="none" w:pos="851" w:val="left"/>
        </w:tabs>
        <w:spacing w:after="0" w:before="0" w:line="240" w:lineRule="auto"/>
        <w:ind w:firstLine="567" w:left="0" w:right="0"/>
        <w:contextualSpacing w:val="1"/>
        <w:jc w:val="both"/>
        <w:rPr>
          <w:rFonts w:ascii="Times New Roman" w:hAnsi="Times New Roman"/>
        </w:rPr>
      </w:pPr>
      <w:r>
        <w:rPr>
          <w:rFonts w:ascii="Times New Roman" w:hAnsi="Times New Roman"/>
        </w:rPr>
        <w:t xml:space="preserve">– </w:t>
      </w:r>
      <w:r>
        <w:rPr>
          <w:rFonts w:ascii="Times New Roman" w:hAnsi="Times New Roman"/>
          <w:sz w:val="24"/>
        </w:rPr>
        <w:t>проводятся курсы подготовки и переподготовки инструкторов-проводников, экскурсоводов (гидов), гидов-переводчиков;</w:t>
      </w:r>
    </w:p>
    <w:p w14:paraId="62060000">
      <w:pPr>
        <w:pStyle w:val="Style_7"/>
        <w:tabs>
          <w:tab w:leader="none" w:pos="708" w:val="clear"/>
          <w:tab w:leader="none" w:pos="851" w:val="left"/>
        </w:tabs>
        <w:spacing w:after="0" w:before="0" w:line="240" w:lineRule="auto"/>
        <w:ind w:firstLine="567" w:left="0" w:right="0"/>
        <w:contextualSpacing w:val="1"/>
        <w:jc w:val="both"/>
        <w:rPr>
          <w:rFonts w:ascii="Times New Roman" w:hAnsi="Times New Roman"/>
        </w:rPr>
      </w:pPr>
      <w:r>
        <w:rPr>
          <w:rFonts w:ascii="Times New Roman" w:hAnsi="Times New Roman"/>
        </w:rPr>
        <w:t xml:space="preserve">– </w:t>
      </w:r>
      <w:r>
        <w:rPr>
          <w:rFonts w:ascii="Times New Roman" w:hAnsi="Times New Roman"/>
          <w:sz w:val="24"/>
        </w:rPr>
        <w:t>проводятся обучающие семинары для специалистов гостиничной индустрии Камчатского края;</w:t>
      </w:r>
    </w:p>
    <w:p w14:paraId="63060000">
      <w:pPr>
        <w:pStyle w:val="Style_7"/>
        <w:tabs>
          <w:tab w:leader="none" w:pos="708" w:val="clear"/>
          <w:tab w:leader="none" w:pos="851" w:val="left"/>
        </w:tabs>
        <w:spacing w:after="0" w:before="0" w:line="240" w:lineRule="auto"/>
        <w:ind w:firstLine="567" w:left="0" w:right="0"/>
        <w:contextualSpacing w:val="1"/>
        <w:jc w:val="both"/>
        <w:rPr>
          <w:rFonts w:ascii="Times New Roman" w:hAnsi="Times New Roman"/>
        </w:rPr>
      </w:pPr>
      <w:r>
        <w:rPr>
          <w:rFonts w:ascii="Times New Roman" w:hAnsi="Times New Roman"/>
        </w:rPr>
        <w:t xml:space="preserve">– </w:t>
      </w:r>
      <w:r>
        <w:rPr>
          <w:rFonts w:ascii="Times New Roman" w:hAnsi="Times New Roman"/>
          <w:sz w:val="24"/>
        </w:rPr>
        <w:t>ведутся работы по модернизации и наполнению туристского сайта www.visitkamchatka.ru.</w:t>
      </w:r>
    </w:p>
    <w:p w14:paraId="64060000">
      <w:pPr>
        <w:pStyle w:val="Style_2"/>
        <w:spacing w:line="240" w:lineRule="auto"/>
        <w:ind w:firstLine="567" w:left="0" w:right="0"/>
        <w:jc w:val="both"/>
        <w:rPr>
          <w:rFonts w:ascii="Times New Roman" w:hAnsi="Times New Roman"/>
        </w:rPr>
      </w:pPr>
      <w:r>
        <w:t>Правительство Камчатского края оказывает государственную поддержку для стимулирования развития социального туризма на территории Камчатского края. Всего за 10 лет социальные туры посетили 9 291 человек.</w:t>
      </w:r>
    </w:p>
    <w:p w14:paraId="65060000">
      <w:pPr>
        <w:pStyle w:val="Style_2"/>
        <w:spacing w:line="240" w:lineRule="auto"/>
        <w:ind w:firstLine="567" w:left="0" w:right="0"/>
        <w:jc w:val="both"/>
        <w:rPr>
          <w:rFonts w:ascii="Times New Roman" w:hAnsi="Times New Roman"/>
        </w:rPr>
      </w:pPr>
      <w:r>
        <w:t>Достижению прогнозных показателей будет способствовать реализация инвестиционных проектов, направленных на развитие инфраструктуры туризма.</w:t>
      </w:r>
    </w:p>
    <w:p w14:paraId="66060000">
      <w:pPr>
        <w:pStyle w:val="Style_2"/>
        <w:spacing w:line="240" w:lineRule="auto"/>
        <w:ind w:firstLine="567" w:left="0" w:right="0"/>
        <w:jc w:val="both"/>
        <w:rPr>
          <w:rFonts w:ascii="Times New Roman" w:hAnsi="Times New Roman"/>
        </w:rPr>
      </w:pPr>
      <w:r>
        <w:t>В Камчатском крае реализуется ряд крупных проектов в сфере туризма. В качестве государственной достаточно мощной поддержки выступают режимы ТОР «Камчатка» и СПВ.</w:t>
      </w:r>
    </w:p>
    <w:p w14:paraId="67060000">
      <w:pPr>
        <w:pStyle w:val="Style_2"/>
        <w:spacing w:line="240" w:lineRule="auto"/>
        <w:ind w:firstLine="709" w:left="0" w:right="0"/>
        <w:jc w:val="both"/>
        <w:rPr>
          <w:rFonts w:ascii="Times New Roman" w:hAnsi="Times New Roman"/>
        </w:rPr>
      </w:pPr>
      <w:r>
        <w:t>Наиболее крупные и значимые инвестиционные проекты, реализуемые по состоянию на 1 января 2024 года:</w:t>
      </w:r>
    </w:p>
    <w:p w14:paraId="68060000">
      <w:pPr>
        <w:pStyle w:val="Style_2"/>
        <w:spacing w:line="240" w:lineRule="auto"/>
        <w:ind w:firstLine="709" w:left="0" w:right="0"/>
        <w:jc w:val="both"/>
        <w:rPr>
          <w:rFonts w:ascii="Times New Roman" w:hAnsi="Times New Roman"/>
        </w:rPr>
      </w:pPr>
      <w:r>
        <w:t>1. «Создание курорта международного стандарта и общедоступной курортной инфраструктуры «Парк «Три вулкана». Инициатор – ООО «Парк «Три вулкана».</w:t>
      </w:r>
    </w:p>
    <w:p w14:paraId="69060000">
      <w:pPr>
        <w:pStyle w:val="Style_2"/>
        <w:spacing w:line="240" w:lineRule="auto"/>
        <w:ind w:firstLine="709" w:left="0" w:right="0"/>
        <w:jc w:val="both"/>
        <w:rPr>
          <w:rFonts w:ascii="Times New Roman" w:hAnsi="Times New Roman"/>
        </w:rPr>
      </w:pPr>
      <w:r>
        <w:t>Парк «Три вулкана» – это туристский проект, территория которого объединяет различные достопримечательности полуострова Камчатка и позволяет развивать такие виды туризма, как: бальнеологический, горнолыжный, горный и круизный. В основе концепции Проекта лежит комплексный подход к развитию территории.</w:t>
      </w:r>
    </w:p>
    <w:p w14:paraId="6A060000">
      <w:pPr>
        <w:pStyle w:val="Style_2"/>
        <w:spacing w:line="240" w:lineRule="auto"/>
        <w:ind w:firstLine="709" w:left="0" w:right="0"/>
        <w:jc w:val="both"/>
        <w:rPr>
          <w:rFonts w:ascii="Times New Roman" w:hAnsi="Times New Roman"/>
        </w:rPr>
      </w:pPr>
      <w:r>
        <w:t>Для обеспечения подъездов к объектам Парка предполагается проектирование и строительство автомобильных дорог общей протяженностью 100 км. Для причаливания круизных и прогулочных судов планируется строительство пассажирского морского терминала с пунктом пропуска через государственную границу в бухте Вилючинская. Теплоснабжение и горячее водоснабжение объектов Парка предусматривается путём использования геотермальных энергоресурсов.</w:t>
      </w:r>
    </w:p>
    <w:p w14:paraId="6B060000">
      <w:pPr>
        <w:pStyle w:val="Style_2"/>
        <w:spacing w:line="240" w:lineRule="auto"/>
        <w:ind w:firstLine="709" w:left="0" w:right="0"/>
        <w:jc w:val="both"/>
        <w:rPr>
          <w:rFonts w:ascii="Times New Roman" w:hAnsi="Times New Roman"/>
        </w:rPr>
      </w:pPr>
      <w:r>
        <w:t>Реализация проекта создаст 864 новых рабочих места. В рамках проекта будут построены коллективные места размещения на 1000 номеров. Срок реализации проекта 2029 год. В 2022 году начато строительство дороги протяженностью 32 км.</w:t>
      </w:r>
    </w:p>
    <w:p w14:paraId="6C060000">
      <w:pPr>
        <w:pStyle w:val="Style_2"/>
        <w:spacing w:after="0" w:before="0" w:line="240" w:lineRule="auto"/>
        <w:ind w:firstLine="709" w:left="0" w:right="0"/>
        <w:jc w:val="both"/>
        <w:rPr>
          <w:rFonts w:ascii="Times New Roman" w:hAnsi="Times New Roman"/>
        </w:rPr>
      </w:pPr>
      <w:r>
        <w:t>2. Объекты ООО «Голубая Лагуна»:</w:t>
      </w:r>
    </w:p>
    <w:p w14:paraId="6D060000">
      <w:pPr>
        <w:pStyle w:val="Style_2"/>
        <w:spacing w:after="0" w:before="0" w:line="240" w:lineRule="auto"/>
        <w:ind w:firstLine="709" w:left="0" w:right="0"/>
        <w:jc w:val="both"/>
        <w:rPr>
          <w:rFonts w:ascii="Times New Roman" w:hAnsi="Times New Roman"/>
        </w:rPr>
      </w:pPr>
      <w:r>
        <w:t xml:space="preserve">– </w:t>
      </w:r>
      <w:r>
        <w:t>СПА-отель «Лагуна» (Елизовский муниципальный район);</w:t>
      </w:r>
    </w:p>
    <w:p w14:paraId="6E060000">
      <w:pPr>
        <w:pStyle w:val="Style_2"/>
        <w:spacing w:after="0" w:before="0" w:line="240" w:lineRule="auto"/>
        <w:ind w:firstLine="709" w:left="0" w:right="0"/>
        <w:jc w:val="both"/>
        <w:rPr>
          <w:rFonts w:ascii="Times New Roman" w:hAnsi="Times New Roman"/>
        </w:rPr>
      </w:pPr>
      <w:r>
        <w:t xml:space="preserve">– </w:t>
      </w:r>
      <w:r>
        <w:t>Санаторий «Жемчужина Камчатки» (Елизовский муниципальный район);</w:t>
      </w:r>
    </w:p>
    <w:p w14:paraId="6F060000">
      <w:pPr>
        <w:pStyle w:val="Style_2"/>
        <w:spacing w:after="0" w:before="0" w:line="240" w:lineRule="auto"/>
        <w:ind w:firstLine="709" w:left="0" w:right="0"/>
        <w:jc w:val="both"/>
        <w:rPr>
          <w:rFonts w:ascii="Times New Roman" w:hAnsi="Times New Roman"/>
        </w:rPr>
      </w:pPr>
      <w:r>
        <w:t xml:space="preserve">– </w:t>
      </w:r>
      <w:r>
        <w:t>Загородный отель «Геолог», ООО «Геолог» (Мильковский муниципальный район);</w:t>
      </w:r>
    </w:p>
    <w:p w14:paraId="70060000">
      <w:pPr>
        <w:pStyle w:val="Style_2"/>
        <w:spacing w:after="0" w:before="0" w:line="240" w:lineRule="auto"/>
        <w:ind w:firstLine="709" w:left="0" w:right="0"/>
        <w:jc w:val="both"/>
        <w:rPr>
          <w:rFonts w:ascii="Times New Roman" w:hAnsi="Times New Roman"/>
        </w:rPr>
      </w:pPr>
      <w:r>
        <w:t xml:space="preserve">– </w:t>
      </w:r>
      <w:r>
        <w:t>Отель «Аврора» (Мильковский муниципальный район);</w:t>
      </w:r>
    </w:p>
    <w:p w14:paraId="71060000">
      <w:pPr>
        <w:pStyle w:val="Style_2"/>
        <w:spacing w:after="0" w:before="0" w:line="240" w:lineRule="auto"/>
        <w:ind w:firstLine="709" w:left="0" w:right="0"/>
        <w:jc w:val="both"/>
        <w:rPr>
          <w:rFonts w:ascii="Times New Roman" w:hAnsi="Times New Roman"/>
        </w:rPr>
      </w:pPr>
      <w:r>
        <w:t xml:space="preserve">– </w:t>
      </w:r>
      <w:r>
        <w:t>Мини-отель (модульный) с. Эссо — Быстринский муниципальный район.</w:t>
      </w:r>
    </w:p>
    <w:p w14:paraId="72060000">
      <w:pPr>
        <w:pStyle w:val="Style_2"/>
        <w:spacing w:after="0" w:before="0" w:line="240" w:lineRule="auto"/>
        <w:ind w:firstLine="709" w:left="0" w:right="0"/>
        <w:jc w:val="both"/>
        <w:rPr>
          <w:rFonts w:ascii="Times New Roman" w:hAnsi="Times New Roman"/>
        </w:rPr>
      </w:pPr>
      <w:r>
        <w:t>3. Санаторий «Начикинский».</w:t>
      </w:r>
    </w:p>
    <w:p w14:paraId="73060000">
      <w:pPr>
        <w:pStyle w:val="Style_2"/>
        <w:spacing w:after="0" w:before="0" w:line="240" w:lineRule="auto"/>
        <w:ind w:firstLine="709" w:left="0" w:right="0"/>
        <w:jc w:val="both"/>
        <w:rPr>
          <w:rFonts w:ascii="Times New Roman" w:hAnsi="Times New Roman"/>
        </w:rPr>
      </w:pPr>
      <w:r>
        <w:t>Планируется реконструкция основного гостиничного корпуса на 96 номеров, лечебного корпуса с рестораном, конференц-залом,благоустройство территории (2022-2025 гг.). Создание рабочих мест – 15 чел. Проектная мощность при 70% загрузке предполагает обслуживание более 6000 человек в год.</w:t>
      </w:r>
    </w:p>
    <w:p w14:paraId="74060000">
      <w:pPr>
        <w:pStyle w:val="Style_2"/>
        <w:spacing w:after="0" w:before="0" w:line="240" w:lineRule="auto"/>
        <w:ind w:firstLine="709" w:left="0" w:right="0"/>
        <w:jc w:val="both"/>
        <w:rPr>
          <w:rFonts w:ascii="Times New Roman" w:hAnsi="Times New Roman"/>
        </w:rPr>
      </w:pPr>
      <w:r>
        <w:t>4. Гостиница на ул. Ленинградская в г. Петропавловске-Камчатском.</w:t>
      </w:r>
    </w:p>
    <w:p w14:paraId="75060000">
      <w:pPr>
        <w:pStyle w:val="Style_2"/>
        <w:spacing w:after="0" w:before="0" w:line="240" w:lineRule="auto"/>
        <w:ind w:firstLine="709" w:left="0" w:right="0"/>
        <w:jc w:val="both"/>
        <w:rPr>
          <w:rFonts w:ascii="Times New Roman" w:hAnsi="Times New Roman"/>
        </w:rPr>
      </w:pPr>
      <w:r>
        <w:t>Ведется строительство многофункционального комплекса – бизнес-отеля 4 звезды, включающего СПА-центр с бассейном, ресторан, лобби-бар, скай-бар, а также банкетный зал,  вместимостью до 100 гостей. Срок реализации проекта 2024 год.</w:t>
      </w:r>
    </w:p>
    <w:p w14:paraId="76060000">
      <w:pPr>
        <w:pStyle w:val="Style_2"/>
        <w:spacing w:after="0" w:before="0" w:line="240" w:lineRule="auto"/>
        <w:ind w:firstLine="709" w:left="0" w:right="0"/>
        <w:jc w:val="both"/>
        <w:rPr>
          <w:rFonts w:ascii="Times New Roman" w:hAnsi="Times New Roman"/>
        </w:rPr>
      </w:pPr>
      <w:r>
        <w:t>5. Гостиница на ул. Топоркова.</w:t>
      </w:r>
    </w:p>
    <w:p w14:paraId="77060000">
      <w:pPr>
        <w:pStyle w:val="Style_2"/>
        <w:spacing w:after="0" w:before="0" w:line="240" w:lineRule="auto"/>
        <w:ind w:firstLine="709" w:left="0" w:right="0"/>
        <w:jc w:val="both"/>
        <w:rPr>
          <w:rFonts w:ascii="Times New Roman" w:hAnsi="Times New Roman"/>
        </w:rPr>
      </w:pPr>
      <w:r>
        <w:t>В июле 2024 года в г. Петропавловске-Камчатском планируется ввод в эксплуатацию 3-х звездочного гостиничного комплекса. Комплекс представляет из себя 9-ти этажное здание: 65 двухместных номеров, кафе на 70 посадочных мест, конференц-зал.</w:t>
      </w:r>
    </w:p>
    <w:p w14:paraId="78060000">
      <w:pPr>
        <w:pStyle w:val="Style_2"/>
        <w:spacing w:line="240" w:lineRule="auto"/>
        <w:ind w:firstLine="709" w:left="0" w:right="0"/>
        <w:jc w:val="both"/>
        <w:rPr>
          <w:rFonts w:ascii="Times New Roman" w:hAnsi="Times New Roman"/>
        </w:rPr>
      </w:pPr>
      <w:r>
        <w:t>Камчатский край обладает рядом существенных конкурентных преимуществ (факторов туристской привлекательности). К наиболее важным из них можно отнести:</w:t>
      </w:r>
    </w:p>
    <w:p w14:paraId="79060000">
      <w:pPr>
        <w:pStyle w:val="Style_7"/>
        <w:numPr>
          <w:ilvl w:val="0"/>
          <w:numId w:val="1"/>
        </w:numPr>
        <w:tabs>
          <w:tab w:leader="none" w:pos="708" w:val="clear"/>
          <w:tab w:leader="none" w:pos="993" w:val="left"/>
        </w:tabs>
        <w:spacing w:after="0" w:before="0" w:line="240" w:lineRule="auto"/>
        <w:ind w:firstLine="709" w:left="0" w:right="0"/>
        <w:contextualSpacing w:val="1"/>
        <w:jc w:val="both"/>
        <w:rPr>
          <w:rFonts w:ascii="Times New Roman" w:hAnsi="Times New Roman"/>
        </w:rPr>
      </w:pPr>
      <w:r>
        <w:rPr>
          <w:rFonts w:ascii="Times New Roman" w:hAnsi="Times New Roman"/>
          <w:sz w:val="24"/>
        </w:rPr>
        <w:t>близость к странам Азиатско-Тихоокеанского региона (которые можно рассматривать, как один из целевых рынков сбыта);</w:t>
      </w:r>
    </w:p>
    <w:p w14:paraId="7A060000">
      <w:pPr>
        <w:pStyle w:val="Style_7"/>
        <w:numPr>
          <w:ilvl w:val="0"/>
          <w:numId w:val="1"/>
        </w:numPr>
        <w:tabs>
          <w:tab w:leader="none" w:pos="708" w:val="clear"/>
          <w:tab w:leader="none" w:pos="993" w:val="left"/>
        </w:tabs>
        <w:spacing w:after="0" w:before="0" w:line="240" w:lineRule="auto"/>
        <w:ind w:firstLine="709" w:left="0" w:right="0"/>
        <w:contextualSpacing w:val="1"/>
        <w:jc w:val="both"/>
        <w:rPr>
          <w:rFonts w:ascii="Times New Roman" w:hAnsi="Times New Roman"/>
        </w:rPr>
      </w:pPr>
      <w:r>
        <w:rPr>
          <w:rFonts w:ascii="Times New Roman" w:hAnsi="Times New Roman"/>
          <w:sz w:val="24"/>
        </w:rPr>
        <w:t>благоприятная экологическая обстановка;</w:t>
      </w:r>
    </w:p>
    <w:p w14:paraId="7B060000">
      <w:pPr>
        <w:pStyle w:val="Style_7"/>
        <w:numPr>
          <w:ilvl w:val="0"/>
          <w:numId w:val="1"/>
        </w:numPr>
        <w:tabs>
          <w:tab w:leader="none" w:pos="708" w:val="clear"/>
          <w:tab w:leader="none" w:pos="993" w:val="left"/>
        </w:tabs>
        <w:spacing w:after="0" w:before="0" w:line="240" w:lineRule="auto"/>
        <w:ind w:firstLine="709" w:left="0" w:right="0"/>
        <w:contextualSpacing w:val="1"/>
        <w:jc w:val="both"/>
        <w:rPr>
          <w:rFonts w:ascii="Times New Roman" w:hAnsi="Times New Roman"/>
        </w:rPr>
      </w:pPr>
      <w:r>
        <w:rPr>
          <w:rFonts w:ascii="Times New Roman" w:hAnsi="Times New Roman"/>
          <w:sz w:val="24"/>
        </w:rPr>
        <w:t>наличие всемирно известных памятников культурного и природного наследия ЮНЕСКО;</w:t>
      </w:r>
    </w:p>
    <w:p w14:paraId="7C060000">
      <w:pPr>
        <w:pStyle w:val="Style_7"/>
        <w:numPr>
          <w:ilvl w:val="0"/>
          <w:numId w:val="1"/>
        </w:numPr>
        <w:tabs>
          <w:tab w:leader="none" w:pos="708" w:val="clear"/>
          <w:tab w:leader="none" w:pos="993" w:val="left"/>
        </w:tabs>
        <w:spacing w:after="0" w:before="0" w:line="240" w:lineRule="auto"/>
        <w:ind w:firstLine="709" w:left="0" w:right="0"/>
        <w:contextualSpacing w:val="1"/>
        <w:jc w:val="both"/>
        <w:rPr>
          <w:rFonts w:ascii="Times New Roman" w:hAnsi="Times New Roman"/>
        </w:rPr>
      </w:pPr>
      <w:r>
        <w:rPr>
          <w:rFonts w:ascii="Times New Roman" w:hAnsi="Times New Roman"/>
          <w:sz w:val="24"/>
        </w:rPr>
        <w:t>разнообразие туристско-рекреационных ресурсов.</w:t>
      </w:r>
    </w:p>
    <w:p w14:paraId="7D060000">
      <w:pPr>
        <w:pStyle w:val="Style_7"/>
        <w:tabs>
          <w:tab w:leader="none" w:pos="708" w:val="clear"/>
          <w:tab w:leader="none" w:pos="993" w:val="left"/>
        </w:tabs>
        <w:spacing w:after="0" w:before="0" w:line="240" w:lineRule="auto"/>
        <w:ind w:firstLine="709" w:left="0" w:right="0"/>
        <w:contextualSpacing w:val="1"/>
        <w:jc w:val="both"/>
        <w:rPr>
          <w:rFonts w:ascii="Times New Roman" w:hAnsi="Times New Roman"/>
        </w:rPr>
      </w:pPr>
      <w:r>
        <w:rPr>
          <w:rFonts w:ascii="Times New Roman" w:hAnsi="Times New Roman"/>
          <w:sz w:val="24"/>
        </w:rPr>
        <w:t>На пути становления новых, высокодоходных видов регионального туристско-рекреационного бизнеса существует ряд принципиальных проблем, требующих безотлагательного решения:</w:t>
      </w:r>
    </w:p>
    <w:p w14:paraId="7E060000">
      <w:pPr>
        <w:pStyle w:val="Style_7"/>
        <w:numPr>
          <w:ilvl w:val="0"/>
          <w:numId w:val="1"/>
        </w:numPr>
        <w:tabs>
          <w:tab w:leader="none" w:pos="708" w:val="clear"/>
          <w:tab w:leader="none" w:pos="993" w:val="left"/>
        </w:tabs>
        <w:spacing w:after="0" w:before="0" w:line="240" w:lineRule="auto"/>
        <w:ind w:firstLine="709" w:left="0" w:right="0"/>
        <w:contextualSpacing w:val="1"/>
        <w:jc w:val="both"/>
        <w:rPr>
          <w:rFonts w:ascii="Times New Roman" w:hAnsi="Times New Roman"/>
        </w:rPr>
      </w:pPr>
      <w:r>
        <w:rPr>
          <w:rFonts w:ascii="Times New Roman" w:hAnsi="Times New Roman"/>
          <w:sz w:val="24"/>
        </w:rPr>
        <w:t>удаленное положение региона, ограниченная транспортная доступность и отсутствие четко выраженной политики федерального центра в отношении Камчатского края;</w:t>
      </w:r>
    </w:p>
    <w:p w14:paraId="7F060000">
      <w:pPr>
        <w:pStyle w:val="Style_7"/>
        <w:numPr>
          <w:ilvl w:val="0"/>
          <w:numId w:val="1"/>
        </w:numPr>
        <w:tabs>
          <w:tab w:leader="none" w:pos="708" w:val="clear"/>
          <w:tab w:leader="none" w:pos="993" w:val="left"/>
        </w:tabs>
        <w:spacing w:after="0" w:before="0" w:line="240" w:lineRule="auto"/>
        <w:ind w:firstLine="709" w:left="0" w:right="0"/>
        <w:contextualSpacing w:val="1"/>
        <w:jc w:val="both"/>
        <w:rPr>
          <w:rFonts w:ascii="Times New Roman" w:hAnsi="Times New Roman"/>
        </w:rPr>
      </w:pPr>
      <w:r>
        <w:rPr>
          <w:rFonts w:ascii="Times New Roman" w:hAnsi="Times New Roman"/>
          <w:sz w:val="24"/>
        </w:rPr>
        <w:t>высоко дотационный бюджет, зависимость от федерального центра;</w:t>
      </w:r>
    </w:p>
    <w:p w14:paraId="80060000">
      <w:pPr>
        <w:pStyle w:val="Style_7"/>
        <w:numPr>
          <w:ilvl w:val="0"/>
          <w:numId w:val="1"/>
        </w:numPr>
        <w:tabs>
          <w:tab w:leader="none" w:pos="708" w:val="clear"/>
          <w:tab w:leader="none" w:pos="993" w:val="left"/>
        </w:tabs>
        <w:spacing w:after="0" w:before="0" w:line="240" w:lineRule="auto"/>
        <w:ind w:firstLine="709" w:left="0" w:right="0"/>
        <w:contextualSpacing w:val="1"/>
        <w:jc w:val="both"/>
        <w:rPr>
          <w:rFonts w:ascii="Times New Roman" w:hAnsi="Times New Roman"/>
        </w:rPr>
      </w:pPr>
      <w:r>
        <w:rPr>
          <w:rFonts w:ascii="Times New Roman" w:hAnsi="Times New Roman"/>
          <w:sz w:val="24"/>
        </w:rPr>
        <w:t>неблагоприятная демографическая ситуация и дефицит квалифицированных кадров;</w:t>
      </w:r>
    </w:p>
    <w:p w14:paraId="81060000">
      <w:pPr>
        <w:pStyle w:val="Style_7"/>
        <w:numPr>
          <w:ilvl w:val="0"/>
          <w:numId w:val="1"/>
        </w:numPr>
        <w:tabs>
          <w:tab w:leader="none" w:pos="708" w:val="clear"/>
          <w:tab w:leader="none" w:pos="993" w:val="left"/>
        </w:tabs>
        <w:spacing w:after="0" w:before="0" w:line="240" w:lineRule="auto"/>
        <w:ind w:firstLine="709" w:left="0" w:right="0"/>
        <w:contextualSpacing w:val="1"/>
        <w:jc w:val="both"/>
        <w:rPr>
          <w:rFonts w:ascii="Times New Roman" w:hAnsi="Times New Roman"/>
        </w:rPr>
      </w:pPr>
      <w:r>
        <w:rPr>
          <w:rFonts w:ascii="Times New Roman" w:hAnsi="Times New Roman"/>
          <w:sz w:val="24"/>
        </w:rPr>
        <w:t>низкий уровень внедрения новых технологий и высокий уровень износа основных фондов;</w:t>
      </w:r>
    </w:p>
    <w:p w14:paraId="82060000">
      <w:pPr>
        <w:pStyle w:val="Style_7"/>
        <w:numPr>
          <w:ilvl w:val="0"/>
          <w:numId w:val="1"/>
        </w:numPr>
        <w:tabs>
          <w:tab w:leader="none" w:pos="708" w:val="clear"/>
          <w:tab w:leader="none" w:pos="993" w:val="left"/>
        </w:tabs>
        <w:spacing w:after="0" w:before="0" w:line="240" w:lineRule="auto"/>
        <w:ind w:firstLine="709" w:left="0" w:right="0"/>
        <w:contextualSpacing w:val="1"/>
        <w:jc w:val="both"/>
        <w:rPr>
          <w:rFonts w:ascii="Times New Roman" w:hAnsi="Times New Roman"/>
        </w:rPr>
      </w:pPr>
      <w:r>
        <w:rPr>
          <w:rFonts w:ascii="Times New Roman" w:hAnsi="Times New Roman"/>
          <w:sz w:val="24"/>
        </w:rPr>
        <w:t>отсутствие регулярных морских пассажирских перевозок;</w:t>
      </w:r>
    </w:p>
    <w:p w14:paraId="83060000">
      <w:pPr>
        <w:pStyle w:val="Style_7"/>
        <w:numPr>
          <w:ilvl w:val="0"/>
          <w:numId w:val="1"/>
        </w:numPr>
        <w:tabs>
          <w:tab w:leader="none" w:pos="708" w:val="clear"/>
          <w:tab w:leader="none" w:pos="993" w:val="left"/>
        </w:tabs>
        <w:spacing w:after="0" w:before="0" w:line="240" w:lineRule="auto"/>
        <w:ind w:firstLine="709" w:left="0" w:right="0"/>
        <w:contextualSpacing w:val="1"/>
        <w:jc w:val="both"/>
        <w:rPr>
          <w:rFonts w:ascii="Times New Roman" w:hAnsi="Times New Roman"/>
        </w:rPr>
      </w:pPr>
      <w:r>
        <w:rPr>
          <w:rFonts w:ascii="Times New Roman" w:hAnsi="Times New Roman"/>
          <w:sz w:val="24"/>
        </w:rPr>
        <w:t>неразвитая туристская инфраструктура с низким уровнем комфорта;</w:t>
      </w:r>
    </w:p>
    <w:p w14:paraId="84060000">
      <w:pPr>
        <w:pStyle w:val="Style_7"/>
        <w:numPr>
          <w:ilvl w:val="0"/>
          <w:numId w:val="1"/>
        </w:numPr>
        <w:tabs>
          <w:tab w:leader="none" w:pos="708" w:val="clear"/>
          <w:tab w:leader="none" w:pos="993" w:val="left"/>
        </w:tabs>
        <w:spacing w:after="0" w:before="0" w:line="240" w:lineRule="auto"/>
        <w:ind w:firstLine="709" w:left="0" w:right="0"/>
        <w:contextualSpacing w:val="1"/>
        <w:jc w:val="both"/>
        <w:rPr>
          <w:rFonts w:ascii="Times New Roman" w:hAnsi="Times New Roman"/>
        </w:rPr>
      </w:pPr>
      <w:r>
        <w:rPr>
          <w:rFonts w:ascii="Times New Roman" w:hAnsi="Times New Roman"/>
          <w:sz w:val="24"/>
        </w:rPr>
        <w:t>сложная планировочная структура и низкое качество городской среды; инженерная инфраструктура, не учитывающая специфику местных условий.</w:t>
      </w:r>
    </w:p>
    <w:p w14:paraId="85060000">
      <w:pPr>
        <w:pStyle w:val="Style_7"/>
        <w:tabs>
          <w:tab w:leader="none" w:pos="708" w:val="clear"/>
          <w:tab w:leader="none" w:pos="993" w:val="left"/>
        </w:tabs>
        <w:spacing w:after="0" w:before="0" w:line="240" w:lineRule="auto"/>
        <w:ind w:firstLine="709" w:left="0" w:right="0"/>
        <w:contextualSpacing w:val="1"/>
        <w:jc w:val="both"/>
        <w:rPr>
          <w:rFonts w:ascii="Times New Roman" w:hAnsi="Times New Roman"/>
          <w:sz w:val="24"/>
        </w:rPr>
      </w:pPr>
    </w:p>
    <w:p w14:paraId="86060000">
      <w:pPr>
        <w:pStyle w:val="Style_2"/>
        <w:spacing w:line="240" w:lineRule="auto"/>
        <w:ind w:firstLine="709" w:left="0" w:right="0"/>
        <w:jc w:val="center"/>
        <w:rPr>
          <w:rFonts w:ascii="Times New Roman" w:hAnsi="Times New Roman"/>
        </w:rPr>
      </w:pPr>
      <w:r>
        <w:rPr>
          <w:b w:val="0"/>
        </w:rPr>
        <w:t>Прогноз динамики туристского потока в Камчатском крае на 2025 год и плановый период 2026 и 2027 годов.</w:t>
      </w:r>
    </w:p>
    <w:tbl>
      <w:tblPr>
        <w:tblStyle w:val="Style_6"/>
        <w:tblInd w:type="dxa" w:w="55"/>
        <w:tblLayout w:type="fixed"/>
        <w:tblCellMar>
          <w:top w:type="dxa" w:w="55"/>
          <w:left w:type="dxa" w:w="55"/>
          <w:bottom w:type="dxa" w:w="55"/>
          <w:right w:type="dxa" w:w="55"/>
        </w:tblCellMar>
      </w:tblPr>
      <w:tblGrid>
        <w:gridCol w:w="2194"/>
        <w:gridCol w:w="991"/>
        <w:gridCol w:w="999"/>
        <w:gridCol w:w="994"/>
        <w:gridCol w:w="993"/>
        <w:gridCol w:w="1000"/>
        <w:gridCol w:w="990"/>
        <w:gridCol w:w="993"/>
        <w:gridCol w:w="994"/>
      </w:tblGrid>
      <w:tr>
        <w:tc>
          <w:tcPr>
            <w:tcW w:type="dxa" w:w="2194"/>
            <w:vMerge w:val="restart"/>
            <w:tcBorders>
              <w:top w:color="000000" w:sz="4" w:val="single"/>
              <w:left w:color="000000" w:sz="4" w:val="single"/>
              <w:bottom w:color="000000" w:sz="4" w:val="single"/>
            </w:tcBorders>
            <w:tcMar>
              <w:top w:type="dxa" w:w="55"/>
              <w:left w:type="dxa" w:w="55"/>
              <w:bottom w:type="dxa" w:w="55"/>
              <w:right w:type="dxa" w:w="55"/>
            </w:tcMar>
          </w:tcPr>
          <w:p w14:paraId="87060000">
            <w:pPr>
              <w:pStyle w:val="Style_2"/>
              <w:keepNext w:val="0"/>
              <w:keepLines w:val="0"/>
              <w:widowControl w:val="0"/>
              <w:spacing w:after="0" w:before="0" w:line="240" w:lineRule="auto"/>
              <w:ind w:firstLine="0" w:left="0" w:right="0"/>
              <w:jc w:val="left"/>
              <w:rPr>
                <w:rFonts w:ascii="Times New Roman" w:hAnsi="Times New Roman"/>
                <w:b w:val="0"/>
                <w:i w:val="0"/>
                <w:caps w:val="0"/>
                <w:smallCaps w:val="0"/>
                <w:strike w:val="0"/>
                <w:color w:val="000000"/>
                <w:spacing w:val="0"/>
                <w:sz w:val="22"/>
                <w:u w:val="none"/>
              </w:rPr>
            </w:pPr>
          </w:p>
        </w:tc>
        <w:tc>
          <w:tcPr>
            <w:tcW w:type="dxa" w:w="991"/>
            <w:vMerge w:val="restart"/>
            <w:tcBorders>
              <w:top w:color="000000" w:sz="4" w:val="single"/>
              <w:left w:color="000000" w:sz="4" w:val="single"/>
              <w:bottom w:color="000000" w:sz="4" w:val="single"/>
            </w:tcBorders>
            <w:tcMar>
              <w:top w:type="dxa" w:w="55"/>
              <w:left w:type="dxa" w:w="55"/>
              <w:bottom w:type="dxa" w:w="55"/>
              <w:right w:type="dxa" w:w="55"/>
            </w:tcMar>
          </w:tcPr>
          <w:p w14:paraId="88060000">
            <w:pPr>
              <w:pStyle w:val="Style_2"/>
              <w:keepNext w:val="0"/>
              <w:keepLines w:val="0"/>
              <w:widowControl w:val="0"/>
              <w:spacing w:after="0" w:before="0" w:line="240" w:lineRule="auto"/>
              <w:ind w:firstLine="0" w:left="0" w:right="0"/>
              <w:jc w:val="center"/>
              <w:rPr>
                <w:rFonts w:ascii="Times New Roman" w:hAnsi="Times New Roman"/>
              </w:rPr>
            </w:pPr>
            <w:r>
              <w:rPr>
                <w:b w:val="0"/>
                <w:i w:val="0"/>
                <w:caps w:val="0"/>
                <w:smallCaps w:val="0"/>
                <w:strike w:val="0"/>
                <w:color w:val="000000"/>
                <w:spacing w:val="0"/>
                <w:sz w:val="22"/>
                <w:u w:val="none"/>
              </w:rPr>
              <w:t>2023 год отчет</w:t>
            </w:r>
          </w:p>
        </w:tc>
        <w:tc>
          <w:tcPr>
            <w:tcW w:type="dxa" w:w="999"/>
            <w:vMerge w:val="restart"/>
            <w:tcBorders>
              <w:top w:color="000000" w:sz="4" w:val="single"/>
              <w:left w:color="000000" w:sz="4" w:val="single"/>
              <w:bottom w:color="000000" w:sz="4" w:val="single"/>
            </w:tcBorders>
            <w:tcMar>
              <w:top w:type="dxa" w:w="55"/>
              <w:left w:type="dxa" w:w="55"/>
              <w:bottom w:type="dxa" w:w="55"/>
              <w:right w:type="dxa" w:w="55"/>
            </w:tcMar>
          </w:tcPr>
          <w:p w14:paraId="89060000">
            <w:pPr>
              <w:pStyle w:val="Style_2"/>
              <w:keepNext w:val="0"/>
              <w:keepLines w:val="0"/>
              <w:widowControl w:val="0"/>
              <w:spacing w:after="0" w:before="0" w:line="240" w:lineRule="auto"/>
              <w:ind w:firstLine="0" w:left="0" w:right="0"/>
              <w:jc w:val="center"/>
              <w:rPr>
                <w:rFonts w:ascii="Times New Roman" w:hAnsi="Times New Roman"/>
              </w:rPr>
            </w:pPr>
            <w:r>
              <w:rPr>
                <w:b w:val="0"/>
                <w:i w:val="0"/>
                <w:caps w:val="0"/>
                <w:smallCaps w:val="0"/>
                <w:strike w:val="0"/>
                <w:color w:val="000000"/>
                <w:spacing w:val="0"/>
                <w:sz w:val="22"/>
                <w:u w:val="none"/>
              </w:rPr>
              <w:t>2024 год оценка</w:t>
            </w:r>
          </w:p>
        </w:tc>
        <w:tc>
          <w:tcPr>
            <w:tcW w:type="dxa" w:w="1988"/>
            <w:gridSpan w:val="2"/>
            <w:tcBorders>
              <w:top w:color="000000" w:sz="4" w:val="single"/>
              <w:left w:color="000000" w:sz="4" w:val="single"/>
              <w:bottom w:color="000000" w:sz="4" w:val="single"/>
            </w:tcBorders>
            <w:tcMar>
              <w:top w:type="dxa" w:w="55"/>
              <w:left w:type="dxa" w:w="55"/>
              <w:bottom w:type="dxa" w:w="55"/>
              <w:right w:type="dxa" w:w="55"/>
            </w:tcMar>
          </w:tcPr>
          <w:p w14:paraId="8A060000">
            <w:pPr>
              <w:pStyle w:val="Style_2"/>
              <w:keepNext w:val="0"/>
              <w:keepLines w:val="0"/>
              <w:widowControl w:val="0"/>
              <w:spacing w:after="0" w:before="0" w:line="240" w:lineRule="auto"/>
              <w:ind w:firstLine="0" w:left="0" w:right="0"/>
              <w:jc w:val="center"/>
              <w:rPr>
                <w:rFonts w:ascii="Times New Roman" w:hAnsi="Times New Roman"/>
              </w:rPr>
            </w:pPr>
            <w:r>
              <w:rPr>
                <w:b w:val="0"/>
                <w:i w:val="0"/>
                <w:caps w:val="0"/>
                <w:smallCaps w:val="0"/>
                <w:strike w:val="0"/>
                <w:color w:val="000000"/>
                <w:spacing w:val="0"/>
                <w:sz w:val="22"/>
                <w:u w:val="none"/>
              </w:rPr>
              <w:t>2025 год</w:t>
            </w:r>
          </w:p>
        </w:tc>
        <w:tc>
          <w:tcPr>
            <w:tcW w:type="dxa" w:w="1990"/>
            <w:gridSpan w:val="2"/>
            <w:tcBorders>
              <w:top w:color="000000" w:sz="4" w:val="single"/>
              <w:left w:color="000000" w:sz="4" w:val="single"/>
              <w:bottom w:color="000000" w:sz="4" w:val="single"/>
            </w:tcBorders>
            <w:tcMar>
              <w:top w:type="dxa" w:w="55"/>
              <w:left w:type="dxa" w:w="55"/>
              <w:bottom w:type="dxa" w:w="55"/>
              <w:right w:type="dxa" w:w="55"/>
            </w:tcMar>
          </w:tcPr>
          <w:p w14:paraId="8B060000">
            <w:pPr>
              <w:pStyle w:val="Style_2"/>
              <w:keepNext w:val="0"/>
              <w:keepLines w:val="0"/>
              <w:widowControl w:val="0"/>
              <w:spacing w:after="0" w:before="0" w:line="240" w:lineRule="auto"/>
              <w:ind w:firstLine="0" w:left="0" w:right="0"/>
              <w:jc w:val="center"/>
              <w:rPr>
                <w:rFonts w:ascii="Times New Roman" w:hAnsi="Times New Roman"/>
              </w:rPr>
            </w:pPr>
            <w:r>
              <w:rPr>
                <w:b w:val="0"/>
                <w:i w:val="0"/>
                <w:caps w:val="0"/>
                <w:smallCaps w:val="0"/>
                <w:strike w:val="0"/>
                <w:color w:val="000000"/>
                <w:spacing w:val="0"/>
                <w:sz w:val="22"/>
                <w:u w:val="none"/>
              </w:rPr>
              <w:t>2026 год</w:t>
            </w:r>
          </w:p>
        </w:tc>
        <w:tc>
          <w:tcPr>
            <w:tcW w:type="dxa" w:w="1988"/>
            <w:gridSpan w:val="2"/>
            <w:tcBorders>
              <w:top w:color="000000" w:sz="4" w:val="single"/>
              <w:left w:color="000000" w:sz="4" w:val="single"/>
              <w:bottom w:color="000000" w:sz="4" w:val="single"/>
              <w:right w:color="000000" w:sz="4" w:val="single"/>
            </w:tcBorders>
            <w:tcMar>
              <w:top w:type="dxa" w:w="55"/>
              <w:left w:type="dxa" w:w="55"/>
              <w:bottom w:type="dxa" w:w="55"/>
              <w:right w:type="dxa" w:w="55"/>
            </w:tcMar>
          </w:tcPr>
          <w:p w14:paraId="8C060000">
            <w:pPr>
              <w:pStyle w:val="Style_2"/>
              <w:keepNext w:val="0"/>
              <w:keepLines w:val="0"/>
              <w:widowControl w:val="0"/>
              <w:spacing w:after="0" w:before="0" w:line="240" w:lineRule="auto"/>
              <w:ind w:firstLine="0" w:left="0" w:right="0"/>
              <w:jc w:val="center"/>
              <w:rPr>
                <w:rFonts w:ascii="Times New Roman" w:hAnsi="Times New Roman"/>
              </w:rPr>
            </w:pPr>
            <w:r>
              <w:rPr>
                <w:b w:val="0"/>
                <w:i w:val="0"/>
                <w:caps w:val="0"/>
                <w:smallCaps w:val="0"/>
                <w:strike w:val="0"/>
                <w:color w:val="000000"/>
                <w:spacing w:val="0"/>
                <w:sz w:val="22"/>
                <w:u w:val="none"/>
              </w:rPr>
              <w:t>2027 год</w:t>
            </w:r>
          </w:p>
        </w:tc>
      </w:tr>
      <w:tr>
        <w:tc>
          <w:tcPr>
            <w:tcW w:type="dxa" w:w="2194"/>
            <w:gridSpan w:val="1"/>
            <w:vMerge w:val="continue"/>
            <w:tcBorders>
              <w:top w:color="000000" w:sz="4" w:val="single"/>
              <w:left w:color="000000" w:sz="4" w:val="single"/>
              <w:bottom w:color="000000" w:sz="4" w:val="single"/>
            </w:tcBorders>
            <w:tcMar>
              <w:top w:type="dxa" w:w="55"/>
              <w:left w:type="dxa" w:w="55"/>
              <w:bottom w:type="dxa" w:w="55"/>
              <w:right w:type="dxa" w:w="55"/>
            </w:tcMar>
          </w:tcPr>
          <w:p/>
        </w:tc>
        <w:tc>
          <w:tcPr>
            <w:tcW w:type="dxa" w:w="991"/>
            <w:gridSpan w:val="1"/>
            <w:vMerge w:val="continue"/>
            <w:tcBorders>
              <w:top w:color="000000" w:sz="4" w:val="single"/>
              <w:left w:color="000000" w:sz="4" w:val="single"/>
              <w:bottom w:color="000000" w:sz="4" w:val="single"/>
            </w:tcBorders>
            <w:tcMar>
              <w:top w:type="dxa" w:w="55"/>
              <w:left w:type="dxa" w:w="55"/>
              <w:bottom w:type="dxa" w:w="55"/>
              <w:right w:type="dxa" w:w="55"/>
            </w:tcMar>
          </w:tcPr>
          <w:p/>
        </w:tc>
        <w:tc>
          <w:tcPr>
            <w:tcW w:type="dxa" w:w="999"/>
            <w:gridSpan w:val="1"/>
            <w:vMerge w:val="continue"/>
            <w:tcBorders>
              <w:top w:color="000000" w:sz="4" w:val="single"/>
              <w:left w:color="000000" w:sz="4" w:val="single"/>
              <w:bottom w:color="000000" w:sz="4" w:val="single"/>
            </w:tcBorders>
            <w:tcMar>
              <w:top w:type="dxa" w:w="55"/>
              <w:left w:type="dxa" w:w="55"/>
              <w:bottom w:type="dxa" w:w="55"/>
              <w:right w:type="dxa" w:w="55"/>
            </w:tcMar>
          </w:tcPr>
          <w:p/>
        </w:tc>
        <w:tc>
          <w:tcPr>
            <w:tcW w:type="dxa" w:w="994"/>
            <w:tcBorders>
              <w:left w:color="000000" w:sz="4" w:val="single"/>
              <w:bottom w:color="000000" w:sz="4" w:val="single"/>
            </w:tcBorders>
            <w:tcMar>
              <w:top w:type="dxa" w:w="55"/>
              <w:left w:type="dxa" w:w="55"/>
              <w:bottom w:type="dxa" w:w="55"/>
              <w:right w:type="dxa" w:w="55"/>
            </w:tcMar>
          </w:tcPr>
          <w:p w14:paraId="8D060000">
            <w:pPr>
              <w:pStyle w:val="Style_2"/>
              <w:keepNext w:val="0"/>
              <w:keepLines w:val="0"/>
              <w:widowControl w:val="0"/>
              <w:spacing w:after="0" w:before="0" w:line="240" w:lineRule="auto"/>
              <w:ind w:firstLine="0" w:left="0" w:right="0"/>
              <w:jc w:val="center"/>
              <w:rPr>
                <w:rFonts w:ascii="Times New Roman" w:hAnsi="Times New Roman"/>
              </w:rPr>
            </w:pPr>
            <w:r>
              <w:rPr>
                <w:b w:val="0"/>
                <w:i w:val="0"/>
                <w:caps w:val="0"/>
                <w:smallCaps w:val="0"/>
                <w:strike w:val="0"/>
                <w:color w:val="000000"/>
                <w:spacing w:val="0"/>
                <w:sz w:val="22"/>
                <w:u w:val="none"/>
              </w:rPr>
              <w:t>1 вариант</w:t>
            </w:r>
          </w:p>
        </w:tc>
        <w:tc>
          <w:tcPr>
            <w:tcW w:type="dxa" w:w="993"/>
            <w:tcBorders>
              <w:left w:color="000000" w:sz="4" w:val="single"/>
              <w:bottom w:color="000000" w:sz="4" w:val="single"/>
            </w:tcBorders>
            <w:tcMar>
              <w:top w:type="dxa" w:w="55"/>
              <w:left w:type="dxa" w:w="55"/>
              <w:bottom w:type="dxa" w:w="55"/>
              <w:right w:type="dxa" w:w="55"/>
            </w:tcMar>
          </w:tcPr>
          <w:p w14:paraId="8E060000">
            <w:pPr>
              <w:pStyle w:val="Style_2"/>
              <w:keepNext w:val="0"/>
              <w:keepLines w:val="0"/>
              <w:widowControl w:val="0"/>
              <w:spacing w:after="0" w:before="0" w:line="240" w:lineRule="auto"/>
              <w:ind w:firstLine="0" w:left="0" w:right="0"/>
              <w:jc w:val="center"/>
              <w:rPr>
                <w:rFonts w:ascii="Times New Roman" w:hAnsi="Times New Roman"/>
              </w:rPr>
            </w:pPr>
            <w:r>
              <w:rPr>
                <w:b w:val="0"/>
                <w:i w:val="0"/>
                <w:caps w:val="0"/>
                <w:smallCaps w:val="0"/>
                <w:strike w:val="0"/>
                <w:color w:val="000000"/>
                <w:spacing w:val="0"/>
                <w:sz w:val="22"/>
                <w:u w:val="none"/>
              </w:rPr>
              <w:t>2 вариант</w:t>
            </w:r>
          </w:p>
        </w:tc>
        <w:tc>
          <w:tcPr>
            <w:tcW w:type="dxa" w:w="1000"/>
            <w:tcBorders>
              <w:left w:color="000000" w:sz="4" w:val="single"/>
              <w:bottom w:color="000000" w:sz="4" w:val="single"/>
            </w:tcBorders>
            <w:tcMar>
              <w:top w:type="dxa" w:w="55"/>
              <w:left w:type="dxa" w:w="55"/>
              <w:bottom w:type="dxa" w:w="55"/>
              <w:right w:type="dxa" w:w="55"/>
            </w:tcMar>
          </w:tcPr>
          <w:p w14:paraId="8F060000">
            <w:pPr>
              <w:pStyle w:val="Style_2"/>
              <w:keepNext w:val="0"/>
              <w:keepLines w:val="0"/>
              <w:widowControl w:val="0"/>
              <w:spacing w:after="0" w:before="0" w:line="240" w:lineRule="auto"/>
              <w:ind w:firstLine="0" w:left="0" w:right="0"/>
              <w:jc w:val="center"/>
              <w:rPr>
                <w:rFonts w:ascii="Times New Roman" w:hAnsi="Times New Roman"/>
              </w:rPr>
            </w:pPr>
            <w:r>
              <w:rPr>
                <w:b w:val="0"/>
                <w:i w:val="0"/>
                <w:caps w:val="0"/>
                <w:smallCaps w:val="0"/>
                <w:strike w:val="0"/>
                <w:color w:val="000000"/>
                <w:spacing w:val="0"/>
                <w:sz w:val="22"/>
                <w:u w:val="none"/>
              </w:rPr>
              <w:t>1 вариант</w:t>
            </w:r>
          </w:p>
        </w:tc>
        <w:tc>
          <w:tcPr>
            <w:tcW w:type="dxa" w:w="990"/>
            <w:tcBorders>
              <w:left w:color="000000" w:sz="4" w:val="single"/>
              <w:bottom w:color="000000" w:sz="4" w:val="single"/>
            </w:tcBorders>
            <w:tcMar>
              <w:top w:type="dxa" w:w="55"/>
              <w:left w:type="dxa" w:w="55"/>
              <w:bottom w:type="dxa" w:w="55"/>
              <w:right w:type="dxa" w:w="55"/>
            </w:tcMar>
          </w:tcPr>
          <w:p w14:paraId="90060000">
            <w:pPr>
              <w:pStyle w:val="Style_2"/>
              <w:keepNext w:val="0"/>
              <w:keepLines w:val="0"/>
              <w:widowControl w:val="0"/>
              <w:spacing w:after="0" w:before="0" w:line="240" w:lineRule="auto"/>
              <w:ind w:firstLine="0" w:left="0" w:right="0"/>
              <w:jc w:val="center"/>
              <w:rPr>
                <w:rFonts w:ascii="Times New Roman" w:hAnsi="Times New Roman"/>
              </w:rPr>
            </w:pPr>
            <w:r>
              <w:rPr>
                <w:b w:val="0"/>
                <w:i w:val="0"/>
                <w:caps w:val="0"/>
                <w:smallCaps w:val="0"/>
                <w:strike w:val="0"/>
                <w:color w:val="000000"/>
                <w:spacing w:val="0"/>
                <w:sz w:val="22"/>
                <w:u w:val="none"/>
              </w:rPr>
              <w:t>2 вариант</w:t>
            </w:r>
          </w:p>
        </w:tc>
        <w:tc>
          <w:tcPr>
            <w:tcW w:type="dxa" w:w="993"/>
            <w:tcBorders>
              <w:left w:color="000000" w:sz="4" w:val="single"/>
              <w:bottom w:color="000000" w:sz="4" w:val="single"/>
            </w:tcBorders>
            <w:tcMar>
              <w:top w:type="dxa" w:w="55"/>
              <w:left w:type="dxa" w:w="55"/>
              <w:bottom w:type="dxa" w:w="55"/>
              <w:right w:type="dxa" w:w="55"/>
            </w:tcMar>
          </w:tcPr>
          <w:p w14:paraId="91060000">
            <w:pPr>
              <w:pStyle w:val="Style_2"/>
              <w:keepNext w:val="0"/>
              <w:keepLines w:val="0"/>
              <w:widowControl w:val="0"/>
              <w:spacing w:after="0" w:before="0" w:line="240" w:lineRule="auto"/>
              <w:ind w:firstLine="0" w:left="0" w:right="0"/>
              <w:jc w:val="center"/>
              <w:rPr>
                <w:rFonts w:ascii="Times New Roman" w:hAnsi="Times New Roman"/>
              </w:rPr>
            </w:pPr>
            <w:r>
              <w:rPr>
                <w:b w:val="0"/>
                <w:i w:val="0"/>
                <w:caps w:val="0"/>
                <w:smallCaps w:val="0"/>
                <w:strike w:val="0"/>
                <w:color w:val="000000"/>
                <w:spacing w:val="0"/>
                <w:sz w:val="22"/>
                <w:u w:val="none"/>
              </w:rPr>
              <w:t>1 вариант</w:t>
            </w:r>
          </w:p>
        </w:tc>
        <w:tc>
          <w:tcPr>
            <w:tcW w:type="dxa" w:w="994"/>
            <w:tcBorders>
              <w:left w:color="000000" w:sz="4" w:val="single"/>
              <w:bottom w:color="000000" w:sz="4" w:val="single"/>
              <w:right w:color="000000" w:sz="4" w:val="single"/>
            </w:tcBorders>
            <w:tcMar>
              <w:top w:type="dxa" w:w="55"/>
              <w:left w:type="dxa" w:w="55"/>
              <w:bottom w:type="dxa" w:w="55"/>
              <w:right w:type="dxa" w:w="55"/>
            </w:tcMar>
          </w:tcPr>
          <w:p w14:paraId="92060000">
            <w:pPr>
              <w:pStyle w:val="Style_2"/>
              <w:keepNext w:val="0"/>
              <w:keepLines w:val="0"/>
              <w:widowControl w:val="0"/>
              <w:spacing w:after="0" w:before="0" w:line="240" w:lineRule="auto"/>
              <w:ind w:firstLine="0" w:left="0" w:right="0"/>
              <w:jc w:val="center"/>
              <w:rPr>
                <w:rFonts w:ascii="Times New Roman" w:hAnsi="Times New Roman"/>
              </w:rPr>
            </w:pPr>
            <w:r>
              <w:rPr>
                <w:b w:val="0"/>
                <w:i w:val="0"/>
                <w:caps w:val="0"/>
                <w:smallCaps w:val="0"/>
                <w:strike w:val="0"/>
                <w:color w:val="000000"/>
                <w:spacing w:val="0"/>
                <w:sz w:val="22"/>
                <w:u w:val="none"/>
              </w:rPr>
              <w:t>2 вариант</w:t>
            </w:r>
          </w:p>
        </w:tc>
      </w:tr>
      <w:tr>
        <w:tc>
          <w:tcPr>
            <w:tcW w:type="dxa" w:w="2194"/>
            <w:tcBorders>
              <w:left w:color="000000" w:sz="4" w:val="single"/>
              <w:bottom w:color="000000" w:sz="4" w:val="single"/>
            </w:tcBorders>
            <w:tcMar>
              <w:top w:type="dxa" w:w="55"/>
              <w:left w:type="dxa" w:w="55"/>
              <w:bottom w:type="dxa" w:w="55"/>
              <w:right w:type="dxa" w:w="55"/>
            </w:tcMar>
          </w:tcPr>
          <w:p w14:paraId="93060000">
            <w:pPr>
              <w:pStyle w:val="Style_2"/>
              <w:keepNext w:val="0"/>
              <w:keepLines w:val="0"/>
              <w:widowControl w:val="0"/>
              <w:spacing w:after="0" w:before="0" w:line="240" w:lineRule="auto"/>
              <w:ind w:firstLine="0" w:left="0" w:right="0"/>
              <w:jc w:val="left"/>
              <w:rPr>
                <w:rFonts w:ascii="Times New Roman" w:hAnsi="Times New Roman"/>
              </w:rPr>
            </w:pPr>
            <w:r>
              <w:rPr>
                <w:b w:val="0"/>
                <w:i w:val="0"/>
                <w:caps w:val="0"/>
                <w:smallCaps w:val="0"/>
                <w:strike w:val="0"/>
                <w:color w:val="000000"/>
                <w:spacing w:val="0"/>
                <w:sz w:val="22"/>
                <w:u w:val="none"/>
              </w:rPr>
              <w:t>Туристский поток, включая жителей Камчатского края</w:t>
            </w:r>
          </w:p>
        </w:tc>
        <w:tc>
          <w:tcPr>
            <w:tcW w:type="dxa" w:w="991"/>
            <w:tcBorders>
              <w:left w:color="000000" w:sz="4" w:val="single"/>
              <w:bottom w:color="000000" w:sz="4" w:val="single"/>
            </w:tcBorders>
            <w:tcMar>
              <w:top w:type="dxa" w:w="55"/>
              <w:left w:type="dxa" w:w="55"/>
              <w:bottom w:type="dxa" w:w="55"/>
              <w:right w:type="dxa" w:w="55"/>
            </w:tcMar>
          </w:tcPr>
          <w:p w14:paraId="94060000">
            <w:pPr>
              <w:pStyle w:val="Style_2"/>
              <w:widowControl w:val="0"/>
              <w:spacing w:after="0" w:before="0" w:line="240" w:lineRule="auto"/>
              <w:ind w:firstLine="0" w:left="0" w:right="0"/>
              <w:jc w:val="center"/>
              <w:rPr>
                <w:rFonts w:ascii="Times New Roman" w:hAnsi="Times New Roman"/>
              </w:rPr>
            </w:pPr>
            <w:r>
              <w:rPr>
                <w:b w:val="0"/>
                <w:color w:val="000000"/>
                <w:spacing w:val="0"/>
                <w:sz w:val="22"/>
              </w:rPr>
              <w:t>367 582</w:t>
            </w:r>
          </w:p>
        </w:tc>
        <w:tc>
          <w:tcPr>
            <w:tcW w:type="dxa" w:w="999"/>
            <w:tcBorders>
              <w:left w:color="000000" w:sz="4" w:val="single"/>
              <w:bottom w:color="000000" w:sz="4" w:val="single"/>
            </w:tcBorders>
            <w:tcMar>
              <w:top w:type="dxa" w:w="55"/>
              <w:left w:type="dxa" w:w="55"/>
              <w:bottom w:type="dxa" w:w="55"/>
              <w:right w:type="dxa" w:w="55"/>
            </w:tcMar>
          </w:tcPr>
          <w:p w14:paraId="95060000">
            <w:pPr>
              <w:pStyle w:val="Style_2"/>
              <w:widowControl w:val="0"/>
              <w:spacing w:after="0" w:before="0" w:line="240" w:lineRule="auto"/>
              <w:ind w:firstLine="0" w:left="0" w:right="0"/>
              <w:jc w:val="center"/>
              <w:rPr>
                <w:rFonts w:ascii="Times New Roman" w:hAnsi="Times New Roman"/>
              </w:rPr>
            </w:pPr>
            <w:r>
              <w:rPr>
                <w:b w:val="0"/>
                <w:color w:val="000000"/>
                <w:spacing w:val="0"/>
                <w:sz w:val="22"/>
              </w:rPr>
              <w:t>405 000</w:t>
            </w:r>
          </w:p>
        </w:tc>
        <w:tc>
          <w:tcPr>
            <w:tcW w:type="dxa" w:w="994"/>
            <w:tcBorders>
              <w:left w:color="000000" w:sz="4" w:val="single"/>
              <w:bottom w:color="000000" w:sz="4" w:val="single"/>
            </w:tcBorders>
            <w:tcMar>
              <w:top w:type="dxa" w:w="55"/>
              <w:left w:type="dxa" w:w="55"/>
              <w:bottom w:type="dxa" w:w="55"/>
              <w:right w:type="dxa" w:w="55"/>
            </w:tcMar>
          </w:tcPr>
          <w:p w14:paraId="96060000">
            <w:pPr>
              <w:pStyle w:val="Style_2"/>
              <w:widowControl w:val="0"/>
              <w:spacing w:after="0" w:before="0" w:line="240" w:lineRule="auto"/>
              <w:ind w:firstLine="0" w:left="0" w:right="0"/>
              <w:jc w:val="center"/>
              <w:rPr>
                <w:rFonts w:ascii="Times New Roman" w:hAnsi="Times New Roman"/>
              </w:rPr>
            </w:pPr>
            <w:r>
              <w:rPr>
                <w:b w:val="0"/>
                <w:color w:val="000000"/>
                <w:spacing w:val="0"/>
                <w:sz w:val="22"/>
              </w:rPr>
              <w:t>415 000</w:t>
            </w:r>
          </w:p>
        </w:tc>
        <w:tc>
          <w:tcPr>
            <w:tcW w:type="dxa" w:w="993"/>
            <w:tcBorders>
              <w:left w:color="000000" w:sz="4" w:val="single"/>
              <w:bottom w:color="000000" w:sz="4" w:val="single"/>
            </w:tcBorders>
            <w:tcMar>
              <w:top w:type="dxa" w:w="55"/>
              <w:left w:type="dxa" w:w="55"/>
              <w:bottom w:type="dxa" w:w="55"/>
              <w:right w:type="dxa" w:w="55"/>
            </w:tcMar>
          </w:tcPr>
          <w:p w14:paraId="97060000">
            <w:pPr>
              <w:pStyle w:val="Style_2"/>
              <w:widowControl w:val="0"/>
              <w:spacing w:after="0" w:before="0" w:line="240" w:lineRule="auto"/>
              <w:ind w:firstLine="0" w:left="0" w:right="0"/>
              <w:jc w:val="center"/>
              <w:rPr>
                <w:rFonts w:ascii="Times New Roman" w:hAnsi="Times New Roman"/>
              </w:rPr>
            </w:pPr>
            <w:r>
              <w:rPr>
                <w:b w:val="0"/>
                <w:color w:val="000000"/>
                <w:spacing w:val="0"/>
                <w:sz w:val="22"/>
              </w:rPr>
              <w:t>430 000</w:t>
            </w:r>
          </w:p>
        </w:tc>
        <w:tc>
          <w:tcPr>
            <w:tcW w:type="dxa" w:w="1000"/>
            <w:tcBorders>
              <w:left w:color="000000" w:sz="4" w:val="single"/>
              <w:bottom w:color="000000" w:sz="4" w:val="single"/>
            </w:tcBorders>
            <w:tcMar>
              <w:top w:type="dxa" w:w="55"/>
              <w:left w:type="dxa" w:w="55"/>
              <w:bottom w:type="dxa" w:w="55"/>
              <w:right w:type="dxa" w:w="55"/>
            </w:tcMar>
          </w:tcPr>
          <w:p w14:paraId="98060000">
            <w:pPr>
              <w:pStyle w:val="Style_2"/>
              <w:widowControl w:val="0"/>
              <w:spacing w:after="0" w:before="0" w:line="240" w:lineRule="auto"/>
              <w:ind w:firstLine="0" w:left="0" w:right="0"/>
              <w:jc w:val="center"/>
              <w:rPr>
                <w:rFonts w:ascii="Times New Roman" w:hAnsi="Times New Roman"/>
              </w:rPr>
            </w:pPr>
            <w:r>
              <w:rPr>
                <w:b w:val="0"/>
                <w:color w:val="000000"/>
                <w:spacing w:val="0"/>
                <w:sz w:val="22"/>
              </w:rPr>
              <w:t>425 000</w:t>
            </w:r>
          </w:p>
        </w:tc>
        <w:tc>
          <w:tcPr>
            <w:tcW w:type="dxa" w:w="990"/>
            <w:tcBorders>
              <w:left w:color="000000" w:sz="4" w:val="single"/>
              <w:bottom w:color="000000" w:sz="4" w:val="single"/>
            </w:tcBorders>
            <w:tcMar>
              <w:top w:type="dxa" w:w="55"/>
              <w:left w:type="dxa" w:w="55"/>
              <w:bottom w:type="dxa" w:w="55"/>
              <w:right w:type="dxa" w:w="55"/>
            </w:tcMar>
          </w:tcPr>
          <w:p w14:paraId="99060000">
            <w:pPr>
              <w:pStyle w:val="Style_2"/>
              <w:widowControl w:val="0"/>
              <w:spacing w:after="0" w:before="0" w:line="240" w:lineRule="auto"/>
              <w:ind w:firstLine="0" w:left="0" w:right="0"/>
              <w:jc w:val="center"/>
              <w:rPr>
                <w:rFonts w:ascii="Times New Roman" w:hAnsi="Times New Roman"/>
              </w:rPr>
            </w:pPr>
            <w:r>
              <w:rPr>
                <w:b w:val="0"/>
                <w:color w:val="000000"/>
                <w:spacing w:val="0"/>
                <w:sz w:val="22"/>
              </w:rPr>
              <w:t>455 000</w:t>
            </w:r>
          </w:p>
        </w:tc>
        <w:tc>
          <w:tcPr>
            <w:tcW w:type="dxa" w:w="993"/>
            <w:tcBorders>
              <w:left w:color="000000" w:sz="4" w:val="single"/>
              <w:bottom w:color="000000" w:sz="4" w:val="single"/>
            </w:tcBorders>
            <w:tcMar>
              <w:top w:type="dxa" w:w="55"/>
              <w:left w:type="dxa" w:w="55"/>
              <w:bottom w:type="dxa" w:w="55"/>
              <w:right w:type="dxa" w:w="55"/>
            </w:tcMar>
          </w:tcPr>
          <w:p w14:paraId="9A060000">
            <w:pPr>
              <w:pStyle w:val="Style_2"/>
              <w:widowControl w:val="0"/>
              <w:spacing w:after="0" w:before="0" w:line="240" w:lineRule="auto"/>
              <w:ind w:firstLine="0" w:left="0" w:right="0"/>
              <w:jc w:val="center"/>
              <w:rPr>
                <w:rFonts w:ascii="Times New Roman" w:hAnsi="Times New Roman"/>
              </w:rPr>
            </w:pPr>
            <w:r>
              <w:rPr>
                <w:b w:val="0"/>
                <w:color w:val="000000"/>
                <w:spacing w:val="0"/>
                <w:sz w:val="22"/>
              </w:rPr>
              <w:t>425 000</w:t>
            </w:r>
          </w:p>
        </w:tc>
        <w:tc>
          <w:tcPr>
            <w:tcW w:type="dxa" w:w="994"/>
            <w:tcBorders>
              <w:left w:color="000000" w:sz="4" w:val="single"/>
              <w:bottom w:color="000000" w:sz="4" w:val="single"/>
              <w:right w:color="000000" w:sz="4" w:val="single"/>
            </w:tcBorders>
            <w:tcMar>
              <w:top w:type="dxa" w:w="55"/>
              <w:left w:type="dxa" w:w="55"/>
              <w:bottom w:type="dxa" w:w="55"/>
              <w:right w:type="dxa" w:w="55"/>
            </w:tcMar>
          </w:tcPr>
          <w:p w14:paraId="9B060000">
            <w:pPr>
              <w:pStyle w:val="Style_2"/>
              <w:widowControl w:val="0"/>
              <w:spacing w:after="0" w:before="0" w:line="240" w:lineRule="auto"/>
              <w:ind w:firstLine="0" w:left="0" w:right="0"/>
              <w:jc w:val="center"/>
              <w:rPr>
                <w:rFonts w:ascii="Times New Roman" w:hAnsi="Times New Roman"/>
              </w:rPr>
            </w:pPr>
            <w:r>
              <w:rPr>
                <w:b w:val="0"/>
                <w:color w:val="000000"/>
                <w:spacing w:val="0"/>
                <w:sz w:val="22"/>
              </w:rPr>
              <w:t>485 000</w:t>
            </w:r>
          </w:p>
        </w:tc>
      </w:tr>
    </w:tbl>
    <w:p w14:paraId="9C060000">
      <w:pPr>
        <w:pStyle w:val="Style_2"/>
        <w:widowControl w:val="0"/>
        <w:spacing w:line="240" w:lineRule="auto"/>
        <w:ind w:firstLine="709" w:left="0" w:right="0"/>
        <w:jc w:val="both"/>
        <w:rPr>
          <w:rFonts w:ascii="Times New Roman" w:hAnsi="Times New Roman"/>
          <w:b w:val="0"/>
        </w:rPr>
      </w:pPr>
    </w:p>
    <w:p w14:paraId="9D060000">
      <w:pPr>
        <w:pStyle w:val="Style_2"/>
        <w:widowControl w:val="0"/>
        <w:spacing w:line="240" w:lineRule="auto"/>
        <w:ind w:firstLine="709" w:left="0" w:right="0"/>
        <w:jc w:val="both"/>
        <w:rPr>
          <w:rFonts w:ascii="Times New Roman" w:hAnsi="Times New Roman"/>
        </w:rPr>
      </w:pPr>
      <w:r>
        <w:t>При осуществлении консервативного варианта предполагается низкий темп развития внутреннего и въездного туризма</w:t>
      </w:r>
      <w:r>
        <w:rPr>
          <w:color w:val="000000"/>
        </w:rPr>
        <w:t>. В 2025</w:t>
      </w:r>
      <w:r>
        <w:rPr>
          <w:color w:val="000000"/>
        </w:rPr>
        <w:t>–2027 годах п</w:t>
      </w:r>
      <w:r>
        <w:t>рогнозируется увеличение показателей на 2,5% ежегодно.</w:t>
      </w:r>
    </w:p>
    <w:p w14:paraId="9E060000">
      <w:pPr>
        <w:pStyle w:val="Style_2"/>
        <w:widowControl w:val="0"/>
        <w:spacing w:line="240" w:lineRule="auto"/>
        <w:ind w:firstLine="709" w:left="0" w:right="0"/>
        <w:jc w:val="both"/>
        <w:rPr>
          <w:rFonts w:ascii="Times New Roman" w:hAnsi="Times New Roman"/>
        </w:rPr>
      </w:pPr>
      <w:r>
        <w:t xml:space="preserve">При осуществлении базового варианта предполагается устойчивое развитие внутреннего и въездного туризма и </w:t>
      </w:r>
      <w:r>
        <w:rPr>
          <w:color w:val="000000"/>
        </w:rPr>
        <w:t>сохранение оказываемых за счет средств краевого бюджета мер поддержки и стимулирования развития туризма с учетом обеспечения стабильности основных показателей туристской отрасли. Ежегодный рост туристского потока в 2025</w:t>
      </w:r>
      <w:r>
        <w:rPr>
          <w:color w:val="000000"/>
        </w:rPr>
        <w:t>–2027 годах</w:t>
      </w:r>
      <w:r>
        <w:rPr>
          <w:color w:val="000000"/>
        </w:rPr>
        <w:t xml:space="preserve"> составит порядка </w:t>
      </w:r>
      <w:r>
        <w:t> 6,0%.</w:t>
      </w:r>
    </w:p>
    <w:p w14:paraId="9F060000">
      <w:pPr>
        <w:pStyle w:val="Style_2"/>
        <w:spacing w:line="240" w:lineRule="auto"/>
        <w:ind/>
        <w:rPr>
          <w:rFonts w:ascii="Times New Roman" w:hAnsi="Times New Roman"/>
          <w:color w:val="632523"/>
        </w:rPr>
      </w:pPr>
    </w:p>
    <w:p w14:paraId="A0060000">
      <w:pPr>
        <w:pStyle w:val="Style_2"/>
        <w:widowControl w:val="0"/>
        <w:spacing w:line="240" w:lineRule="auto"/>
        <w:ind/>
        <w:jc w:val="both"/>
        <w:rPr>
          <w:rFonts w:ascii="Times New Roman" w:hAnsi="Times New Roman"/>
        </w:rPr>
      </w:pPr>
      <w:r>
        <w:rPr>
          <w:b w:val="1"/>
          <w:color w:val="000000"/>
        </w:rPr>
        <w:t>23. Сельское хозяйство</w:t>
      </w:r>
    </w:p>
    <w:p w14:paraId="A1060000">
      <w:pPr>
        <w:pStyle w:val="Style_2"/>
        <w:widowControl w:val="0"/>
        <w:spacing w:line="240" w:lineRule="auto"/>
        <w:ind w:firstLine="709" w:left="0" w:right="0"/>
        <w:jc w:val="both"/>
        <w:rPr>
          <w:rFonts w:ascii="Times New Roman" w:hAnsi="Times New Roman"/>
        </w:rPr>
      </w:pPr>
      <w:r>
        <w:rPr>
          <w:b w:val="0"/>
          <w:color w:val="000000"/>
        </w:rPr>
        <w:t xml:space="preserve">Сельское хозяйство Камчатского края </w:t>
      </w:r>
      <w:r>
        <w:rPr>
          <w:b w:val="1"/>
          <w:color w:val="000000"/>
        </w:rPr>
        <w:t>–</w:t>
      </w:r>
      <w:r>
        <w:rPr>
          <w:color w:val="000000"/>
        </w:rPr>
        <w:t xml:space="preserve"> совокупность взаимосвязанных отраслей, специализирующихся в основном на производстве сырья для пищевой, перерабатывающей промышленности. Сельское хозяйство входит в состав агропромышленного комплекса региона и включает в себя две основные отрасли: животноводство и растениеводство.</w:t>
      </w:r>
    </w:p>
    <w:p w14:paraId="A2060000">
      <w:pPr>
        <w:pStyle w:val="Style_2"/>
        <w:widowControl w:val="0"/>
        <w:spacing w:line="240" w:lineRule="auto"/>
        <w:ind w:firstLine="709" w:left="0" w:right="0"/>
        <w:jc w:val="both"/>
        <w:rPr>
          <w:rFonts w:ascii="Times New Roman" w:hAnsi="Times New Roman"/>
        </w:rPr>
      </w:pPr>
      <w:r>
        <w:rPr>
          <w:color w:val="000000"/>
        </w:rPr>
        <w:t>Отрасли животноводства: свиноводство, яичное и мясное птицеводство, молочное скотоводство (разведение крупного рогатого скота молочных пород), козоводство и овцеводство, оленеводство.</w:t>
      </w:r>
    </w:p>
    <w:p w14:paraId="A3060000">
      <w:pPr>
        <w:pStyle w:val="Style_2"/>
        <w:widowControl w:val="0"/>
        <w:spacing w:line="240" w:lineRule="auto"/>
        <w:ind w:firstLine="709" w:left="0" w:right="0"/>
        <w:jc w:val="both"/>
        <w:rPr>
          <w:rFonts w:ascii="Times New Roman" w:hAnsi="Times New Roman"/>
        </w:rPr>
      </w:pPr>
      <w:r>
        <w:rPr>
          <w:color w:val="000000"/>
        </w:rPr>
        <w:t>Отрасли растениеводства: отрасли по выращиванию картофеля и овощей (репчатый лук, морковь, капуста, свекла, перец, томаты, огурцы, кабачки, баклажаны, редис, репа, прочие овощи).</w:t>
      </w:r>
    </w:p>
    <w:p w14:paraId="A4060000">
      <w:pPr>
        <w:pStyle w:val="Style_2"/>
        <w:widowControl w:val="0"/>
        <w:spacing w:line="240" w:lineRule="auto"/>
        <w:ind w:firstLine="709" w:left="0" w:right="0"/>
        <w:jc w:val="both"/>
        <w:rPr>
          <w:rFonts w:ascii="Times New Roman" w:hAnsi="Times New Roman"/>
        </w:rPr>
      </w:pPr>
      <w:r>
        <w:rPr>
          <w:b w:val="0"/>
          <w:color w:val="000000"/>
        </w:rPr>
        <w:t>Сельское хозяйство</w:t>
      </w:r>
      <w:r>
        <w:rPr>
          <w:b w:val="1"/>
          <w:color w:val="000000"/>
        </w:rPr>
        <w:t xml:space="preserve"> – </w:t>
      </w:r>
      <w:r>
        <w:rPr>
          <w:color w:val="000000"/>
        </w:rPr>
        <w:t>обеспечивающая отрасль экономики края, направленная на удовлетворение потребностей населения края в сельскохозяйственной продукции высокого качества.</w:t>
      </w:r>
    </w:p>
    <w:p w14:paraId="A5060000">
      <w:pPr>
        <w:pStyle w:val="Style_2"/>
        <w:widowControl w:val="0"/>
        <w:spacing w:line="240" w:lineRule="auto"/>
        <w:ind w:firstLine="709" w:left="0" w:right="0"/>
        <w:jc w:val="both"/>
        <w:rPr>
          <w:rFonts w:ascii="Times New Roman" w:hAnsi="Times New Roman"/>
        </w:rPr>
      </w:pPr>
      <w:r>
        <w:rPr>
          <w:color w:val="000000"/>
        </w:rPr>
        <w:t>Формирование потребительского рынка Камчатского края характеризуется зависимостью от внешних поставок как продовольственных товаров, так и сырья для их производства</w:t>
      </w:r>
    </w:p>
    <w:p w14:paraId="A6060000">
      <w:pPr>
        <w:pStyle w:val="Style_2"/>
        <w:widowControl w:val="0"/>
        <w:spacing w:line="240" w:lineRule="auto"/>
        <w:ind w:firstLine="709" w:left="0" w:right="0"/>
        <w:jc w:val="both"/>
        <w:rPr>
          <w:rFonts w:ascii="Times New Roman" w:hAnsi="Times New Roman"/>
        </w:rPr>
      </w:pPr>
      <w:r>
        <w:t>Для решения вопросов продовольственной безопасности населения России, стимулирования развития агропромышленного комплекса на федеральном уровне разработана Государственная программа Российской Федерации «Развитие сельского хозяйства и регулирования рынков сельскохозяйственной продукции, сырья и продовольствия», охватывающая весь спектр направлений развития агропромышленного комплекса, продовольственного обеспечения страны.</w:t>
      </w:r>
    </w:p>
    <w:p w14:paraId="A7060000">
      <w:pPr>
        <w:pStyle w:val="Style_2"/>
        <w:widowControl w:val="0"/>
        <w:spacing w:line="240" w:lineRule="auto"/>
        <w:ind w:firstLine="709" w:left="0" w:right="0"/>
        <w:jc w:val="both"/>
        <w:rPr>
          <w:rFonts w:ascii="Times New Roman" w:hAnsi="Times New Roman"/>
        </w:rPr>
      </w:pPr>
      <w:r>
        <w:t>Реализация целей и задач, стоящих перед отраслью, осуществляется в рамках мероприятий государственной программы Камчатского края «Развитие сельского хозяйства и регулирование рынков сельскохозяйственной продукции, сырья и продовольствия Камчатского края» (далее – Госпрограмма)</w:t>
      </w:r>
      <w:r>
        <w:rPr>
          <w:sz w:val="28"/>
        </w:rPr>
        <w:t>.</w:t>
      </w:r>
    </w:p>
    <w:p w14:paraId="A8060000">
      <w:pPr>
        <w:pStyle w:val="Style_2"/>
        <w:widowControl w:val="0"/>
        <w:spacing w:line="240" w:lineRule="auto"/>
        <w:ind w:firstLine="709" w:left="0" w:right="0"/>
        <w:jc w:val="both"/>
        <w:rPr>
          <w:rFonts w:ascii="Times New Roman" w:hAnsi="Times New Roman"/>
        </w:rPr>
      </w:pPr>
      <w:r>
        <w:t>Реализация мероприятий Госпрограммы и инвестиционных проектов позволили увеличить за 2014–2023 годы долю самообеспечения региона:</w:t>
      </w:r>
    </w:p>
    <w:p w14:paraId="A9060000">
      <w:pPr>
        <w:pStyle w:val="Style_2"/>
        <w:widowControl w:val="0"/>
        <w:spacing w:after="0" w:before="0" w:line="240" w:lineRule="auto"/>
        <w:ind w:firstLine="709" w:left="0" w:right="0"/>
        <w:jc w:val="both"/>
        <w:rPr>
          <w:rFonts w:ascii="Times New Roman" w:hAnsi="Times New Roman"/>
        </w:rPr>
      </w:pPr>
      <w:r>
        <w:t xml:space="preserve">– </w:t>
      </w:r>
      <w:r>
        <w:t>по мясу и мясопродуктам c 14,0% до 29,5%;</w:t>
      </w:r>
    </w:p>
    <w:p w14:paraId="AA060000">
      <w:pPr>
        <w:pStyle w:val="Style_2"/>
        <w:widowControl w:val="0"/>
        <w:spacing w:line="240" w:lineRule="auto"/>
        <w:ind w:firstLine="709" w:left="0" w:right="0"/>
        <w:jc w:val="both"/>
        <w:rPr>
          <w:rFonts w:ascii="Times New Roman" w:hAnsi="Times New Roman"/>
        </w:rPr>
      </w:pPr>
      <w:r>
        <w:t xml:space="preserve">– </w:t>
      </w:r>
      <w:r>
        <w:t>по молоку и молокопродуктам с 31,0% до 49,7% .</w:t>
      </w:r>
    </w:p>
    <w:p w14:paraId="AB060000">
      <w:pPr>
        <w:pStyle w:val="Style_2"/>
        <w:widowControl w:val="0"/>
        <w:spacing w:line="240" w:lineRule="auto"/>
        <w:ind w:firstLine="709" w:left="0" w:right="0"/>
        <w:jc w:val="both"/>
        <w:rPr>
          <w:rFonts w:ascii="Times New Roman" w:hAnsi="Times New Roman"/>
        </w:rPr>
      </w:pPr>
      <w:r>
        <w:t>Объем средств, направленных в 2023 году на развитие агропромышленного комплекса Камчатского края, составил 1 870,6 млн рублей, из которых: средства краевого бюджета – 1 641,5 млн рублей, средства федерального бюджета – 229,1 млн рублей.</w:t>
      </w:r>
    </w:p>
    <w:p w14:paraId="AC060000">
      <w:pPr>
        <w:pStyle w:val="Style_2"/>
        <w:widowControl w:val="0"/>
        <w:spacing w:line="240" w:lineRule="auto"/>
        <w:ind w:firstLine="709" w:left="0" w:right="0"/>
        <w:jc w:val="both"/>
        <w:rPr>
          <w:rFonts w:ascii="Times New Roman" w:hAnsi="Times New Roman"/>
        </w:rPr>
      </w:pPr>
      <w:r>
        <w:t xml:space="preserve">В 2023 году в сфере сельскохозяйственного производства сохранилась динамика и тенденции ряда предшествующих лет. Динамика валовых показателей отраслей специализации характеризуется колебаниями, обусловленными погодно-климатическими условиями конкретных лет. Так, выпуск валовой продукции в хозяйствах всех категорий в 2023 году, по предварительным данным, составил 11 650,3 млн рублей или 96,5% в сопоставимой оценке к уровню 2022 года. </w:t>
      </w:r>
    </w:p>
    <w:p w14:paraId="AD060000">
      <w:pPr>
        <w:pStyle w:val="Style_2"/>
        <w:widowControl w:val="0"/>
        <w:spacing w:line="240" w:lineRule="auto"/>
        <w:ind w:firstLine="709" w:left="0" w:right="0"/>
        <w:jc w:val="both"/>
        <w:rPr>
          <w:rFonts w:ascii="Times New Roman" w:hAnsi="Times New Roman"/>
        </w:rPr>
      </w:pPr>
      <w:r>
        <w:t xml:space="preserve">По итогам 2023 года размер посевных площадей по краю составил 20,9 тыс. га, из них: 17,9 тыс. га – кормовые культуры, на 1,97 тыс. га – картофель, на 0,499 тыс. га – овощи и на 0,52 тыс. га – зерновые культуры. Объем производства картофеля составил 38,5 тыс. тонн, что ниже значения 2022 года на 6,3%. Объем производства овощей открытого и защищенного грунта составил 12,4 тыс. тонн, что на 5,0% ниже, чем в 2022 году. </w:t>
      </w:r>
    </w:p>
    <w:p w14:paraId="AE060000">
      <w:pPr>
        <w:pStyle w:val="Style_2"/>
        <w:spacing w:after="0" w:before="0" w:line="240" w:lineRule="auto"/>
        <w:ind w:firstLine="709" w:left="0" w:right="0"/>
        <w:jc w:val="both"/>
        <w:rPr>
          <w:rFonts w:ascii="Times New Roman" w:hAnsi="Times New Roman"/>
        </w:rPr>
      </w:pPr>
      <w:r>
        <w:t xml:space="preserve">Получен высокий урожай сочных кормов. Заготовлено свыше 192,3 тыс. центнеров кормовых единиц грубых и сочных кормов (134,2% к уровню 2022 года). Обеспеченность кормами на зимний стойловый период 2023–2024 годов составила 121,0% от плановой потребности. На одну условную голову скота заготовлено в организациях и крестьянских хозяйствах 27,0 центнеров кормовых единиц при плановом значении – 23,5 центнера кормовых единиц. </w:t>
      </w:r>
    </w:p>
    <w:p w14:paraId="AF060000">
      <w:pPr>
        <w:pStyle w:val="Style_2"/>
        <w:widowControl w:val="0"/>
        <w:spacing w:after="0" w:before="0" w:line="240" w:lineRule="auto"/>
        <w:ind w:firstLine="709" w:left="0" w:right="0"/>
        <w:jc w:val="both"/>
        <w:rPr>
          <w:rFonts w:ascii="Times New Roman" w:hAnsi="Times New Roman"/>
        </w:rPr>
      </w:pPr>
      <w:r>
        <w:t>Производственные показатели в животноводстве:</w:t>
      </w:r>
    </w:p>
    <w:p w14:paraId="B0060000">
      <w:pPr>
        <w:pStyle w:val="Style_2"/>
        <w:widowControl w:val="0"/>
        <w:spacing w:after="0" w:before="0" w:line="240" w:lineRule="auto"/>
        <w:ind w:firstLine="709" w:left="0" w:right="0"/>
        <w:jc w:val="both"/>
        <w:rPr>
          <w:rFonts w:ascii="Times New Roman" w:hAnsi="Times New Roman"/>
        </w:rPr>
      </w:pPr>
      <w:r>
        <w:t xml:space="preserve">– </w:t>
      </w:r>
      <w:r>
        <w:t>производство яйца увеличено на 5,4% и составило 68,9 млн штук;</w:t>
      </w:r>
    </w:p>
    <w:p w14:paraId="B1060000">
      <w:pPr>
        <w:pStyle w:val="Style_2"/>
        <w:widowControl w:val="0"/>
        <w:spacing w:after="0" w:before="0" w:line="240" w:lineRule="auto"/>
        <w:ind w:firstLine="709" w:left="0" w:right="0"/>
        <w:jc w:val="both"/>
        <w:rPr>
          <w:rFonts w:ascii="Times New Roman" w:hAnsi="Times New Roman"/>
        </w:rPr>
      </w:pPr>
      <w:r>
        <w:t xml:space="preserve">– </w:t>
      </w:r>
      <w:r>
        <w:t>производство молока составило 22,3 тыс. тонн, 96,1% к уровню 2022 года;</w:t>
      </w:r>
    </w:p>
    <w:p w14:paraId="B2060000">
      <w:pPr>
        <w:pStyle w:val="Style_2"/>
        <w:widowControl w:val="0"/>
        <w:spacing w:after="0" w:before="0" w:line="240" w:lineRule="auto"/>
        <w:ind w:firstLine="709" w:left="0" w:right="0"/>
        <w:jc w:val="both"/>
        <w:rPr>
          <w:rFonts w:ascii="Times New Roman" w:hAnsi="Times New Roman"/>
        </w:rPr>
      </w:pPr>
      <w:r>
        <w:t>– </w:t>
      </w:r>
      <w:r>
        <w:t xml:space="preserve">производство мяса всех видов в живом весе – 9,3 тыс. тонн или 98,9% к уровню 2022 года. </w:t>
      </w:r>
    </w:p>
    <w:p w14:paraId="B3060000">
      <w:pPr>
        <w:pStyle w:val="Style_2"/>
        <w:widowControl w:val="0"/>
        <w:spacing w:after="0" w:before="0" w:line="240" w:lineRule="auto"/>
        <w:ind w:firstLine="709" w:left="0" w:right="0"/>
        <w:jc w:val="both"/>
        <w:rPr>
          <w:rFonts w:ascii="Times New Roman" w:hAnsi="Times New Roman"/>
        </w:rPr>
      </w:pPr>
      <w:r>
        <w:t>В традиционной отрасли хозяйствования коренных народов Камчатского края – оленеводстве – поголовье оленей в сельхозорганизациях края в 2023 году составило 36,8 тыс. голов, что ниже уровня 2022 года на 16,2%. Основными причинами снижения поголовья являются высокие непроизводительные отходы, травеж и потери.</w:t>
      </w:r>
    </w:p>
    <w:p w14:paraId="B4060000">
      <w:pPr>
        <w:pStyle w:val="Style_2"/>
        <w:widowControl w:val="0"/>
        <w:spacing w:line="240" w:lineRule="auto"/>
        <w:ind w:firstLine="709" w:left="0" w:right="0"/>
        <w:jc w:val="both"/>
        <w:rPr>
          <w:rFonts w:ascii="Times New Roman" w:hAnsi="Times New Roman"/>
        </w:rPr>
      </w:pPr>
      <w:r>
        <w:t xml:space="preserve">Продолжается реализация мероприятий по техническому перевооружению сельскохозяйственного производства: обновляется тракторный парк, парк кормозаготовительной и почвообрабатывающей техники, что способствует совершенствованию технологии возделывания и уборки сельскохозяйственных культур, повышению качества заготавливаемых кормов. </w:t>
      </w:r>
    </w:p>
    <w:p w14:paraId="B5060000">
      <w:pPr>
        <w:pStyle w:val="Style_2"/>
        <w:widowControl w:val="0"/>
        <w:spacing w:line="240" w:lineRule="auto"/>
        <w:ind w:firstLine="709" w:left="0" w:right="0"/>
        <w:jc w:val="both"/>
        <w:rPr>
          <w:rFonts w:ascii="Times New Roman" w:hAnsi="Times New Roman"/>
        </w:rPr>
      </w:pPr>
      <w:r>
        <w:t>Факторы, оказывающие негативное воздействие на сельскохозяйственную отрасль, характерны и для Камчатского края в целом:</w:t>
      </w:r>
    </w:p>
    <w:p w14:paraId="B6060000">
      <w:pPr>
        <w:pStyle w:val="Style_2"/>
        <w:widowControl w:val="0"/>
        <w:spacing w:line="240" w:lineRule="auto"/>
        <w:ind w:firstLine="709" w:left="0" w:right="0"/>
        <w:jc w:val="both"/>
        <w:rPr>
          <w:rFonts w:ascii="Times New Roman" w:hAnsi="Times New Roman"/>
        </w:rPr>
      </w:pPr>
      <w:r>
        <w:t>1) сложная транспортная доступность, удаленность от основных сырьевых рынков и рынков сбыта готовой продукции, что обуславливает высокую стоимость завозного сырья и других материально-технических ресурсов, используемых в процессе производства (вспомогательных материалов, оборудования и т.д.), и, как следствие, высокий уровень издержек на производство продукции;</w:t>
      </w:r>
    </w:p>
    <w:p w14:paraId="B7060000">
      <w:pPr>
        <w:pStyle w:val="Style_2"/>
        <w:widowControl w:val="0"/>
        <w:spacing w:line="240" w:lineRule="auto"/>
        <w:ind w:firstLine="709" w:left="0" w:right="0"/>
        <w:jc w:val="both"/>
        <w:rPr>
          <w:rFonts w:ascii="Times New Roman" w:hAnsi="Times New Roman"/>
        </w:rPr>
      </w:pPr>
      <w:r>
        <w:t>2) недостаток собственных оборотных и свободных финансовых средств предприятий и проблема в привлечении кредитных ресурсов (высокие процентные ставки, ограниченность залогового имущества, недостаточные сроки предоставления заемных средств и др.).</w:t>
      </w:r>
    </w:p>
    <w:p w14:paraId="B8060000">
      <w:pPr>
        <w:pStyle w:val="Style_2"/>
        <w:widowControl w:val="0"/>
        <w:spacing w:line="240" w:lineRule="auto"/>
        <w:ind w:firstLine="709" w:left="0" w:right="0"/>
        <w:jc w:val="both"/>
        <w:rPr>
          <w:rFonts w:ascii="Times New Roman" w:hAnsi="Times New Roman"/>
        </w:rPr>
      </w:pPr>
      <w:r>
        <w:rPr>
          <w:b w:val="1"/>
          <w:i w:val="1"/>
        </w:rPr>
        <w:t>По оценке в 2024 году</w:t>
      </w:r>
      <w:r>
        <w:t xml:space="preserve"> валовая продукция сельского хозяйства в сопоставимых ценах составит 11 925,9 млн рублей или 9</w:t>
      </w:r>
      <w:r>
        <w:t>9,8</w:t>
      </w:r>
      <w:r>
        <w:t>% к предыдущему году. Валовая продукция животноводства составит 6 828,7 млн руб. (99,6% к 2023 году), растениеводства – 5 097,2 млн руб. (100,1% к 2023 году).</w:t>
      </w:r>
    </w:p>
    <w:p w14:paraId="B9060000">
      <w:pPr>
        <w:pStyle w:val="Style_2"/>
        <w:widowControl w:val="0"/>
        <w:tabs>
          <w:tab w:leader="none" w:pos="567" w:val="left"/>
          <w:tab w:leader="none" w:pos="708" w:val="clear"/>
        </w:tabs>
        <w:spacing w:after="0" w:before="0" w:line="240" w:lineRule="auto"/>
        <w:ind w:firstLine="709" w:left="0" w:right="0"/>
        <w:jc w:val="both"/>
        <w:rPr>
          <w:rFonts w:ascii="Times New Roman" w:hAnsi="Times New Roman"/>
        </w:rPr>
      </w:pPr>
      <w:r>
        <w:t>Умеренный рост объема валовой продукции сельского хозяйства в период 2025</w:t>
      </w:r>
      <w:r>
        <w:t>–</w:t>
      </w:r>
      <w:r>
        <w:t>2027 годов будет обеспечен за счет реализации Госпрограммы, направленной на создание условий для улучшения кормовой базы, повышения продуктивности животных, сохранности численности поголовья, а также реализации приоритетных проектов (реконструкция скотника для содержания крупного рогатого скота в с. Шаромы Мильковского муниципального округа, строительство быстровозводимого бескаркасного арочного сооружения (картофелехранилища) на территории Елизовского муниципального района, ввод в действие тепличного комплекса «Камчатский» площадью 3,6 га с собственным энергоцентром для выращивания овощной продукции защищенного грунта, строительство и оснащение цеха по переработке молока в Усть-Большерецком муниципальном районе).</w:t>
      </w:r>
    </w:p>
    <w:p w14:paraId="BA060000">
      <w:pPr>
        <w:pStyle w:val="Style_2"/>
        <w:widowControl w:val="0"/>
        <w:tabs>
          <w:tab w:leader="none" w:pos="567" w:val="left"/>
          <w:tab w:leader="none" w:pos="708" w:val="clear"/>
        </w:tabs>
        <w:spacing w:after="0" w:before="0" w:line="240" w:lineRule="auto"/>
        <w:ind w:firstLine="709" w:left="0" w:right="0"/>
        <w:jc w:val="both"/>
        <w:rPr>
          <w:rFonts w:ascii="Times New Roman" w:hAnsi="Times New Roman"/>
        </w:rPr>
      </w:pPr>
      <w:r>
        <w:t xml:space="preserve">Среднегодовые темпы роста производства сельскохозяйственной продукции </w:t>
      </w:r>
      <w:r>
        <w:br/>
      </w:r>
      <w:r>
        <w:t>в 2024–2027 годах по базовому варианту прогнозируются на уровне 100,5%. Объем производства продукции сельского хозяйства к 2027 году увеличится на 1 404,6 млн рублей к уровню 2023 года в номинальном выражении. Увеличение объема производства сельскохозяйственной продукции будет обеспечено за счет развития отрасли сельского хозяйства в отдаленных муниципальных образованиях региона.</w:t>
      </w:r>
    </w:p>
    <w:p w14:paraId="BB060000">
      <w:pPr>
        <w:pStyle w:val="Style_2"/>
        <w:spacing w:line="240" w:lineRule="auto"/>
        <w:ind w:firstLine="709" w:left="0" w:right="0"/>
        <w:jc w:val="both"/>
        <w:rPr>
          <w:rFonts w:ascii="Times New Roman" w:hAnsi="Times New Roman"/>
        </w:rPr>
      </w:pPr>
      <w:r>
        <w:t>Согласно базовому варианту прогноза к 2027 году планируется увеличение производства молока – до 22,57 тыс. тонн, мяса – до 9,55 тыс. тонн, куриного яйца – до 67,87 млн штук.</w:t>
      </w:r>
    </w:p>
    <w:p w14:paraId="BC060000">
      <w:pPr>
        <w:pStyle w:val="Style_2"/>
        <w:spacing w:line="240" w:lineRule="auto"/>
        <w:ind w:firstLine="709" w:left="0" w:right="0"/>
        <w:jc w:val="both"/>
        <w:rPr>
          <w:rFonts w:ascii="Times New Roman" w:hAnsi="Times New Roman"/>
        </w:rPr>
      </w:pPr>
      <w:r>
        <w:rPr>
          <w:color w:val="000000"/>
        </w:rPr>
        <w:t>В прогнозном периоде продолжится реализация мероприятий по формированию научно-производственной базы селекции и семеноводства картофеля, созданию объектов инфраструктуры хранения семенного картофеля, повышению качества заготавливаемых кормов, повышению продуктивности сельскохозяйственных животных, а также по техническому перевооружению сельскохозяйственного производства.</w:t>
      </w:r>
    </w:p>
    <w:p w14:paraId="BD060000">
      <w:pPr>
        <w:pStyle w:val="Style_2"/>
        <w:spacing w:line="240" w:lineRule="auto"/>
        <w:ind/>
        <w:rPr>
          <w:rFonts w:ascii="Times New Roman" w:hAnsi="Times New Roman"/>
          <w:color w:val="632523"/>
        </w:rPr>
      </w:pPr>
    </w:p>
    <w:p w14:paraId="BE060000">
      <w:pPr>
        <w:pStyle w:val="Style_2"/>
        <w:spacing w:line="240" w:lineRule="auto"/>
        <w:ind/>
        <w:jc w:val="both"/>
        <w:rPr>
          <w:rFonts w:ascii="Times New Roman" w:hAnsi="Times New Roman"/>
        </w:rPr>
      </w:pPr>
      <w:r>
        <w:rPr>
          <w:b w:val="1"/>
          <w:color w:val="000000"/>
        </w:rPr>
        <w:t>24. Транспорт</w:t>
      </w:r>
    </w:p>
    <w:p w14:paraId="BF060000">
      <w:pPr>
        <w:pStyle w:val="Style_2"/>
        <w:widowControl w:val="0"/>
        <w:spacing w:line="240" w:lineRule="auto"/>
        <w:ind/>
        <w:jc w:val="left"/>
        <w:rPr>
          <w:rFonts w:ascii="Times New Roman" w:hAnsi="Times New Roman"/>
          <w:b w:val="1"/>
          <w:i w:val="1"/>
          <w:color w:val="000000"/>
        </w:rPr>
      </w:pPr>
    </w:p>
    <w:p w14:paraId="C0060000">
      <w:pPr>
        <w:pStyle w:val="Style_2"/>
        <w:widowControl w:val="0"/>
        <w:spacing w:line="240" w:lineRule="auto"/>
        <w:ind/>
        <w:jc w:val="left"/>
        <w:rPr>
          <w:rFonts w:ascii="Times New Roman" w:hAnsi="Times New Roman"/>
        </w:rPr>
      </w:pPr>
      <w:r>
        <w:rPr>
          <w:b w:val="1"/>
          <w:i w:val="1"/>
          <w:color w:val="000000"/>
          <w:sz w:val="24"/>
        </w:rPr>
        <w:t>Дорожное хозяйство</w:t>
      </w:r>
    </w:p>
    <w:p w14:paraId="C1060000">
      <w:pPr>
        <w:pStyle w:val="Style_2"/>
        <w:spacing w:line="240" w:lineRule="auto"/>
        <w:ind w:firstLine="708" w:left="0" w:right="0"/>
        <w:jc w:val="both"/>
        <w:rPr>
          <w:rFonts w:ascii="Times New Roman" w:hAnsi="Times New Roman"/>
        </w:rPr>
      </w:pPr>
      <w:r>
        <w:t>Общая протяженность автомобильных дорог Камчатского края составляет 3 149,9 км, из них: федерального значения – 38,0 км; местного значения – 1 298,13 км; регионального значения – 1 813,86 км в том числе:</w:t>
      </w:r>
    </w:p>
    <w:p w14:paraId="C2060000">
      <w:pPr>
        <w:pStyle w:val="Style_2"/>
        <w:spacing w:line="240" w:lineRule="auto"/>
        <w:ind w:firstLine="708" w:left="0" w:right="0"/>
        <w:jc w:val="both"/>
        <w:rPr>
          <w:rFonts w:ascii="Times New Roman" w:hAnsi="Times New Roman"/>
        </w:rPr>
      </w:pPr>
      <w:r>
        <w:t>– </w:t>
      </w:r>
      <w:r>
        <w:t>с усовершенствованным покрытием – 468,75 км;</w:t>
      </w:r>
    </w:p>
    <w:p w14:paraId="C3060000">
      <w:pPr>
        <w:pStyle w:val="Style_2"/>
        <w:spacing w:line="240" w:lineRule="auto"/>
        <w:ind w:firstLine="708" w:left="0" w:right="0"/>
        <w:jc w:val="both"/>
        <w:rPr>
          <w:rFonts w:ascii="Times New Roman" w:hAnsi="Times New Roman"/>
        </w:rPr>
      </w:pPr>
      <w:r>
        <w:t>– </w:t>
      </w:r>
      <w:r>
        <w:t>с переходным типом покрытия – 895,69 км;</w:t>
      </w:r>
    </w:p>
    <w:p w14:paraId="C4060000">
      <w:pPr>
        <w:pStyle w:val="Style_2"/>
        <w:spacing w:line="240" w:lineRule="auto"/>
        <w:ind w:firstLine="708" w:left="0" w:right="0"/>
        <w:jc w:val="both"/>
        <w:rPr>
          <w:rFonts w:ascii="Times New Roman" w:hAnsi="Times New Roman"/>
        </w:rPr>
      </w:pPr>
      <w:r>
        <w:t>– </w:t>
      </w:r>
      <w:r>
        <w:t>с грунтовым покрытием, автозимники – 449,42 км.</w:t>
      </w:r>
    </w:p>
    <w:p w14:paraId="C5060000">
      <w:pPr>
        <w:pStyle w:val="Style_2"/>
        <w:spacing w:line="240" w:lineRule="auto"/>
        <w:ind w:firstLine="708" w:left="0" w:right="0"/>
        <w:jc w:val="both"/>
        <w:rPr>
          <w:rFonts w:ascii="Times New Roman" w:hAnsi="Times New Roman"/>
        </w:rPr>
      </w:pPr>
      <w:r>
        <w:t>Сформировавшаяся сеть автомобильных дорог в Камчатском крае не обеспечивает круглогодичного автотранспортного сообщения наиболее развитых в экономическом отношении южных и центральных районов Камчатского края с его северной частью.</w:t>
      </w:r>
    </w:p>
    <w:p w14:paraId="C6060000">
      <w:pPr>
        <w:pStyle w:val="Style_2"/>
        <w:spacing w:line="240" w:lineRule="auto"/>
        <w:ind w:firstLine="708" w:left="0" w:right="0"/>
        <w:jc w:val="both"/>
        <w:rPr>
          <w:rFonts w:ascii="Times New Roman" w:hAnsi="Times New Roman"/>
        </w:rPr>
      </w:pPr>
      <w:r>
        <w:t>К наиболее актуальной проблеме дорожного хозяйства Камчатского края относится неудовлетворительное транспортно-эксплуатационное состояние и высокая степень износа сети автомобильных дорог общего пользования регионального и местного значения и искусственных сооружений на них, отставание в развитии дорожной сети от потребностей экономики и населения Камчатского края.</w:t>
      </w:r>
    </w:p>
    <w:p w14:paraId="C7060000">
      <w:pPr>
        <w:pStyle w:val="Style_2"/>
        <w:spacing w:line="240" w:lineRule="auto"/>
        <w:ind w:firstLine="708" w:left="0" w:right="0"/>
        <w:jc w:val="both"/>
        <w:rPr>
          <w:rFonts w:ascii="Times New Roman" w:hAnsi="Times New Roman"/>
        </w:rPr>
      </w:pPr>
      <w:r>
        <w:t xml:space="preserve">Прирост протяженности автомобильных дорог общего пользования регионального и межмуниципального значения осуществляется в рамках утвержденной государственной программы Камчатского края «Развитие транспортной системы в Камчатском крае». </w:t>
      </w:r>
    </w:p>
    <w:p w14:paraId="C8060000">
      <w:pPr>
        <w:pStyle w:val="Style_2"/>
        <w:spacing w:line="240" w:lineRule="auto"/>
        <w:ind w:firstLine="708" w:left="0" w:right="0"/>
        <w:jc w:val="both"/>
        <w:rPr>
          <w:rFonts w:ascii="Times New Roman" w:hAnsi="Times New Roman"/>
        </w:rPr>
      </w:pPr>
      <w:r>
        <w:t>Для исполнения Указа № 204 Правительством Камчатского края с учетом установленного уровня финансирования определены следующие основные цели:</w:t>
      </w:r>
    </w:p>
    <w:p w14:paraId="C9060000">
      <w:pPr>
        <w:pStyle w:val="Style_2"/>
        <w:spacing w:line="240" w:lineRule="auto"/>
        <w:ind w:firstLine="708" w:left="0" w:right="0"/>
        <w:jc w:val="both"/>
        <w:rPr>
          <w:rFonts w:ascii="Times New Roman" w:hAnsi="Times New Roman"/>
        </w:rPr>
      </w:pPr>
      <w:r>
        <w:t>– </w:t>
      </w:r>
      <w:r>
        <w:t>увеличение доли автомобильных дорог регионального значения, соответствующих нормативным требованиям, в их общей протяженности не менее чем до 51,7% (относительно их протяженности по состоянию на 31 декабря 2017 года);</w:t>
      </w:r>
    </w:p>
    <w:p w14:paraId="CA060000">
      <w:pPr>
        <w:pStyle w:val="Style_2"/>
        <w:spacing w:line="240" w:lineRule="auto"/>
        <w:ind w:firstLine="708" w:left="0" w:right="0"/>
        <w:jc w:val="both"/>
        <w:rPr>
          <w:rFonts w:ascii="Times New Roman" w:hAnsi="Times New Roman"/>
        </w:rPr>
      </w:pPr>
      <w:r>
        <w:t>– </w:t>
      </w:r>
      <w:r>
        <w:t>доведение в Петропавловск-Камчатской городской агломерации (Петропавловск-Камчатском городском округе) (далее – Агломерация) доли автомобильных дорог, соответствующих нормативным требованиям, в их общей протяженности до 85%.</w:t>
      </w:r>
    </w:p>
    <w:p w14:paraId="CB060000">
      <w:pPr>
        <w:pStyle w:val="Style_2"/>
        <w:spacing w:line="240" w:lineRule="auto"/>
        <w:ind w:firstLine="708" w:left="0" w:right="0"/>
        <w:jc w:val="both"/>
        <w:rPr>
          <w:rFonts w:ascii="Times New Roman" w:hAnsi="Times New Roman"/>
        </w:rPr>
      </w:pPr>
      <w:r>
        <w:t>К основным мероприятиям, запланированными к реализации с учетом целевого распределения установленного финансирования, отнесены:</w:t>
      </w:r>
    </w:p>
    <w:p w14:paraId="CC060000">
      <w:pPr>
        <w:pStyle w:val="Style_2"/>
        <w:spacing w:line="240" w:lineRule="auto"/>
        <w:ind w:firstLine="708" w:left="0" w:right="0"/>
        <w:jc w:val="both"/>
        <w:rPr>
          <w:rFonts w:ascii="Times New Roman" w:hAnsi="Times New Roman"/>
        </w:rPr>
      </w:pPr>
      <w:r>
        <w:t>– </w:t>
      </w:r>
      <w:r>
        <w:t>работы по ремонту автомобильных дорог с переходным типом покрытия;</w:t>
      </w:r>
    </w:p>
    <w:p w14:paraId="CD060000">
      <w:pPr>
        <w:pStyle w:val="Style_2"/>
        <w:spacing w:line="240" w:lineRule="auto"/>
        <w:ind w:firstLine="708" w:left="0" w:right="0"/>
        <w:jc w:val="both"/>
        <w:rPr>
          <w:rFonts w:ascii="Times New Roman" w:hAnsi="Times New Roman"/>
        </w:rPr>
      </w:pPr>
      <w:r>
        <w:t>– </w:t>
      </w:r>
      <w:r>
        <w:t>работы по капитальному ремонту автомобильных дорог с асфальтобетонным покрытием.</w:t>
      </w:r>
    </w:p>
    <w:p w14:paraId="CE060000">
      <w:pPr>
        <w:pStyle w:val="Style_2"/>
        <w:spacing w:line="240" w:lineRule="auto"/>
        <w:ind w:firstLine="708" w:left="0" w:right="0"/>
        <w:jc w:val="both"/>
        <w:rPr>
          <w:rFonts w:ascii="Times New Roman" w:hAnsi="Times New Roman"/>
        </w:rPr>
      </w:pPr>
      <w:r>
        <w:t>В 2023 году завершена реконструкция и строительство следующих объектов:</w:t>
      </w:r>
    </w:p>
    <w:p w14:paraId="CF060000">
      <w:pPr>
        <w:pStyle w:val="Style_2"/>
        <w:spacing w:line="240" w:lineRule="auto"/>
        <w:ind w:firstLine="708" w:left="0" w:right="0"/>
        <w:jc w:val="both"/>
        <w:rPr>
          <w:rFonts w:ascii="Times New Roman" w:hAnsi="Times New Roman"/>
        </w:rPr>
      </w:pPr>
      <w:r>
        <w:t>– </w:t>
      </w:r>
      <w:r>
        <w:t>реконструкция автомобильной дороги общего пользования регионального значения «Петропавловск-Камчатский – Мильково 40 км – Пиначево с подъездом к п. Раздольный и к базе с/х Заречный» 1, 2 этапы, Общая протяженность участков – 8,0 км;</w:t>
      </w:r>
    </w:p>
    <w:p w14:paraId="D0060000">
      <w:pPr>
        <w:pStyle w:val="Style_2"/>
        <w:spacing w:line="240" w:lineRule="auto"/>
        <w:ind w:firstLine="708" w:left="0" w:right="0"/>
        <w:jc w:val="both"/>
        <w:rPr>
          <w:rFonts w:ascii="Times New Roman" w:hAnsi="Times New Roman"/>
        </w:rPr>
      </w:pPr>
      <w:r>
        <w:t>– </w:t>
      </w:r>
      <w:r>
        <w:t>строительство подъезда к проектируемому аэровокзалу в г. Елизово от автомобильной дороги А-401 «Подъездная дорога от морского порта Петропавловск-Камчатский к аэропорту Петропавловск-Камчатский (Елизово) на участке км 34, протяженностью 2,914 км.</w:t>
      </w:r>
    </w:p>
    <w:p w14:paraId="D1060000">
      <w:pPr>
        <w:pStyle w:val="Style_2"/>
        <w:spacing w:line="240" w:lineRule="auto"/>
        <w:ind w:firstLine="708" w:left="0" w:right="0"/>
        <w:jc w:val="both"/>
        <w:rPr>
          <w:rFonts w:ascii="Times New Roman" w:hAnsi="Times New Roman"/>
        </w:rPr>
      </w:pPr>
      <w:r>
        <w:t>– </w:t>
      </w:r>
      <w:r>
        <w:t>строительство автомобильной дороги для резидента ООО «Соколиный центр «Камчатка», протяженностью 3,382 км.</w:t>
      </w:r>
    </w:p>
    <w:p w14:paraId="D2060000">
      <w:pPr>
        <w:pStyle w:val="Style_2"/>
        <w:spacing w:line="240" w:lineRule="auto"/>
        <w:ind w:firstLine="708" w:left="0" w:right="0"/>
        <w:jc w:val="both"/>
        <w:rPr>
          <w:rFonts w:ascii="Times New Roman" w:hAnsi="Times New Roman"/>
        </w:rPr>
      </w:pPr>
      <w:r>
        <w:t>В 2024 году планируется завершение капитального ремонта мостового перехода через р. Быстрая км 79+805 автомобильной дороги Начикинский совхоз–Усть-Большерецк–п. Октябрьский с подъездом к пристани Косоево–колхоз им. Октябрьской революции (мощность объекта 226,0 пог.м.).</w:t>
      </w:r>
    </w:p>
    <w:p w14:paraId="D3060000">
      <w:pPr>
        <w:pStyle w:val="Style_2"/>
        <w:spacing w:line="240" w:lineRule="auto"/>
        <w:ind w:firstLine="708" w:left="0" w:right="0"/>
        <w:jc w:val="both"/>
        <w:rPr>
          <w:rFonts w:ascii="Times New Roman" w:hAnsi="Times New Roman"/>
        </w:rPr>
      </w:pPr>
      <w:r>
        <w:t>Продолжается строительство объекта «Автомобильная дорога общего пользования регионального значения Камчатского края «п. Термальный–туристский кластер «Три вулкана» (1–3 этапы)» протяженностью 32,063 км, планируемый срок ввода объекта в эксплуатацию – 2025 год.</w:t>
      </w:r>
    </w:p>
    <w:p w14:paraId="D4060000">
      <w:pPr>
        <w:pStyle w:val="Style_2"/>
        <w:spacing w:line="240" w:lineRule="auto"/>
        <w:ind w:firstLine="708" w:left="0" w:right="0"/>
        <w:jc w:val="both"/>
        <w:rPr>
          <w:rFonts w:ascii="Times New Roman" w:hAnsi="Times New Roman"/>
        </w:rPr>
      </w:pPr>
      <w:r>
        <w:t>В 2023 году выполнены работы по ремонту следующих участков автомобильных дорог общего пользования регионального или межмуниципального значения и местного значения:</w:t>
      </w:r>
    </w:p>
    <w:p w14:paraId="D5060000">
      <w:pPr>
        <w:pStyle w:val="Style_2"/>
        <w:spacing w:line="240" w:lineRule="auto"/>
        <w:ind w:firstLine="708" w:left="0" w:right="0"/>
        <w:jc w:val="both"/>
        <w:rPr>
          <w:rFonts w:ascii="Times New Roman" w:hAnsi="Times New Roman"/>
        </w:rPr>
      </w:pPr>
      <w:r>
        <w:t>1) автомобильные дороги регионального или межмуниципального значения Камчатского края:</w:t>
      </w:r>
    </w:p>
    <w:p w14:paraId="D6060000">
      <w:pPr>
        <w:pStyle w:val="Style_2"/>
        <w:spacing w:line="240" w:lineRule="auto"/>
        <w:ind w:firstLine="708" w:left="0" w:right="0"/>
        <w:jc w:val="both"/>
        <w:rPr>
          <w:rFonts w:ascii="Times New Roman" w:hAnsi="Times New Roman"/>
        </w:rPr>
      </w:pPr>
      <w:r>
        <w:t>а) ремонт с переходным типом покрытия:</w:t>
      </w:r>
    </w:p>
    <w:p w14:paraId="D7060000">
      <w:pPr>
        <w:pStyle w:val="Style_2"/>
        <w:spacing w:line="240" w:lineRule="auto"/>
        <w:ind w:firstLine="709" w:left="0" w:right="0"/>
        <w:jc w:val="both"/>
        <w:rPr>
          <w:rFonts w:ascii="Times New Roman" w:hAnsi="Times New Roman"/>
        </w:rPr>
      </w:pPr>
      <w:r>
        <w:t>– </w:t>
      </w:r>
      <w:r>
        <w:t>ремонт автомобильной дороги с переходным типом покрытия «Мильково–Ключи– Усть-Камчатск» на участке км 277–км 287, протяжённостью 10 км;</w:t>
      </w:r>
    </w:p>
    <w:p w14:paraId="D8060000">
      <w:pPr>
        <w:pStyle w:val="Style_2"/>
        <w:spacing w:line="240" w:lineRule="auto"/>
        <w:ind w:firstLine="708" w:left="0" w:right="0"/>
        <w:jc w:val="both"/>
        <w:rPr>
          <w:rFonts w:ascii="Times New Roman" w:hAnsi="Times New Roman"/>
        </w:rPr>
      </w:pPr>
      <w:r>
        <w:t>– </w:t>
      </w:r>
      <w:r>
        <w:t>ремонт автомобильной дороги с переходным типом покрытия «Мильково–Ключи–Усть-Камчатск» на участке км 153–км 168, протяженностью 15 км;</w:t>
      </w:r>
    </w:p>
    <w:p w14:paraId="D9060000">
      <w:pPr>
        <w:pStyle w:val="Style_2"/>
        <w:spacing w:line="240" w:lineRule="auto"/>
        <w:ind w:firstLine="708" w:left="0" w:right="0"/>
        <w:jc w:val="both"/>
        <w:rPr>
          <w:rFonts w:ascii="Times New Roman" w:hAnsi="Times New Roman"/>
        </w:rPr>
      </w:pPr>
      <w:r>
        <w:t>– </w:t>
      </w:r>
      <w:r>
        <w:t>ремонт автомобильной дороги с переходным типом покрытия Крапивная–Эссо на участке км 25–км 35, протяженностью 10,0 км;</w:t>
      </w:r>
    </w:p>
    <w:p w14:paraId="DA060000">
      <w:pPr>
        <w:pStyle w:val="Style_2"/>
        <w:spacing w:line="240" w:lineRule="auto"/>
        <w:ind w:firstLine="708" w:left="0" w:right="0"/>
        <w:jc w:val="both"/>
        <w:rPr>
          <w:rFonts w:ascii="Times New Roman" w:hAnsi="Times New Roman"/>
        </w:rPr>
      </w:pPr>
      <w:r>
        <w:t>б) ремонт мостовых сооружений:</w:t>
      </w:r>
    </w:p>
    <w:p w14:paraId="DB060000">
      <w:pPr>
        <w:pStyle w:val="Style_2"/>
        <w:spacing w:line="240" w:lineRule="auto"/>
        <w:ind w:firstLine="708" w:left="0" w:right="0"/>
        <w:jc w:val="both"/>
        <w:rPr>
          <w:rFonts w:ascii="Times New Roman" w:hAnsi="Times New Roman"/>
        </w:rPr>
      </w:pPr>
      <w:r>
        <w:t>– </w:t>
      </w:r>
      <w:r>
        <w:t>ремонт мостового перехода через р. Удова на км 8 автомобильной дороги Соболево–Устьевое (мощность объекта 95,0 пог.м..)</w:t>
      </w:r>
    </w:p>
    <w:p w14:paraId="DC060000">
      <w:pPr>
        <w:pStyle w:val="Style_2"/>
        <w:spacing w:line="240" w:lineRule="auto"/>
        <w:ind w:firstLine="708" w:left="0" w:right="0"/>
        <w:jc w:val="both"/>
        <w:rPr>
          <w:rFonts w:ascii="Times New Roman" w:hAnsi="Times New Roman"/>
        </w:rPr>
      </w:pPr>
      <w:r>
        <w:t>2) автомобильные дороги местного значения (Петропавловск-Камчатского городского округа):</w:t>
      </w:r>
    </w:p>
    <w:p w14:paraId="DD060000">
      <w:pPr>
        <w:pStyle w:val="Style_2"/>
        <w:spacing w:line="240" w:lineRule="auto"/>
        <w:ind w:firstLine="708" w:left="0" w:right="0"/>
        <w:jc w:val="both"/>
        <w:rPr>
          <w:rFonts w:ascii="Times New Roman" w:hAnsi="Times New Roman"/>
        </w:rPr>
      </w:pPr>
      <w:r>
        <w:t>а) ремонт</w:t>
      </w:r>
      <w:r>
        <w:t xml:space="preserve"> по ул. Автомобилистов;</w:t>
      </w:r>
    </w:p>
    <w:p w14:paraId="DE060000">
      <w:pPr>
        <w:pStyle w:val="Style_2"/>
        <w:spacing w:line="240" w:lineRule="auto"/>
        <w:ind w:firstLine="708" w:left="0" w:right="0"/>
        <w:jc w:val="both"/>
        <w:rPr>
          <w:rFonts w:ascii="Times New Roman" w:hAnsi="Times New Roman"/>
        </w:rPr>
      </w:pPr>
      <w:r>
        <w:t xml:space="preserve">б) ремонт </w:t>
      </w:r>
      <w:r>
        <w:t>по ул. Индустриальная;</w:t>
      </w:r>
    </w:p>
    <w:p w14:paraId="DF060000">
      <w:pPr>
        <w:pStyle w:val="Style_2"/>
        <w:spacing w:line="240" w:lineRule="auto"/>
        <w:ind w:firstLine="708" w:left="0" w:right="0"/>
        <w:jc w:val="both"/>
        <w:rPr>
          <w:rFonts w:ascii="Times New Roman" w:hAnsi="Times New Roman"/>
        </w:rPr>
      </w:pPr>
      <w:r>
        <w:t xml:space="preserve">в) ремонт </w:t>
      </w:r>
      <w:r>
        <w:t>по ул. Дальняя;</w:t>
      </w:r>
    </w:p>
    <w:p w14:paraId="E0060000">
      <w:pPr>
        <w:pStyle w:val="Style_2"/>
        <w:spacing w:line="240" w:lineRule="auto"/>
        <w:ind w:firstLine="708" w:left="0" w:right="0"/>
        <w:jc w:val="both"/>
        <w:rPr>
          <w:rFonts w:ascii="Times New Roman" w:hAnsi="Times New Roman"/>
        </w:rPr>
      </w:pPr>
      <w:r>
        <w:t>г) ремонт</w:t>
      </w:r>
      <w:r>
        <w:t xml:space="preserve"> по ул. Солнечная;</w:t>
      </w:r>
    </w:p>
    <w:p w14:paraId="E1060000">
      <w:pPr>
        <w:pStyle w:val="Style_2"/>
        <w:spacing w:line="240" w:lineRule="auto"/>
        <w:ind w:firstLine="708" w:left="0" w:right="0"/>
        <w:jc w:val="both"/>
        <w:rPr>
          <w:rFonts w:ascii="Times New Roman" w:hAnsi="Times New Roman"/>
        </w:rPr>
      </w:pPr>
      <w:r>
        <w:t>д) ремонт</w:t>
      </w:r>
      <w:r>
        <w:t xml:space="preserve"> по ул. Беринга.</w:t>
      </w:r>
    </w:p>
    <w:p w14:paraId="E2060000">
      <w:pPr>
        <w:pStyle w:val="Style_2"/>
        <w:spacing w:line="240" w:lineRule="auto"/>
        <w:ind w:firstLine="708" w:left="0" w:right="0"/>
        <w:jc w:val="both"/>
        <w:rPr>
          <w:rFonts w:ascii="Times New Roman" w:hAnsi="Times New Roman"/>
        </w:rPr>
      </w:pPr>
      <w:r>
        <w:t>Проведенные работы полной мере обеспечили достижение целевого показателя регионального проекта «Региональная и местная дорожная сеть (Камчатский край)» национального проекта «Безопасные качественные дороги».</w:t>
      </w:r>
    </w:p>
    <w:p w14:paraId="E3060000">
      <w:pPr>
        <w:pStyle w:val="Style_2"/>
        <w:spacing w:line="240" w:lineRule="auto"/>
        <w:ind w:firstLine="708" w:left="0" w:right="0"/>
        <w:jc w:val="both"/>
        <w:rPr>
          <w:rFonts w:ascii="Times New Roman" w:hAnsi="Times New Roman"/>
        </w:rPr>
      </w:pPr>
      <w:r>
        <w:t xml:space="preserve">Отдельным блоком необходимых мероприятий в части капитального ремонта автомобильных дорог регионального значения необходимо выделить работы по обустройству недостающим электроосвещением на автомобильных дорогах. С целью устранения причин и условий, способствовавших нарушениям нормативных правовых актов в области обеспечения безопасности дорожного движения, снижения транспортных издержек пользователей, обеспечения защиты жизни и здоровья граждан, имущества физических и юридических лиц, государственного или межмуниципального имущества, а также повышения уровня безопасности и комфортабельности участников движения разработана программа работ по обустройству недостающим электроосвещением на автомобильных дорогах Камчатского края. </w:t>
      </w:r>
    </w:p>
    <w:p w14:paraId="E4060000">
      <w:pPr>
        <w:pStyle w:val="Style_2"/>
        <w:spacing w:line="240" w:lineRule="auto"/>
        <w:ind w:firstLine="708" w:left="0" w:right="0"/>
        <w:jc w:val="both"/>
        <w:rPr>
          <w:rFonts w:ascii="Times New Roman" w:hAnsi="Times New Roman"/>
        </w:rPr>
      </w:pPr>
      <w:r>
        <w:t>В 2024 году на региональных автомобильных дорогах планируется выполнить следующие работы:</w:t>
      </w:r>
    </w:p>
    <w:p w14:paraId="E5060000">
      <w:pPr>
        <w:pStyle w:val="Style_2"/>
        <w:spacing w:line="240" w:lineRule="auto"/>
        <w:ind w:firstLine="708" w:left="0" w:right="0"/>
        <w:jc w:val="both"/>
        <w:rPr>
          <w:rFonts w:ascii="Times New Roman" w:hAnsi="Times New Roman"/>
        </w:rPr>
      </w:pPr>
      <w:r>
        <w:t>– </w:t>
      </w:r>
      <w:r>
        <w:t>ремонт автомобильной дороги Мильково-Ключи-Усть-Камчатск на участке км 197–км 202, протяженностью 5,0 км;</w:t>
      </w:r>
    </w:p>
    <w:p w14:paraId="E6060000">
      <w:pPr>
        <w:pStyle w:val="Style_2"/>
        <w:spacing w:line="240" w:lineRule="auto"/>
        <w:ind w:firstLine="708" w:left="0" w:right="0"/>
        <w:jc w:val="both"/>
        <w:rPr>
          <w:rFonts w:ascii="Times New Roman" w:hAnsi="Times New Roman"/>
        </w:rPr>
      </w:pPr>
      <w:r>
        <w:t>– </w:t>
      </w:r>
      <w:r>
        <w:t>ремонт автомобильной дороги Мильково-Ключи-Усть-Камчатск на участке км 50–км 60, протяженностью 10,0 км;</w:t>
      </w:r>
    </w:p>
    <w:p w14:paraId="E7060000">
      <w:pPr>
        <w:pStyle w:val="Style_2"/>
        <w:spacing w:line="240" w:lineRule="auto"/>
        <w:ind w:firstLine="708" w:left="0" w:right="0"/>
        <w:jc w:val="both"/>
        <w:rPr>
          <w:rFonts w:ascii="Times New Roman" w:hAnsi="Times New Roman"/>
        </w:rPr>
      </w:pPr>
      <w:r>
        <w:t>– </w:t>
      </w:r>
      <w:r>
        <w:t>ремонт участка км 50–км 52 автомобильной дороги «Петропавловск-Камчатский–Мильково», протяженностью 2,0 км;</w:t>
      </w:r>
    </w:p>
    <w:p w14:paraId="E8060000">
      <w:pPr>
        <w:pStyle w:val="Style_2"/>
        <w:spacing w:line="240" w:lineRule="auto"/>
        <w:ind w:firstLine="708" w:left="0" w:right="0"/>
        <w:jc w:val="both"/>
        <w:rPr>
          <w:rFonts w:ascii="Times New Roman" w:hAnsi="Times New Roman"/>
        </w:rPr>
      </w:pPr>
      <w:r>
        <w:t>– </w:t>
      </w:r>
      <w:r>
        <w:t>ремонт участка км 51–км 64 автомобильной дороги «Начикинский с/х–Усть-Большерецк–п. Октябрьский с подъездом к пристани Косоево и колхозу Октябрьской революции», протяженностью 13,0 км;</w:t>
      </w:r>
    </w:p>
    <w:p w14:paraId="E9060000">
      <w:pPr>
        <w:pStyle w:val="Style_2"/>
        <w:spacing w:line="240" w:lineRule="auto"/>
        <w:ind w:firstLine="708" w:left="0" w:right="0"/>
        <w:jc w:val="both"/>
        <w:rPr>
          <w:rFonts w:ascii="Times New Roman" w:hAnsi="Times New Roman"/>
        </w:rPr>
      </w:pPr>
      <w:r>
        <w:t>– </w:t>
      </w:r>
      <w:r>
        <w:t>капитальный ремонт автомобильной дороги «Подъезд к с. Николаевка» (обустройство недостающим электроосвещением (1-3 этап), протяженностью 2,07 км;</w:t>
      </w:r>
    </w:p>
    <w:p w14:paraId="EA060000">
      <w:pPr>
        <w:pStyle w:val="Style_2"/>
        <w:spacing w:line="240" w:lineRule="auto"/>
        <w:ind w:firstLine="708" w:left="0" w:right="0"/>
        <w:jc w:val="both"/>
        <w:rPr>
          <w:rFonts w:ascii="Times New Roman" w:hAnsi="Times New Roman"/>
        </w:rPr>
      </w:pPr>
      <w:r>
        <w:t>– </w:t>
      </w:r>
      <w:r>
        <w:t>ремонт мостового перехода через р. Тополовая, (мощность объекта 20,0 пог. м.);</w:t>
      </w:r>
    </w:p>
    <w:p w14:paraId="EB060000">
      <w:pPr>
        <w:pStyle w:val="Style_2"/>
        <w:spacing w:line="240" w:lineRule="auto"/>
        <w:ind w:firstLine="708" w:left="0" w:right="0"/>
        <w:jc w:val="both"/>
        <w:rPr>
          <w:rFonts w:ascii="Times New Roman" w:hAnsi="Times New Roman"/>
        </w:rPr>
      </w:pPr>
      <w:r>
        <w:t>– </w:t>
      </w:r>
      <w:r>
        <w:t>ремонт мостового перехода через р. Ольховая, (мощность объекта 20,0 пог. м.);</w:t>
      </w:r>
    </w:p>
    <w:p w14:paraId="EC060000">
      <w:pPr>
        <w:pStyle w:val="Style_2"/>
        <w:spacing w:line="240" w:lineRule="auto"/>
        <w:ind w:firstLine="708" w:left="0" w:right="0"/>
        <w:jc w:val="both"/>
        <w:rPr>
          <w:rFonts w:ascii="Times New Roman" w:hAnsi="Times New Roman"/>
        </w:rPr>
      </w:pPr>
      <w:r>
        <w:t>– </w:t>
      </w:r>
      <w:r>
        <w:t>ремонт мостового перехода через р. Поперечная, (мощность объекта 20,0 пог. м.).</w:t>
      </w:r>
    </w:p>
    <w:p w14:paraId="ED060000">
      <w:pPr>
        <w:pStyle w:val="Style_2"/>
        <w:spacing w:line="240" w:lineRule="auto"/>
        <w:ind w:firstLine="708" w:left="0" w:right="0"/>
        <w:jc w:val="both"/>
        <w:rPr>
          <w:rFonts w:ascii="Times New Roman" w:hAnsi="Times New Roman"/>
        </w:rPr>
      </w:pPr>
      <w:r>
        <w:rPr>
          <w:color w:val="000000"/>
          <w:sz w:val="24"/>
        </w:rPr>
        <w:t xml:space="preserve">В рамках реализации мастер-плана, утвержденного Президентом Российской Федерации, продолжается строительство автомобильной дороги с асфальтобетонным покрытием на Халактырский пляж от пос. Заозерный до Халактырского пляжа» (2 этап). Планируется разместить аукцион на «Реконструкция автомобильной дороги </w:t>
      </w:r>
      <w:bookmarkStart w:id="10" w:name="_GoBack_Копия_1_Копия_1"/>
      <w:bookmarkEnd w:id="10"/>
      <w:r>
        <w:rPr>
          <w:color w:val="000000"/>
          <w:sz w:val="24"/>
        </w:rPr>
        <w:t>подъезд к совхозу «Петропавловский» на участке км 0–км 4» 1 этап, со сроком реализации в 2025 году.</w:t>
      </w:r>
    </w:p>
    <w:p w14:paraId="EE060000">
      <w:pPr>
        <w:pStyle w:val="Style_2"/>
        <w:spacing w:line="240" w:lineRule="auto"/>
        <w:ind w:firstLine="708" w:left="0" w:right="0"/>
        <w:jc w:val="both"/>
        <w:rPr>
          <w:rFonts w:ascii="Times New Roman" w:hAnsi="Times New Roman"/>
        </w:rPr>
      </w:pPr>
      <w:r>
        <w:rPr>
          <w:color w:val="000000"/>
          <w:sz w:val="24"/>
        </w:rPr>
        <w:t>Кроме того, в рамках реализации мастер-плана в 2024 году планируется разместить аукцион на строительство объекта «Объездная дорога от Петропавловского шоссе до жилого района «Северо-Восток», 1 этап – от Петропавловского шоссе до ул. Солнечной», со сроком реализации в 2027 году.</w:t>
      </w:r>
    </w:p>
    <w:p w14:paraId="EF060000">
      <w:pPr>
        <w:pStyle w:val="Style_2"/>
        <w:spacing w:line="240" w:lineRule="auto"/>
        <w:ind w:firstLine="708" w:left="0" w:right="0"/>
        <w:jc w:val="both"/>
        <w:rPr>
          <w:rFonts w:ascii="Times New Roman" w:hAnsi="Times New Roman"/>
        </w:rPr>
      </w:pPr>
      <w:r>
        <w:t>Кроме того, в период с 2025 по 2027 годы планируются к реализации следующие объекты:</w:t>
      </w:r>
    </w:p>
    <w:p w14:paraId="F0060000">
      <w:pPr>
        <w:pStyle w:val="Style_2"/>
        <w:spacing w:line="240" w:lineRule="auto"/>
        <w:ind w:firstLine="708" w:left="0" w:right="0"/>
        <w:jc w:val="both"/>
        <w:rPr>
          <w:rFonts w:ascii="Times New Roman" w:hAnsi="Times New Roman"/>
        </w:rPr>
      </w:pPr>
      <w:r>
        <w:t>– </w:t>
      </w:r>
      <w:r>
        <w:t>реконструкция автомобильной дороги Начикинский совхоз</w:t>
      </w:r>
      <w:r>
        <w:rPr>
          <w:color w:val="000000"/>
          <w:sz w:val="24"/>
        </w:rPr>
        <w:t>–</w:t>
      </w:r>
      <w:r>
        <w:t>Усть-Большерецк</w:t>
      </w:r>
      <w:r>
        <w:rPr>
          <w:color w:val="000000"/>
          <w:sz w:val="24"/>
        </w:rPr>
        <w:t>–</w:t>
      </w:r>
      <w:r>
        <w:t>п. Октябрьский с подъездом к пристани Косоево</w:t>
      </w:r>
      <w:r>
        <w:rPr>
          <w:color w:val="000000"/>
          <w:sz w:val="24"/>
        </w:rPr>
        <w:t>–</w:t>
      </w:r>
      <w:r>
        <w:t>колхоз им. Октябрьской революции 0</w:t>
      </w:r>
      <w:r>
        <w:rPr>
          <w:color w:val="000000"/>
          <w:sz w:val="24"/>
        </w:rPr>
        <w:t>–</w:t>
      </w:r>
      <w:r>
        <w:t xml:space="preserve"> 107,2 км на участке км 5</w:t>
      </w:r>
      <w:r>
        <w:rPr>
          <w:color w:val="000000"/>
          <w:sz w:val="24"/>
        </w:rPr>
        <w:t>–</w:t>
      </w:r>
      <w:r>
        <w:t>км 10, протяженностью 5,0 км;</w:t>
      </w:r>
    </w:p>
    <w:p w14:paraId="F1060000">
      <w:pPr>
        <w:pStyle w:val="Style_2"/>
        <w:spacing w:line="240" w:lineRule="auto"/>
        <w:ind w:firstLine="708" w:left="0" w:right="0"/>
        <w:jc w:val="both"/>
        <w:rPr>
          <w:rFonts w:ascii="Times New Roman" w:hAnsi="Times New Roman"/>
        </w:rPr>
      </w:pPr>
      <w:r>
        <w:t>– </w:t>
      </w:r>
      <w:r>
        <w:t>реконструкция автомобильной дороги Мильково</w:t>
      </w:r>
      <w:r>
        <w:rPr>
          <w:color w:val="000000"/>
          <w:sz w:val="24"/>
        </w:rPr>
        <w:t>–</w:t>
      </w:r>
      <w:r>
        <w:t>Ключи</w:t>
      </w:r>
      <w:r>
        <w:rPr>
          <w:color w:val="000000"/>
          <w:sz w:val="24"/>
        </w:rPr>
        <w:t>–</w:t>
      </w:r>
      <w:r>
        <w:t>Усть-Камчатск на участке км 0</w:t>
      </w:r>
      <w:r>
        <w:rPr>
          <w:color w:val="000000"/>
          <w:sz w:val="24"/>
        </w:rPr>
        <w:t>–</w:t>
      </w:r>
      <w:r>
        <w:t>км 10, протяженностью 10,0 км;</w:t>
      </w:r>
    </w:p>
    <w:p w14:paraId="F2060000">
      <w:pPr>
        <w:pStyle w:val="Style_2"/>
        <w:spacing w:line="240" w:lineRule="auto"/>
        <w:ind w:firstLine="708" w:left="0" w:right="0"/>
        <w:jc w:val="both"/>
        <w:rPr>
          <w:rFonts w:ascii="Times New Roman" w:hAnsi="Times New Roman"/>
        </w:rPr>
      </w:pPr>
      <w:r>
        <w:t>– </w:t>
      </w:r>
      <w:r>
        <w:t>реконструкция автомобильной дороги Петропавловск-Камчатский</w:t>
      </w:r>
      <w:r>
        <w:rPr>
          <w:color w:val="000000"/>
          <w:sz w:val="24"/>
        </w:rPr>
        <w:t>–</w:t>
      </w:r>
      <w:r>
        <w:t>Мильково 40 км</w:t>
      </w:r>
      <w:r>
        <w:rPr>
          <w:color w:val="000000"/>
          <w:sz w:val="24"/>
        </w:rPr>
        <w:t>–</w:t>
      </w:r>
      <w:r>
        <w:t>Пиначево с подъездом к п. Раздольный и к базе с/х Заречный на участке км 1</w:t>
      </w:r>
      <w:r>
        <w:rPr>
          <w:color w:val="000000"/>
          <w:sz w:val="24"/>
        </w:rPr>
        <w:t>–</w:t>
      </w:r>
      <w:r>
        <w:t>км 16,4 3 этап (участок ПК80+00-ПК95+00), протяженностью 1,5 км;</w:t>
      </w:r>
    </w:p>
    <w:p w14:paraId="F3060000">
      <w:pPr>
        <w:pStyle w:val="Style_2"/>
        <w:spacing w:line="240" w:lineRule="auto"/>
        <w:ind w:firstLine="708" w:left="0" w:right="0"/>
        <w:jc w:val="both"/>
        <w:rPr>
          <w:rFonts w:ascii="Times New Roman" w:hAnsi="Times New Roman"/>
        </w:rPr>
      </w:pPr>
      <w:r>
        <w:t>– </w:t>
      </w:r>
      <w:r>
        <w:t>строительство причальных сооружений через протоку Озерная в Усть-Камчатском муниципальном округе Камчатского края (два причала);</w:t>
      </w:r>
    </w:p>
    <w:p w14:paraId="F4060000">
      <w:pPr>
        <w:pStyle w:val="Style_2"/>
        <w:spacing w:line="240" w:lineRule="auto"/>
        <w:ind w:firstLine="708" w:left="0" w:right="0"/>
        <w:jc w:val="both"/>
        <w:rPr>
          <w:rFonts w:ascii="Times New Roman" w:hAnsi="Times New Roman"/>
        </w:rPr>
      </w:pPr>
      <w:r>
        <w:t>– </w:t>
      </w:r>
      <w:r>
        <w:t>реконструкция мостового перехода через р. Гольцовка на км 78+280 автомобильной дороги Начикинский с/х – УстьБольшерецк – п. Октябрьский с подъездом к пристани Косоево и колхозу Октябрьской революции;</w:t>
      </w:r>
    </w:p>
    <w:p w14:paraId="F5060000">
      <w:pPr>
        <w:pStyle w:val="Style_2"/>
        <w:spacing w:line="240" w:lineRule="auto"/>
        <w:ind w:firstLine="708" w:left="0" w:right="0"/>
        <w:jc w:val="both"/>
        <w:rPr>
          <w:rFonts w:ascii="Times New Roman" w:hAnsi="Times New Roman"/>
        </w:rPr>
      </w:pPr>
      <w:r>
        <w:t>– </w:t>
      </w:r>
      <w:r>
        <w:t>капитальный ремонт мостового перехода через р. Андриановка на автомобильной дороге Петропавловск-Камчатский</w:t>
      </w:r>
      <w:r>
        <w:rPr>
          <w:color w:val="000000"/>
          <w:sz w:val="24"/>
        </w:rPr>
        <w:t>–</w:t>
      </w:r>
      <w:r>
        <w:t>Мильково км 295+195 (мощность объекта 105,74 пог. м.);</w:t>
      </w:r>
    </w:p>
    <w:p w14:paraId="F6060000">
      <w:pPr>
        <w:pStyle w:val="Style_2"/>
        <w:spacing w:line="240" w:lineRule="auto"/>
        <w:ind w:firstLine="708" w:left="0" w:right="0"/>
        <w:jc w:val="both"/>
        <w:rPr>
          <w:rFonts w:ascii="Times New Roman" w:hAnsi="Times New Roman"/>
        </w:rPr>
      </w:pPr>
      <w:r>
        <w:t>– </w:t>
      </w:r>
      <w:r>
        <w:t>капитальный ремонт мостового перехода через р. Камчатка на км 293+526 автомобильной дороги Петропавловск-Камчатский Мильково;</w:t>
      </w:r>
    </w:p>
    <w:p w14:paraId="F7060000">
      <w:pPr>
        <w:pStyle w:val="Style_2"/>
        <w:spacing w:line="240" w:lineRule="auto"/>
        <w:ind w:firstLine="708" w:left="0" w:right="0"/>
        <w:jc w:val="both"/>
        <w:rPr>
          <w:rFonts w:ascii="Times New Roman" w:hAnsi="Times New Roman"/>
        </w:rPr>
      </w:pPr>
      <w:r>
        <w:t>– </w:t>
      </w:r>
      <w:r>
        <w:t>капитальный ремонт мостового перехода через р. Амчигача на км 103+029 автомобильной дороги Начикинский совхоз</w:t>
      </w:r>
      <w:r>
        <w:rPr>
          <w:color w:val="000000"/>
          <w:sz w:val="24"/>
        </w:rPr>
        <w:t>–</w:t>
      </w:r>
      <w:r>
        <w:t>Усть-Большерецк</w:t>
      </w:r>
      <w:r>
        <w:rPr>
          <w:color w:val="000000"/>
          <w:sz w:val="24"/>
        </w:rPr>
        <w:t>–</w:t>
      </w:r>
      <w:r>
        <w:t>п. Октябрьский с подъездом к пристани Косоево</w:t>
      </w:r>
      <w:r>
        <w:rPr>
          <w:color w:val="000000"/>
          <w:sz w:val="24"/>
        </w:rPr>
        <w:t>–</w:t>
      </w:r>
      <w:r>
        <w:t>колхоз им. Октябрьской революции (мощность объекта 90,73 пог. м.);</w:t>
      </w:r>
    </w:p>
    <w:p w14:paraId="F8060000">
      <w:pPr>
        <w:pStyle w:val="Style_2"/>
        <w:spacing w:line="240" w:lineRule="auto"/>
        <w:ind w:firstLine="708" w:left="0" w:right="0"/>
        <w:jc w:val="both"/>
        <w:rPr>
          <w:rFonts w:ascii="Times New Roman" w:hAnsi="Times New Roman"/>
        </w:rPr>
      </w:pPr>
      <w:r>
        <w:t>С 2025 по 2027 годы планируется ремонт на 11 участках автомобильных дорог Петропавловск-Камчатский</w:t>
      </w:r>
      <w:r>
        <w:rPr>
          <w:color w:val="000000"/>
          <w:sz w:val="24"/>
        </w:rPr>
        <w:t>–</w:t>
      </w:r>
      <w:r>
        <w:t>Мильково, Паратунка</w:t>
      </w:r>
      <w:r>
        <w:rPr>
          <w:color w:val="000000"/>
          <w:sz w:val="24"/>
        </w:rPr>
        <w:t>–</w:t>
      </w:r>
      <w:r>
        <w:t>Термальный, Елизово</w:t>
      </w:r>
      <w:r>
        <w:rPr>
          <w:color w:val="000000"/>
          <w:sz w:val="24"/>
        </w:rPr>
        <w:t>–</w:t>
      </w:r>
      <w:r>
        <w:t>Паратунка, Петропавловск-Камчатский</w:t>
      </w:r>
      <w:r>
        <w:rPr>
          <w:color w:val="000000"/>
          <w:sz w:val="24"/>
        </w:rPr>
        <w:t>–</w:t>
      </w:r>
      <w:r>
        <w:t>Налычево, Начикинский совхоз</w:t>
      </w:r>
      <w:r>
        <w:rPr>
          <w:color w:val="000000"/>
          <w:sz w:val="24"/>
        </w:rPr>
        <w:t>–</w:t>
      </w:r>
      <w:r>
        <w:t>Усть-Большерецк</w:t>
      </w:r>
      <w:r>
        <w:rPr>
          <w:color w:val="000000"/>
          <w:sz w:val="24"/>
        </w:rPr>
        <w:t>–</w:t>
      </w:r>
      <w:r>
        <w:t>п. Октябрьский с подъездом к пристани Косоево</w:t>
      </w:r>
      <w:r>
        <w:rPr>
          <w:color w:val="000000"/>
          <w:sz w:val="24"/>
        </w:rPr>
        <w:t>–</w:t>
      </w:r>
      <w:r>
        <w:t>колхоз им. Октябрьской революции.</w:t>
      </w:r>
    </w:p>
    <w:p w14:paraId="F9060000">
      <w:pPr>
        <w:pStyle w:val="Style_2"/>
        <w:spacing w:line="240" w:lineRule="auto"/>
        <w:ind w:firstLine="708" w:left="0" w:right="0"/>
        <w:jc w:val="both"/>
        <w:rPr>
          <w:rFonts w:ascii="Times New Roman" w:hAnsi="Times New Roman"/>
        </w:rPr>
      </w:pPr>
      <w:r>
        <w:t>К существенным проблемам дорожной сети Камчатского края относятся:</w:t>
      </w:r>
    </w:p>
    <w:p w14:paraId="FA060000">
      <w:pPr>
        <w:pStyle w:val="Style_2"/>
        <w:spacing w:line="240" w:lineRule="auto"/>
        <w:ind w:firstLine="708" w:left="0" w:right="0"/>
        <w:jc w:val="both"/>
        <w:rPr>
          <w:rFonts w:ascii="Times New Roman" w:hAnsi="Times New Roman"/>
        </w:rPr>
      </w:pPr>
      <w:r>
        <w:t>1) высокая степень изношенности автомобильных дорог общего пользования;</w:t>
      </w:r>
    </w:p>
    <w:p w14:paraId="FB060000">
      <w:pPr>
        <w:pStyle w:val="Style_2"/>
        <w:spacing w:line="240" w:lineRule="auto"/>
        <w:ind w:firstLine="708" w:left="0" w:right="0"/>
        <w:jc w:val="both"/>
        <w:rPr>
          <w:rFonts w:ascii="Times New Roman" w:hAnsi="Times New Roman"/>
        </w:rPr>
      </w:pPr>
      <w:r>
        <w:t>2) недостаточные объемы финансирования дорожного хозяйства Камчатского края за счет бюджетных средств;</w:t>
      </w:r>
    </w:p>
    <w:p w14:paraId="FC060000">
      <w:pPr>
        <w:pStyle w:val="Style_2"/>
        <w:spacing w:line="240" w:lineRule="auto"/>
        <w:ind w:firstLine="708" w:left="0" w:right="0"/>
        <w:jc w:val="both"/>
        <w:rPr>
          <w:rFonts w:ascii="Times New Roman" w:hAnsi="Times New Roman"/>
        </w:rPr>
      </w:pPr>
      <w:r>
        <w:t>3) не соответствие искусственных дорожных сооружений (мостов) современным нагрузкам.</w:t>
      </w:r>
    </w:p>
    <w:p w14:paraId="FD060000">
      <w:pPr>
        <w:pStyle w:val="Style_2"/>
        <w:spacing w:line="240" w:lineRule="auto"/>
        <w:ind w:firstLine="708" w:left="0" w:right="0"/>
        <w:jc w:val="both"/>
        <w:rPr>
          <w:rFonts w:ascii="Times New Roman" w:hAnsi="Times New Roman"/>
        </w:rPr>
      </w:pPr>
      <w:r>
        <w:t>Для достижения показателя «Доля соответствующих нормативным требованиям опорной сети автомобильных дорог», устанавливаемых в рамках национального проекта «Безопасные качественные дороги» (далее – НП БКД), с учетом необходимости проведения работ, направленных на поддержание ранее достигнутого размера данного показателя, требуется проведение ремонтов до 2027 года на сумму 5 144,2 млн рублей, из них по годам:</w:t>
      </w:r>
    </w:p>
    <w:p w14:paraId="FE060000">
      <w:pPr>
        <w:pStyle w:val="Style_2"/>
        <w:spacing w:line="240" w:lineRule="auto"/>
        <w:ind w:firstLine="708" w:left="0" w:right="0"/>
        <w:jc w:val="both"/>
        <w:rPr>
          <w:rFonts w:ascii="Times New Roman" w:hAnsi="Times New Roman"/>
        </w:rPr>
      </w:pPr>
      <w:r>
        <w:t>– </w:t>
      </w:r>
      <w:r>
        <w:t>в 2024 году – на сумму 2,43 млн рублей;</w:t>
      </w:r>
    </w:p>
    <w:p w14:paraId="FF060000">
      <w:pPr>
        <w:pStyle w:val="Style_2"/>
        <w:spacing w:line="240" w:lineRule="auto"/>
        <w:ind w:firstLine="708" w:left="0" w:right="0"/>
        <w:jc w:val="both"/>
        <w:rPr>
          <w:rFonts w:ascii="Times New Roman" w:hAnsi="Times New Roman"/>
        </w:rPr>
      </w:pPr>
      <w:r>
        <w:t>– </w:t>
      </w:r>
      <w:r>
        <w:t>в 2025 году – на сумму 2 074,85 млн рублей;</w:t>
      </w:r>
    </w:p>
    <w:p w14:paraId="00070000">
      <w:pPr>
        <w:pStyle w:val="Style_2"/>
        <w:spacing w:line="240" w:lineRule="auto"/>
        <w:ind w:firstLine="708" w:left="0" w:right="0"/>
        <w:jc w:val="both"/>
        <w:rPr>
          <w:rFonts w:ascii="Times New Roman" w:hAnsi="Times New Roman"/>
        </w:rPr>
      </w:pPr>
      <w:r>
        <w:t>– </w:t>
      </w:r>
      <w:r>
        <w:t>в 2026 году – на сумму 2 148,19 млн рублей;</w:t>
      </w:r>
    </w:p>
    <w:p w14:paraId="01070000">
      <w:pPr>
        <w:pStyle w:val="Style_2"/>
        <w:spacing w:line="240" w:lineRule="auto"/>
        <w:ind w:firstLine="708" w:left="0" w:right="0"/>
        <w:jc w:val="both"/>
        <w:rPr>
          <w:rFonts w:ascii="Times New Roman" w:hAnsi="Times New Roman"/>
        </w:rPr>
      </w:pPr>
      <w:r>
        <w:t>– </w:t>
      </w:r>
      <w:r>
        <w:t>в 2027 году – на сумму 918,73 млн рублей.</w:t>
      </w:r>
    </w:p>
    <w:p w14:paraId="02070000">
      <w:pPr>
        <w:pStyle w:val="Style_2"/>
        <w:spacing w:line="240" w:lineRule="auto"/>
        <w:ind w:firstLine="708" w:left="0" w:right="0"/>
        <w:jc w:val="both"/>
        <w:rPr>
          <w:rFonts w:ascii="Times New Roman" w:hAnsi="Times New Roman"/>
        </w:rPr>
      </w:pPr>
      <w:r>
        <w:t>Для достижения к 2030 году показателя «Доля соответствующих нормативным требованиям автомобильных дорог регионального или межмуниципального значения» устанавливаемых в рамках НП БКД, с учетом необходимости проведения работ, направленных на поддержание ранее достигнутого размера данного показателя, требуется проведение ремонтов до 2027 года на сумму 2 934,43 млн рублей, из них по годам:</w:t>
      </w:r>
    </w:p>
    <w:p w14:paraId="03070000">
      <w:pPr>
        <w:pStyle w:val="Style_2"/>
        <w:spacing w:line="240" w:lineRule="auto"/>
        <w:ind w:firstLine="708" w:left="0" w:right="0"/>
        <w:jc w:val="both"/>
        <w:rPr>
          <w:rFonts w:ascii="Times New Roman" w:hAnsi="Times New Roman"/>
        </w:rPr>
      </w:pPr>
      <w:r>
        <w:t>– </w:t>
      </w:r>
      <w:r>
        <w:t>в 2024 году – на сумму 42,9 млн рублей;</w:t>
      </w:r>
    </w:p>
    <w:p w14:paraId="04070000">
      <w:pPr>
        <w:pStyle w:val="Style_2"/>
        <w:spacing w:line="240" w:lineRule="auto"/>
        <w:ind w:firstLine="708" w:left="0" w:right="0"/>
        <w:jc w:val="both"/>
        <w:rPr>
          <w:rFonts w:ascii="Times New Roman" w:hAnsi="Times New Roman"/>
        </w:rPr>
      </w:pPr>
      <w:r>
        <w:t>– </w:t>
      </w:r>
      <w:r>
        <w:t>в 2025 году – на сумму 506,04 млн рублей;</w:t>
      </w:r>
    </w:p>
    <w:p w14:paraId="05070000">
      <w:pPr>
        <w:pStyle w:val="Style_2"/>
        <w:spacing w:line="240" w:lineRule="auto"/>
        <w:ind w:firstLine="708" w:left="0" w:right="0"/>
        <w:jc w:val="both"/>
        <w:rPr>
          <w:rFonts w:ascii="Times New Roman" w:hAnsi="Times New Roman"/>
        </w:rPr>
      </w:pPr>
      <w:r>
        <w:t>– </w:t>
      </w:r>
      <w:r>
        <w:t>в 2026 году – на сумму 1 497,27 млн рублей;</w:t>
      </w:r>
    </w:p>
    <w:p w14:paraId="06070000">
      <w:pPr>
        <w:pStyle w:val="Style_2"/>
        <w:spacing w:line="240" w:lineRule="auto"/>
        <w:ind w:firstLine="708" w:left="0" w:right="0"/>
        <w:jc w:val="both"/>
        <w:rPr>
          <w:rFonts w:ascii="Times New Roman" w:hAnsi="Times New Roman"/>
        </w:rPr>
      </w:pPr>
      <w:r>
        <w:t>– </w:t>
      </w:r>
      <w:r>
        <w:t>в 2027 году – на сумму 888,22 млн рублей.</w:t>
      </w:r>
    </w:p>
    <w:p w14:paraId="07070000">
      <w:pPr>
        <w:pStyle w:val="Style_2"/>
        <w:spacing w:line="240" w:lineRule="auto"/>
        <w:ind w:firstLine="708" w:left="0" w:right="0"/>
        <w:jc w:val="both"/>
        <w:rPr>
          <w:rFonts w:ascii="Times New Roman" w:hAnsi="Times New Roman"/>
        </w:rPr>
      </w:pPr>
      <w:r>
        <w:t>Показатель «Доля соответствующих нормативным требованиям автомобильных дорог крупнейших городских агломераций» в размере 85 процентов, соответствующем установленному Указом № 309, будет достигнут к концу текущего года.</w:t>
      </w:r>
    </w:p>
    <w:p w14:paraId="08070000">
      <w:pPr>
        <w:pStyle w:val="Style_2"/>
        <w:spacing w:line="240" w:lineRule="auto"/>
        <w:ind w:firstLine="708" w:left="0" w:right="0"/>
        <w:jc w:val="both"/>
        <w:rPr>
          <w:rFonts w:ascii="Times New Roman" w:hAnsi="Times New Roman"/>
        </w:rPr>
      </w:pPr>
      <w:r>
        <w:t>В целях недопущения снижения показателя «Доля соответствующих нормативным требованиям автомобильных дорог крупнейших городских агломераций» за период 2025–2027 годов необходимо проведение ремонтов в отношении автомобильных дорог Петропавловск-Камчатской городской агломерации общей на сумму 2 382,82 млн рублей (с учетом необходимости проведения работ по поддержанию ранее достигнутого размера показателя), из них по годам:</w:t>
      </w:r>
    </w:p>
    <w:p w14:paraId="09070000">
      <w:pPr>
        <w:pStyle w:val="Style_2"/>
        <w:spacing w:line="240" w:lineRule="auto"/>
        <w:ind w:firstLine="708" w:left="0" w:right="0"/>
        <w:jc w:val="both"/>
        <w:rPr>
          <w:rFonts w:ascii="Times New Roman" w:hAnsi="Times New Roman"/>
        </w:rPr>
      </w:pPr>
      <w:r>
        <w:t>– </w:t>
      </w:r>
      <w:r>
        <w:t>в 2025 году – на сумму 846,64 млн рублей;</w:t>
      </w:r>
    </w:p>
    <w:p w14:paraId="0A070000">
      <w:pPr>
        <w:pStyle w:val="Style_2"/>
        <w:spacing w:line="240" w:lineRule="auto"/>
        <w:ind w:firstLine="708" w:left="0" w:right="0"/>
        <w:jc w:val="both"/>
        <w:rPr>
          <w:rFonts w:ascii="Times New Roman" w:hAnsi="Times New Roman"/>
        </w:rPr>
      </w:pPr>
      <w:r>
        <w:t>– </w:t>
      </w:r>
      <w:r>
        <w:t>в 2026 году – на сумму 795,88 млн рублей;</w:t>
      </w:r>
    </w:p>
    <w:p w14:paraId="0B070000">
      <w:pPr>
        <w:pStyle w:val="Style_2"/>
        <w:spacing w:line="240" w:lineRule="auto"/>
        <w:ind w:firstLine="708" w:left="0" w:right="0"/>
        <w:jc w:val="both"/>
        <w:rPr>
          <w:rFonts w:ascii="Times New Roman" w:hAnsi="Times New Roman"/>
        </w:rPr>
      </w:pPr>
      <w:r>
        <w:t>– </w:t>
      </w:r>
      <w:r>
        <w:t>в 2027 году – на сумму 740,3 млн рублей.</w:t>
      </w:r>
    </w:p>
    <w:p w14:paraId="0C070000">
      <w:pPr>
        <w:pStyle w:val="Style_2"/>
        <w:spacing w:line="240" w:lineRule="auto"/>
        <w:ind w:firstLine="708" w:left="0" w:right="0"/>
        <w:jc w:val="both"/>
        <w:rPr>
          <w:rFonts w:ascii="Times New Roman" w:hAnsi="Times New Roman"/>
        </w:rPr>
      </w:pPr>
      <w:r>
        <w:t>Таким образом, установленный объем финансирования федерального бюджета для Камчатского края, учитывая высокую дотационность бюджета региона, не позволяет реализовать мероприятия в отношении ремонта и поддержания автомобильных дорог в нормативном состоянии.</w:t>
      </w:r>
    </w:p>
    <w:p w14:paraId="0D070000">
      <w:pPr>
        <w:pStyle w:val="Style_2"/>
        <w:widowControl w:val="0"/>
        <w:spacing w:line="240" w:lineRule="auto"/>
        <w:ind/>
        <w:rPr>
          <w:rFonts w:ascii="Times New Roman" w:hAnsi="Times New Roman"/>
        </w:rPr>
      </w:pPr>
      <w:r>
        <w:rPr>
          <w:b w:val="1"/>
          <w:i w:val="1"/>
        </w:rPr>
        <w:t>Автомобильный транспорт</w:t>
      </w:r>
    </w:p>
    <w:p w14:paraId="0E070000">
      <w:pPr>
        <w:pStyle w:val="Style_2"/>
        <w:widowControl w:val="0"/>
        <w:spacing w:line="240" w:lineRule="auto"/>
        <w:ind w:firstLine="709" w:left="0" w:right="0"/>
        <w:jc w:val="both"/>
        <w:rPr>
          <w:rFonts w:ascii="Times New Roman" w:hAnsi="Times New Roman"/>
        </w:rPr>
      </w:pPr>
      <w:r>
        <w:t>На территории Камчатского края деятельность, связанную с перевозками населения автомобильным транспортом на внутригородских, пригородных и междугородных маршрутах, всего осуществляют 18 предприятий, из них 3 муниципальных учреждения, 11 организаций (ООО) и 4 индивидуальных предпринимателя. В перевозках на маршрутах городского, пригородного и междугороднего сообщения в регулярных перевозках задействовано 384 транспортных средства категорий М2 и М3 в т.ч. на маршрутах:</w:t>
      </w:r>
    </w:p>
    <w:p w14:paraId="0F070000">
      <w:pPr>
        <w:pStyle w:val="Style_2"/>
        <w:widowControl w:val="0"/>
        <w:spacing w:line="240" w:lineRule="auto"/>
        <w:ind w:firstLine="709" w:left="0" w:right="0"/>
        <w:jc w:val="both"/>
        <w:rPr>
          <w:rFonts w:ascii="Times New Roman" w:hAnsi="Times New Roman"/>
        </w:rPr>
      </w:pPr>
      <w:r>
        <w:t>– </w:t>
      </w:r>
      <w:r>
        <w:t>пригородного и междугороднего сообщения Камчатского края 121 единица;</w:t>
      </w:r>
    </w:p>
    <w:p w14:paraId="10070000">
      <w:pPr>
        <w:pStyle w:val="Style_2"/>
        <w:widowControl w:val="0"/>
        <w:spacing w:line="240" w:lineRule="auto"/>
        <w:ind w:firstLine="709" w:left="0" w:right="0"/>
        <w:jc w:val="both"/>
        <w:rPr>
          <w:rFonts w:ascii="Times New Roman" w:hAnsi="Times New Roman"/>
        </w:rPr>
      </w:pPr>
      <w:r>
        <w:t>– </w:t>
      </w:r>
      <w:r>
        <w:t>городского сообщения Петропавловск-Камчатского городского округа 223 единицы;</w:t>
      </w:r>
    </w:p>
    <w:p w14:paraId="11070000">
      <w:pPr>
        <w:pStyle w:val="Style_2"/>
        <w:widowControl w:val="0"/>
        <w:spacing w:line="240" w:lineRule="auto"/>
        <w:ind w:firstLine="709" w:left="0" w:right="0"/>
        <w:jc w:val="both"/>
        <w:rPr>
          <w:rFonts w:ascii="Times New Roman" w:hAnsi="Times New Roman"/>
        </w:rPr>
      </w:pPr>
      <w:r>
        <w:t>– </w:t>
      </w:r>
      <w:r>
        <w:t>пригородного сообщения Елизовского муниципального района – 13 единиц;</w:t>
      </w:r>
    </w:p>
    <w:p w14:paraId="12070000">
      <w:pPr>
        <w:pStyle w:val="Style_2"/>
        <w:widowControl w:val="0"/>
        <w:spacing w:line="240" w:lineRule="auto"/>
        <w:ind w:firstLine="709" w:left="0" w:right="0"/>
        <w:jc w:val="both"/>
        <w:rPr>
          <w:rFonts w:ascii="Times New Roman" w:hAnsi="Times New Roman"/>
        </w:rPr>
      </w:pPr>
      <w:r>
        <w:t>– </w:t>
      </w:r>
      <w:r>
        <w:t>городского сообщения Елизовского городского поселения – 13 единиц;</w:t>
      </w:r>
    </w:p>
    <w:p w14:paraId="13070000">
      <w:pPr>
        <w:pStyle w:val="Style_2"/>
        <w:widowControl w:val="0"/>
        <w:spacing w:line="240" w:lineRule="auto"/>
        <w:ind w:firstLine="709" w:left="0" w:right="0"/>
        <w:jc w:val="both"/>
        <w:rPr>
          <w:rFonts w:ascii="Times New Roman" w:hAnsi="Times New Roman"/>
        </w:rPr>
      </w:pPr>
      <w:r>
        <w:t>– </w:t>
      </w:r>
      <w:r>
        <w:t>городского сообщения Вилючинского городского округа – 5 единиц;</w:t>
      </w:r>
    </w:p>
    <w:p w14:paraId="14070000">
      <w:pPr>
        <w:pStyle w:val="Style_2"/>
        <w:widowControl w:val="0"/>
        <w:spacing w:line="240" w:lineRule="auto"/>
        <w:ind w:firstLine="709" w:left="0" w:right="0"/>
        <w:jc w:val="both"/>
        <w:rPr>
          <w:rFonts w:ascii="Times New Roman" w:hAnsi="Times New Roman"/>
        </w:rPr>
      </w:pPr>
      <w:r>
        <w:t>– </w:t>
      </w:r>
      <w:r>
        <w:t>внутрипоселковых маршрутах п. Усть-Камчатск – 5 единиц;</w:t>
      </w:r>
    </w:p>
    <w:p w14:paraId="15070000">
      <w:pPr>
        <w:pStyle w:val="Style_2"/>
        <w:widowControl w:val="0"/>
        <w:spacing w:line="240" w:lineRule="auto"/>
        <w:ind w:firstLine="709" w:left="0" w:right="0"/>
        <w:jc w:val="both"/>
        <w:rPr>
          <w:rFonts w:ascii="Times New Roman" w:hAnsi="Times New Roman"/>
        </w:rPr>
      </w:pPr>
      <w:r>
        <w:t>– </w:t>
      </w:r>
      <w:r>
        <w:t>внутрипоселковом маршруте с. Мильково – 4 единицы.</w:t>
      </w:r>
    </w:p>
    <w:p w14:paraId="16070000">
      <w:pPr>
        <w:pStyle w:val="Style_2"/>
        <w:widowControl w:val="0"/>
        <w:spacing w:line="240" w:lineRule="auto"/>
        <w:ind w:firstLine="709" w:left="0" w:right="0"/>
        <w:jc w:val="both"/>
        <w:rPr>
          <w:rFonts w:ascii="Times New Roman" w:hAnsi="Times New Roman"/>
        </w:rPr>
      </w:pPr>
      <w:r>
        <w:rPr>
          <w:color w:val="000000"/>
          <w:sz w:val="24"/>
        </w:rPr>
        <w:t>В 2024 году в Камчатском крае перевозка пассажиров автомобильным транспортом осуществляется на 71 маршруте, в том числе на 41 городском, 25 пригородных и 5 междугородних маршрутах.</w:t>
      </w:r>
    </w:p>
    <w:p w14:paraId="17070000">
      <w:pPr>
        <w:pStyle w:val="Style_2"/>
        <w:widowControl w:val="0"/>
        <w:spacing w:line="240" w:lineRule="auto"/>
        <w:ind w:firstLine="709" w:left="0" w:right="0"/>
        <w:jc w:val="both"/>
        <w:rPr>
          <w:rFonts w:ascii="Times New Roman" w:hAnsi="Times New Roman"/>
        </w:rPr>
      </w:pPr>
      <w:r>
        <w:rPr>
          <w:color w:val="000000"/>
          <w:sz w:val="24"/>
        </w:rPr>
        <w:t xml:space="preserve">Основные пассажирские </w:t>
      </w:r>
      <w:r>
        <w:t xml:space="preserve">перевозки осуществляются на территории трех муниципальных образований: Петропавловск-Камчатского городского округа, Елизовского муниципального района, Вилючинского городского округа. </w:t>
      </w:r>
    </w:p>
    <w:p w14:paraId="18070000">
      <w:pPr>
        <w:pStyle w:val="Style_2"/>
        <w:widowControl w:val="0"/>
        <w:spacing w:line="240" w:lineRule="auto"/>
        <w:ind w:firstLine="709" w:left="0" w:right="0"/>
        <w:jc w:val="both"/>
        <w:rPr>
          <w:rFonts w:ascii="Times New Roman" w:hAnsi="Times New Roman"/>
        </w:rPr>
      </w:pPr>
      <w:r>
        <w:rPr>
          <w:color w:val="000000"/>
          <w:sz w:val="24"/>
        </w:rPr>
        <w:t>Сумма государственных контрактов на 2024 год составляет 287,9 млн рублей. Согласно условиям брутто-контрактов, выручка от реализации билетов пассажирам поступает в бюджет Камчатского края. В 2024 году запланировано поступлений в бюджет в форме выручки от полученной платы за проезд в объеме 31,5 млн рублей.</w:t>
      </w:r>
    </w:p>
    <w:p w14:paraId="19070000">
      <w:pPr>
        <w:pStyle w:val="Style_2"/>
        <w:widowControl w:val="0"/>
        <w:spacing w:line="240" w:lineRule="auto"/>
        <w:ind w:firstLine="709" w:left="0" w:right="0"/>
        <w:jc w:val="both"/>
        <w:rPr>
          <w:rFonts w:ascii="Times New Roman" w:hAnsi="Times New Roman"/>
        </w:rPr>
      </w:pPr>
      <w:r>
        <w:t>Для обеспечения доступности транспортных услуг для населения и предоставления государственной поддержки автотранспортным предприятиям, оказывающим услуги по перевозке пассажиров на маршрутах городского и пригородного сообщения по регулируемым тарифам в 2024 году, из краевого бюджета предусмотрено субсидий на возмещение недополученных доходов в размере 90 млн рублей.</w:t>
      </w:r>
    </w:p>
    <w:p w14:paraId="1A070000">
      <w:pPr>
        <w:pStyle w:val="Style_2"/>
        <w:widowControl w:val="0"/>
        <w:spacing w:line="240" w:lineRule="auto"/>
        <w:ind w:firstLine="709" w:left="0" w:right="0"/>
        <w:jc w:val="both"/>
        <w:rPr>
          <w:rFonts w:ascii="Times New Roman" w:hAnsi="Times New Roman"/>
        </w:rPr>
      </w:pPr>
      <w:r>
        <w:t>Для организации перевозок пассажиров автомобильным транспортом на внутримуниципальных маршрутах пригородного сообщения по сниженным тарифам, в 2024 году предусмотрены субсидии Елизовскому муниципальному району в размере 59,4 млн рублей.</w:t>
      </w:r>
    </w:p>
    <w:p w14:paraId="1B070000">
      <w:pPr>
        <w:pStyle w:val="Style_2"/>
        <w:widowControl w:val="0"/>
        <w:spacing w:line="240" w:lineRule="auto"/>
        <w:ind w:firstLine="709" w:left="0" w:right="0"/>
        <w:jc w:val="both"/>
        <w:rPr>
          <w:rFonts w:ascii="Times New Roman" w:hAnsi="Times New Roman"/>
        </w:rPr>
      </w:pPr>
      <w:r>
        <w:rPr>
          <w:color w:val="000000"/>
        </w:rPr>
        <w:t xml:space="preserve">В рамках системной маршрутизации движения и повышения надежности функционирования автомобильного пассажирского транспорта спроектирована автостанция регионального значения в центре краевой столицы, получена положительная государственная экспертиза на проект. </w:t>
      </w:r>
      <w:r>
        <w:t>В 2024 году заключен государственный контракт на строительство в рамках инфраструктурного проекта «Строительство МКД в Петропавловске-Камчатском», начало работ в 2024 году. В отборе инфраструктурных проектов Камчатскому краю одобрены средства на 2024-2025 годы в сумме 604,102 млн рублей.</w:t>
      </w:r>
    </w:p>
    <w:p w14:paraId="1C070000">
      <w:pPr>
        <w:pStyle w:val="Style_2"/>
        <w:widowControl w:val="0"/>
        <w:spacing w:line="240" w:lineRule="auto"/>
        <w:ind w:firstLine="709" w:left="0" w:right="0"/>
        <w:jc w:val="both"/>
        <w:rPr>
          <w:rFonts w:ascii="Times New Roman" w:hAnsi="Times New Roman"/>
        </w:rPr>
      </w:pPr>
      <w:r>
        <w:t xml:space="preserve">На территории Камчатского края функционирует автостанция в с. Мильково. На реализацию мероприятия «Содержание автостанции в с. Мильково» в 2024 году выделено 13,6 млн рублей. </w:t>
      </w:r>
    </w:p>
    <w:p w14:paraId="1D070000">
      <w:pPr>
        <w:pStyle w:val="Style_2"/>
        <w:widowControl w:val="0"/>
        <w:spacing w:line="240" w:lineRule="auto"/>
        <w:ind w:firstLine="709" w:left="0" w:right="0"/>
        <w:jc w:val="both"/>
        <w:rPr>
          <w:rFonts w:ascii="Times New Roman" w:hAnsi="Times New Roman"/>
        </w:rPr>
      </w:pPr>
      <w:r>
        <w:t>На реализацию мероприятия по обеспечению транспортной безопасности на объекте «Автостанция в с. Мильково» в 2024 году предусмотрено 2,7 млн рублей на установку дополнительного ограждения технологического сектора транспортной безопасности.</w:t>
      </w:r>
    </w:p>
    <w:p w14:paraId="1E070000">
      <w:pPr>
        <w:pStyle w:val="Style_2"/>
        <w:widowControl w:val="0"/>
        <w:spacing w:line="240" w:lineRule="auto"/>
        <w:ind w:firstLine="709" w:left="0" w:right="0"/>
        <w:jc w:val="both"/>
        <w:rPr>
          <w:rFonts w:ascii="Times New Roman" w:hAnsi="Times New Roman"/>
        </w:rPr>
      </w:pPr>
      <w:r>
        <w:t>В 2024 году в рамках Государственной программы «Цифровая трансформация в Камчатском крае» основного мероприятия «Цифровая трансформация в сфере транспорта» на сопровождение государственной информационной системы Камчатского края «Региональная навигационная информационная система Камчатского края» выделено 45,1 млн рублей.</w:t>
      </w:r>
    </w:p>
    <w:p w14:paraId="1F070000">
      <w:pPr>
        <w:pStyle w:val="Style_2"/>
        <w:spacing w:line="240" w:lineRule="auto"/>
        <w:ind w:firstLine="708" w:left="0" w:right="0"/>
        <w:jc w:val="both"/>
        <w:rPr>
          <w:rFonts w:ascii="Times New Roman" w:hAnsi="Times New Roman"/>
        </w:rPr>
      </w:pPr>
      <w:r>
        <w:t>Правительство Камчатского края совместно с администрациями муниципальных образований принимают участие в программах обновления общественного транспорта за счет средств Фонда национального благосостояния и специальных казначейских кредитов.</w:t>
      </w:r>
    </w:p>
    <w:p w14:paraId="20070000">
      <w:pPr>
        <w:pStyle w:val="Style_2"/>
        <w:spacing w:line="240" w:lineRule="auto"/>
        <w:ind w:firstLine="708" w:left="0" w:right="0"/>
        <w:jc w:val="both"/>
        <w:rPr>
          <w:rFonts w:ascii="Times New Roman" w:hAnsi="Times New Roman"/>
        </w:rPr>
      </w:pPr>
      <w:r>
        <w:t xml:space="preserve">В рамках, одобренных президиумом (штабом) Правительственной комиссии по региональному развитию в Российской Федерации лимитов на реализацию мероприятий по приобретению подвижного состава пассажирского транспорта общего пользования в 2023 году Камчатскому краю одобрены средства на приобретение пассажирского транспорта российского производства </w:t>
      </w:r>
      <w:r>
        <w:rPr>
          <w:color w:val="000000"/>
          <w:sz w:val="24"/>
        </w:rPr>
        <w:t>(в количестве 14 единиц);</w:t>
      </w:r>
    </w:p>
    <w:p w14:paraId="21070000">
      <w:pPr>
        <w:pStyle w:val="Style_2"/>
        <w:spacing w:line="240" w:lineRule="auto"/>
        <w:ind w:firstLine="708" w:left="0" w:right="0"/>
        <w:jc w:val="both"/>
        <w:rPr>
          <w:rFonts w:ascii="Times New Roman" w:hAnsi="Times New Roman"/>
        </w:rPr>
      </w:pPr>
      <w:r>
        <w:t> </w:t>
      </w:r>
      <w:r>
        <w:t>1. Для нужд Петропавловск-Камчатского городского округа закуплено 10 автобусов марки КАВЗ-4270-С2 на газомоторном топливе</w:t>
      </w:r>
      <w:r>
        <w:rPr>
          <w:i w:val="1"/>
        </w:rPr>
        <w:t xml:space="preserve"> </w:t>
      </w:r>
      <w:r>
        <w:rPr>
          <w:color w:val="000000"/>
          <w:sz w:val="24"/>
        </w:rPr>
        <w:t>(на Курганском автобусном заводе)</w:t>
      </w:r>
      <w:r>
        <w:rPr>
          <w:i w:val="1"/>
        </w:rPr>
        <w:t xml:space="preserve">. </w:t>
      </w:r>
      <w:r>
        <w:rPr>
          <w:color w:val="000000"/>
          <w:sz w:val="24"/>
        </w:rPr>
        <w:t>Автобусы задействованы в перевозках на городских маршрутах № 6к «10 км–мкр-н Авача», № 16 «10 км–Кирпичики», № 23 «10 км–Нефтебаза (Сероглазка), № 30 «Северо-Восток – СРВ».  </w:t>
      </w:r>
    </w:p>
    <w:p w14:paraId="22070000">
      <w:pPr>
        <w:pStyle w:val="Style_2"/>
        <w:spacing w:line="240" w:lineRule="auto"/>
        <w:ind w:firstLine="708" w:left="0" w:right="0"/>
        <w:jc w:val="both"/>
        <w:rPr>
          <w:rFonts w:ascii="Times New Roman" w:hAnsi="Times New Roman"/>
        </w:rPr>
      </w:pPr>
      <w:r>
        <w:t xml:space="preserve">2.   Для нужд Камчатского края закуплено 2 дизельных автобуса среднего класса КАВЗ 4238-62. Автобусы планируется задействовать, после </w:t>
      </w:r>
      <w:r>
        <w:rPr>
          <w:b w:val="0"/>
          <w:i w:val="0"/>
          <w:caps w:val="0"/>
          <w:smallCaps w:val="0"/>
          <w:color w:val="000000"/>
          <w:spacing w:val="0"/>
          <w:sz w:val="24"/>
        </w:rPr>
        <w:t xml:space="preserve">конкурсных процедур в августе-сентябре 2024 года, </w:t>
      </w:r>
      <w:r>
        <w:t>на межмуниципальном марш</w:t>
      </w:r>
      <w:r>
        <w:rPr>
          <w:color w:val="000000"/>
          <w:sz w:val="24"/>
        </w:rPr>
        <w:t xml:space="preserve">руте (с. Мильково–п. Эссо) в целях повышения транспортной доступности жителей отдаленных поселков. </w:t>
      </w:r>
    </w:p>
    <w:p w14:paraId="23070000">
      <w:pPr>
        <w:pStyle w:val="Style_2"/>
        <w:spacing w:line="240" w:lineRule="auto"/>
        <w:ind w:firstLine="708" w:left="0" w:right="0"/>
        <w:jc w:val="both"/>
        <w:rPr>
          <w:rFonts w:ascii="Times New Roman" w:hAnsi="Times New Roman"/>
        </w:rPr>
      </w:pPr>
      <w:r>
        <w:t>3. В 2024 году заключен муниципальный контракт на приобретение 2 автобусов большого класса для нужд Елизовского муниципального района для работы по пригородного муниципальному маршруту</w:t>
      </w:r>
      <w:r>
        <w:rPr>
          <w:color w:val="000000"/>
          <w:sz w:val="24"/>
        </w:rPr>
        <w:t xml:space="preserve"> (№ 110 «г. Елизово–п. Термальный»).</w:t>
      </w:r>
      <w:r>
        <w:rPr>
          <w:i w:val="1"/>
        </w:rPr>
        <w:t xml:space="preserve"> </w:t>
      </w:r>
      <w:r>
        <w:t>Поставка запланирована на сентябрь 2024 года.</w:t>
      </w:r>
    </w:p>
    <w:p w14:paraId="24070000">
      <w:pPr>
        <w:pStyle w:val="Style_2"/>
        <w:widowControl w:val="0"/>
        <w:spacing w:line="240" w:lineRule="auto"/>
        <w:ind w:firstLine="709" w:left="0" w:right="0"/>
        <w:jc w:val="both"/>
        <w:rPr>
          <w:rFonts w:ascii="Times New Roman" w:hAnsi="Times New Roman"/>
        </w:rPr>
      </w:pPr>
      <w:r>
        <w:t>В период 2024</w:t>
      </w:r>
      <w:r>
        <w:rPr>
          <w:color w:val="000000"/>
          <w:sz w:val="24"/>
        </w:rPr>
        <w:t>–</w:t>
      </w:r>
      <w:r>
        <w:t>2027 года планируется приобретение транспортных средств общего пользования по заявкам органов местного самоуправления Елизовского муниципального района, Усть-Камчатского муниципального округа, а также для городского округа Палана.</w:t>
      </w:r>
    </w:p>
    <w:p w14:paraId="25070000">
      <w:pPr>
        <w:pStyle w:val="Style_2"/>
        <w:widowControl w:val="0"/>
        <w:spacing w:line="240" w:lineRule="auto"/>
        <w:ind w:firstLine="708" w:left="0" w:right="0"/>
        <w:jc w:val="both"/>
        <w:rPr>
          <w:rFonts w:ascii="Times New Roman" w:hAnsi="Times New Roman"/>
        </w:rPr>
      </w:pPr>
      <w:r>
        <w:t>В целях своевременной реализации мероприятий по обновлению подвижного состава пассажирского транспорта с привлечением средств Фонда национального благосостояния на период 2024-2025 годов Правительством Камчатского края заявлена потребность в количестве 30 единиц транспорта для Петропавловск-Камчатского городского округа.</w:t>
      </w:r>
    </w:p>
    <w:p w14:paraId="26070000">
      <w:pPr>
        <w:pStyle w:val="Style_2"/>
        <w:widowControl w:val="0"/>
        <w:spacing w:line="240" w:lineRule="auto"/>
        <w:ind/>
        <w:rPr>
          <w:rFonts w:ascii="Times New Roman" w:hAnsi="Times New Roman"/>
        </w:rPr>
      </w:pPr>
      <w:r>
        <w:rPr>
          <w:b w:val="1"/>
          <w:i w:val="1"/>
        </w:rPr>
        <w:t>Водный транспорт</w:t>
      </w:r>
    </w:p>
    <w:p w14:paraId="27070000">
      <w:pPr>
        <w:pStyle w:val="Style_2"/>
        <w:widowControl w:val="0"/>
        <w:spacing w:line="240" w:lineRule="auto"/>
        <w:ind w:firstLine="709" w:left="0" w:right="0"/>
        <w:jc w:val="both"/>
        <w:rPr>
          <w:rFonts w:ascii="Times New Roman" w:hAnsi="Times New Roman"/>
        </w:rPr>
      </w:pPr>
      <w:r>
        <w:t xml:space="preserve">Правительством Камчатского края совместно с Министерством транспорта Российской Федерации в рамках реализации Государственной программы Российской Федерации «Развитие транспортной системы» реализовано мероприятие по строительству грузопассажирского судна для обеспечения сообщения Командорских островов и г. Северо-Курильска с г. Петропавловском-Камчатским» проекта NE020 (АО «Нордик инжиниринг»). </w:t>
      </w:r>
      <w:r>
        <w:rPr>
          <w:color w:val="000000"/>
          <w:sz w:val="24"/>
        </w:rPr>
        <w:t>Судно имеет арктический класс Ice2, автономность плавания до 15 суток или 5 800 морских миль и предназначено для перевозки 36 пассажиров с комфортабельным размещением, что позволяет его использовать не только для перевозки грузов, но и для коммерческих пассажирских перевозок. В</w:t>
      </w:r>
      <w:r>
        <w:t xml:space="preserve"> 2023 году судно</w:t>
      </w:r>
      <w:r>
        <w:rPr>
          <w:color w:val="000000"/>
          <w:sz w:val="24"/>
        </w:rPr>
        <w:t xml:space="preserve"> «Анатолий Чернеев» встало на регулярную линию Петропавловск-Камчатский–Северо-Курильск, что позволило связать</w:t>
      </w:r>
      <w:r>
        <w:t xml:space="preserve"> два субъекта Дальнего Востока. </w:t>
      </w:r>
    </w:p>
    <w:p w14:paraId="28070000">
      <w:pPr>
        <w:pStyle w:val="Style_2"/>
        <w:widowControl w:val="0"/>
        <w:spacing w:line="240" w:lineRule="auto"/>
        <w:ind w:firstLine="709" w:left="0" w:right="0"/>
        <w:jc w:val="both"/>
        <w:rPr>
          <w:rFonts w:ascii="Times New Roman" w:hAnsi="Times New Roman"/>
        </w:rPr>
      </w:pPr>
      <w:r>
        <w:rPr>
          <w:color w:val="000000"/>
          <w:sz w:val="24"/>
        </w:rPr>
        <w:t xml:space="preserve">В рамках Государственной программы Российской Федерации «Развитие транспортной системы» АО «Судостроительный завод им. Б.Е. Бутомы (г. Керчь) осуществляется строительство грузопассажирского парома проекта CNF22 (АО «Нордик инжиниринг»), вместимостью до 150 пассажиров и до 70 автомобилей. Стоимость проекта составляет 3,8 млрд рублей. Учитывая значительное влияние мировых санкций на российскую экономику, срок поставки судна перенесен на 2025 год. Реализация  мероприятия поспособствует восстановлению регулярного морского пассажирского сообщения между Петропавловском-Камчатским и морскими портами Сахалинской, Магаданской областей и Приморского края. </w:t>
      </w:r>
    </w:p>
    <w:p w14:paraId="29070000">
      <w:pPr>
        <w:pStyle w:val="Style_2"/>
        <w:spacing w:after="0" w:before="0" w:line="240" w:lineRule="auto"/>
        <w:ind w:firstLine="709" w:left="0" w:right="0"/>
        <w:jc w:val="both"/>
        <w:rPr>
          <w:rFonts w:ascii="Times New Roman" w:hAnsi="Times New Roman"/>
        </w:rPr>
      </w:pPr>
      <w:r>
        <w:rPr>
          <w:color w:val="000000"/>
          <w:sz w:val="24"/>
        </w:rPr>
        <w:t>В 2024 году на судостроительных верфях Ливадийского ремонтно-судостроительного завода продолжается строительство:</w:t>
      </w:r>
    </w:p>
    <w:p w14:paraId="2A070000">
      <w:pPr>
        <w:pStyle w:val="Style_2"/>
        <w:spacing w:after="0" w:before="0" w:line="240" w:lineRule="auto"/>
        <w:ind w:firstLine="709" w:left="0" w:right="0"/>
        <w:jc w:val="both"/>
        <w:rPr>
          <w:rFonts w:ascii="Times New Roman" w:hAnsi="Times New Roman"/>
        </w:rPr>
      </w:pPr>
      <w:r>
        <w:rPr>
          <w:color w:val="000000"/>
          <w:sz w:val="24"/>
        </w:rPr>
        <w:t>– </w:t>
      </w:r>
      <w:r>
        <w:rPr>
          <w:color w:val="000000"/>
          <w:sz w:val="24"/>
        </w:rPr>
        <w:t>нового авто-пассажирского парома «Станислав Агапов», достигнута общая строительная готовность более 90%, ожидается к поставке в 2024 году. Паром заменит дизель-электроход «Капитан Драбкин», эксплуатируемый с 1971 года;</w:t>
      </w:r>
    </w:p>
    <w:p w14:paraId="2B070000">
      <w:pPr>
        <w:pStyle w:val="Style_2"/>
        <w:spacing w:after="0" w:before="0" w:line="240" w:lineRule="auto"/>
        <w:ind w:firstLine="709" w:left="0" w:right="0"/>
        <w:jc w:val="both"/>
        <w:rPr>
          <w:rFonts w:ascii="Times New Roman" w:hAnsi="Times New Roman"/>
        </w:rPr>
      </w:pPr>
      <w:r>
        <w:rPr>
          <w:color w:val="000000"/>
          <w:sz w:val="24"/>
        </w:rPr>
        <w:t>– </w:t>
      </w:r>
      <w:r>
        <w:rPr>
          <w:color w:val="000000"/>
          <w:sz w:val="24"/>
        </w:rPr>
        <w:t>грузовой баржи на 40 тонн, предназначенной для осуществления рейдовой разгрузки судов в портопунктах края. Готовность баржи составляет более 50%.</w:t>
      </w:r>
    </w:p>
    <w:p w14:paraId="2C070000">
      <w:pPr>
        <w:pStyle w:val="Style_2"/>
        <w:spacing w:after="0" w:before="0" w:line="240" w:lineRule="auto"/>
        <w:ind w:firstLine="709" w:left="0" w:right="0"/>
        <w:jc w:val="both"/>
        <w:rPr>
          <w:rFonts w:ascii="Times New Roman" w:hAnsi="Times New Roman"/>
        </w:rPr>
      </w:pPr>
      <w:r>
        <w:rPr>
          <w:color w:val="000000"/>
          <w:sz w:val="24"/>
        </w:rPr>
        <w:t>С целью строительства и реконструкции объектов морского транспорта Камчатского края организованы работы по следующим объектам:</w:t>
      </w:r>
    </w:p>
    <w:p w14:paraId="2D070000">
      <w:pPr>
        <w:pStyle w:val="Style_2"/>
        <w:spacing w:after="0" w:before="0" w:line="240" w:lineRule="auto"/>
        <w:ind w:firstLine="709" w:left="0" w:right="0"/>
        <w:jc w:val="both"/>
        <w:rPr>
          <w:rFonts w:ascii="Times New Roman" w:hAnsi="Times New Roman"/>
        </w:rPr>
      </w:pPr>
      <w:r>
        <w:rPr>
          <w:color w:val="000000"/>
          <w:sz w:val="24"/>
        </w:rPr>
        <w:t>– </w:t>
      </w:r>
      <w:r>
        <w:rPr>
          <w:color w:val="000000"/>
          <w:sz w:val="24"/>
        </w:rPr>
        <w:t>терминал по перевалке сжиженного газа в бухте Бечевинская Авачинского залива. Создание объектов федеральной собственности, предназначенных для работы морского перегрузочного комплекса по перевалке СПГ, возводимого ПАО «НОВАТЕК». Строящийся терминал располагается в 100 км к северо-востоку от г. Петропавловска-Камчатского. В 2023 году завершены работы по дноуглублению. Заказчиком строительства выступает ФКУ «Ространсмодернизация», объем финансирования – 19,5 млрд рублей, срок завершения строительства – 2024 год; в августе 2023 года в бухте Бечевинская раскреплено плавучее хранилище СПГ «Коряк» мощностью 180 тыс. тонн, планируемый срок начала перевалки газа – II полугодие 2024 года;</w:t>
      </w:r>
    </w:p>
    <w:p w14:paraId="2E070000">
      <w:pPr>
        <w:pStyle w:val="Style_2"/>
        <w:spacing w:after="0" w:before="0" w:line="240" w:lineRule="auto"/>
        <w:ind w:firstLine="709" w:left="0" w:right="0"/>
        <w:jc w:val="both"/>
        <w:rPr>
          <w:rFonts w:ascii="Times New Roman" w:hAnsi="Times New Roman"/>
        </w:rPr>
      </w:pPr>
      <w:r>
        <w:rPr>
          <w:color w:val="000000"/>
          <w:sz w:val="24"/>
        </w:rPr>
        <w:t>– </w:t>
      </w:r>
      <w:r>
        <w:rPr>
          <w:color w:val="000000"/>
          <w:sz w:val="24"/>
        </w:rPr>
        <w:t>грузопассажирский пирс и здание охраны, совмещенное с сезонным залом ожидания для пассажиров в с. Никольское (комплексный план модернизации и расширения магистральной инфраструктуры на период до 2024 года); заказчик строительства – ФКУ «Ространсмодернизация», объем финансирования 1,95 млрд рублей, срок реализации –2024 год.</w:t>
      </w:r>
    </w:p>
    <w:p w14:paraId="2F070000">
      <w:pPr>
        <w:pStyle w:val="Style_2"/>
        <w:widowControl w:val="0"/>
        <w:spacing w:line="240" w:lineRule="auto"/>
        <w:ind/>
        <w:rPr>
          <w:rFonts w:ascii="Times New Roman" w:hAnsi="Times New Roman"/>
        </w:rPr>
      </w:pPr>
      <w:r>
        <w:rPr>
          <w:b w:val="1"/>
          <w:i w:val="1"/>
        </w:rPr>
        <w:t>Воздушный транспорт</w:t>
      </w:r>
    </w:p>
    <w:p w14:paraId="30070000">
      <w:pPr>
        <w:pStyle w:val="Style_2"/>
        <w:spacing w:after="0" w:before="0" w:line="240" w:lineRule="auto"/>
        <w:ind w:firstLine="709" w:left="0" w:right="0"/>
        <w:jc w:val="both"/>
        <w:rPr>
          <w:rFonts w:ascii="Times New Roman" w:hAnsi="Times New Roman"/>
        </w:rPr>
      </w:pPr>
      <w:r>
        <w:rPr>
          <w:color w:val="000000"/>
          <w:sz w:val="24"/>
        </w:rPr>
        <w:t>В рамках реализации проекта «Развитие нового аэропортового комплекса Петропавловск-Камчатский (Елизово)» инвестором АО УК «Аэропорты Регионов» осуществляется строительство нового аэровокзального комплекса, предназначенного для выполнения технологических процессов обслуживания пассажиров, удовлетворения хозяйственно-бытовых нужд аэропорта и размещения административного персонала, а также персонала государственных контрольных органов. Период реализации 2020–2024 годы. ФКУ «Ространсмодернизация» осуществляет строительство аэродромных плоскостных сооружений. Период реализации с 2021 по декабрь 2024 года. Общая стоимость работ составляет около 30 млрд рублей.</w:t>
      </w:r>
    </w:p>
    <w:p w14:paraId="31070000">
      <w:pPr>
        <w:pStyle w:val="Style_2"/>
        <w:spacing w:after="0" w:before="0" w:line="240" w:lineRule="auto"/>
        <w:ind w:firstLine="709" w:left="0" w:right="0"/>
        <w:jc w:val="both"/>
        <w:rPr>
          <w:rFonts w:ascii="Times New Roman" w:hAnsi="Times New Roman"/>
        </w:rPr>
      </w:pPr>
      <w:r>
        <w:rPr>
          <w:color w:val="000000"/>
          <w:sz w:val="24"/>
        </w:rPr>
        <w:t>В рамках строительства нового аэровокзального комплекса завершено мероприятие «Строительство подъезда к проектируемому аэровокзалу в г. Елизово от автомобильной дороги</w:t>
      </w:r>
      <w:r>
        <w:rPr>
          <w:color w:val="000000"/>
          <w:sz w:val="24"/>
        </w:rPr>
        <w:br/>
      </w:r>
      <w:r>
        <w:rPr>
          <w:color w:val="000000"/>
          <w:sz w:val="24"/>
        </w:rPr>
        <w:t>А-401 «Подъездная дорога от морского порта Петропавловск-Камчатский к аэропорту».</w:t>
      </w:r>
    </w:p>
    <w:p w14:paraId="32070000">
      <w:pPr>
        <w:pStyle w:val="Style_2"/>
        <w:widowControl w:val="0"/>
        <w:spacing w:line="240" w:lineRule="auto"/>
        <w:ind w:firstLine="709" w:left="0" w:right="0"/>
        <w:jc w:val="both"/>
        <w:rPr>
          <w:rFonts w:ascii="Times New Roman" w:hAnsi="Times New Roman"/>
        </w:rPr>
      </w:pPr>
      <w:r>
        <w:t>Реализация мероприятий по строительству нового аэропортового комплекса в аэропорту Петропавловск-Камчатский (Елизово) увеличит пропускную способность аэропорта и повысит комфорт пассажиров. Планируется, что с введением нового комплекса пассажиропоток аэропорта возрастет до одного миллиона человек в год.</w:t>
      </w:r>
    </w:p>
    <w:p w14:paraId="33070000">
      <w:pPr>
        <w:pStyle w:val="Style_2"/>
        <w:widowControl w:val="0"/>
        <w:spacing w:line="240" w:lineRule="auto"/>
        <w:ind w:firstLine="709" w:left="0" w:right="0"/>
        <w:jc w:val="both"/>
        <w:rPr>
          <w:rFonts w:ascii="Times New Roman" w:hAnsi="Times New Roman"/>
        </w:rPr>
      </w:pPr>
      <w:r>
        <w:t xml:space="preserve">В рамках реализации мероприятий Государственной программы Камчатского края «Развитие транспортной системы в Камчатском крае» подпрограммы «Развитие воздушного транспорта» предоставляется государственная поддержка организациям, осуществляющих деятельность в сфере воздушных межмуниципальных перевозок населения на территории Камчатского края. </w:t>
      </w:r>
      <w:r>
        <w:rPr>
          <w:color w:val="000000"/>
          <w:sz w:val="24"/>
        </w:rPr>
        <w:t xml:space="preserve">В 2023 году субсидия составила 1 314,0 млн рублей, что позволило перевезти 65 177 пассажиров. Сниженный (социальный) пассажирский тариф в среднем по маршрутной сети составляет 37% от полного (экономически обоснованного) тарифа. Правом на льготную перевозку пользуются резиденты Камчатского края и некоторые другие категории лиц. </w:t>
      </w:r>
    </w:p>
    <w:p w14:paraId="34070000">
      <w:pPr>
        <w:pStyle w:val="Style_2"/>
        <w:spacing w:line="240" w:lineRule="auto"/>
        <w:ind w:firstLine="709" w:left="0" w:right="0"/>
        <w:jc w:val="both"/>
        <w:rPr>
          <w:rFonts w:ascii="Times New Roman" w:hAnsi="Times New Roman"/>
        </w:rPr>
      </w:pPr>
      <w:r>
        <w:rPr>
          <w:color w:val="000000"/>
          <w:sz w:val="24"/>
        </w:rPr>
        <w:t xml:space="preserve">Кроме того, АО «Камчатское авиационное предприятие» в 2021 году вошло в единую дальневосточную авиакомпанию, что позволило получить развитие совместных авиаперевозок с авиакомпанией «Аврора» по межрегиональным маршрутам с соседними субъектами и перевезти в 2023 году 13 450 пассажиров и 16,5 тысяч тонн груза. </w:t>
      </w:r>
    </w:p>
    <w:p w14:paraId="35070000">
      <w:pPr>
        <w:pStyle w:val="Style_2"/>
        <w:widowControl w:val="0"/>
        <w:spacing w:line="240" w:lineRule="auto"/>
        <w:ind w:firstLine="709" w:left="0" w:right="0"/>
        <w:jc w:val="both"/>
        <w:rPr>
          <w:rFonts w:ascii="Times New Roman" w:hAnsi="Times New Roman"/>
        </w:rPr>
      </w:pPr>
      <w:r>
        <w:t>АО «Камчатское авиационное предприятие» выполняет прямое воздушное сообщение по межрегиональным маршрутам, а также местным воздушным линиям.</w:t>
      </w:r>
    </w:p>
    <w:p w14:paraId="36070000">
      <w:pPr>
        <w:pStyle w:val="Style_2"/>
        <w:widowControl w:val="0"/>
        <w:spacing w:line="240" w:lineRule="auto"/>
        <w:ind w:firstLine="709" w:left="0" w:right="0"/>
        <w:jc w:val="both"/>
        <w:rPr>
          <w:rFonts w:ascii="Times New Roman" w:hAnsi="Times New Roman"/>
        </w:rPr>
      </w:pPr>
      <w:r>
        <w:t>Не менее значимым предприятием, осуществляющим пассажирские перевозки воздушным транспортом, является ООО АК «ВИТЯЗЬ-АЭРО».</w:t>
      </w:r>
    </w:p>
    <w:p w14:paraId="37070000">
      <w:pPr>
        <w:pStyle w:val="Style_2"/>
        <w:spacing w:line="240" w:lineRule="auto"/>
        <w:ind w:firstLine="708" w:left="0" w:right="0"/>
        <w:jc w:val="both"/>
        <w:rPr>
          <w:rFonts w:ascii="Times New Roman" w:hAnsi="Times New Roman"/>
        </w:rPr>
      </w:pPr>
      <w:r>
        <w:t xml:space="preserve">Кроме того, </w:t>
      </w:r>
      <w:r>
        <w:t xml:space="preserve">Авиационной компанией «ВИТЯЗЬ-АЭРО», одним из первых резидентов территории опережающего развития, реализован инвестиционный проект в с. Николаевка </w:t>
      </w:r>
      <w:r>
        <w:rPr>
          <w:color w:val="000000"/>
          <w:sz w:val="24"/>
        </w:rPr>
        <w:t xml:space="preserve">«Строительство взлетно-посадочной полосы и необходимой инфраструктуры с годовым пассажиропотоком до 40 000 человек». Грунтовая взлетно-посадочная полоса позволяет принимать воздушные суда типа Л-410, Ан-28 и Ми-8. </w:t>
      </w:r>
      <w:r>
        <w:t>Реализация данного проекта имеет важнейшее значение для развития «малой» авиации в Камчатском крае. Объект введен в эксплуатацию в сентябре 2023 года и позволит региону более успешно развивать воздушное сообщение, в том числе и в туристическом направлении.</w:t>
      </w:r>
    </w:p>
    <w:p w14:paraId="38070000">
      <w:pPr>
        <w:pStyle w:val="Style_2"/>
        <w:widowControl w:val="0"/>
        <w:spacing w:line="240" w:lineRule="auto"/>
        <w:ind w:firstLine="709" w:left="0" w:right="0"/>
        <w:jc w:val="both"/>
        <w:rPr>
          <w:rFonts w:ascii="Times New Roman" w:hAnsi="Times New Roman"/>
        </w:rPr>
      </w:pPr>
      <w:r>
        <w:t>В соответствии с Перечнем поручений Президента Российской Федерации по вопросам повышения транспортной доступности, развития малой авиации, Правительством Камчатского края совместно с ФКП «Аэропорты Камчатки» продолжается работа по реконструкции объектов аэропортовой инфраструктуры полуострова.</w:t>
      </w:r>
    </w:p>
    <w:p w14:paraId="39070000">
      <w:pPr>
        <w:pStyle w:val="Style_2"/>
        <w:widowControl w:val="0"/>
        <w:spacing w:line="240" w:lineRule="auto"/>
        <w:ind w:firstLine="709" w:left="0" w:right="0"/>
        <w:jc w:val="both"/>
        <w:rPr>
          <w:rFonts w:ascii="Times New Roman" w:hAnsi="Times New Roman"/>
        </w:rPr>
      </w:pPr>
      <w:r>
        <w:t xml:space="preserve">В целях выполнения мероприятий по модернизации сети аэропортов Камчатского края, Росавиацией совместно с Правительством Камчатского края определен перечень аэропортов, включенных в комплексный план модернизации и расширения магистральной инфраструктуры Минтранса России. </w:t>
      </w:r>
    </w:p>
    <w:p w14:paraId="3A070000">
      <w:pPr>
        <w:pStyle w:val="Style_2"/>
        <w:spacing w:line="240" w:lineRule="auto"/>
        <w:ind w:firstLine="708" w:left="0" w:right="0"/>
        <w:jc w:val="both"/>
        <w:rPr>
          <w:rFonts w:ascii="Times New Roman" w:hAnsi="Times New Roman"/>
        </w:rPr>
      </w:pPr>
      <w:r>
        <w:t xml:space="preserve">В рамках федерального проекта «Развитие региональных аэропортов» произведены работы по реконструкции взлетно-посадочной полосы и иных объектов инфраструктуры аэропорта Усть-Камчатск. </w:t>
      </w:r>
    </w:p>
    <w:p w14:paraId="3B070000">
      <w:pPr>
        <w:pStyle w:val="Style_2"/>
        <w:spacing w:line="240" w:lineRule="auto"/>
        <w:ind w:firstLine="709" w:left="0" w:right="0"/>
        <w:jc w:val="both"/>
        <w:rPr>
          <w:rFonts w:ascii="Times New Roman" w:hAnsi="Times New Roman"/>
        </w:rPr>
      </w:pPr>
      <w:r>
        <w:t>Реализация мероприятия по строительству взлетно-посадочной полосы в аэропорту Палана начата в 2013 году. В рамках контракта выполнено работ на сумму 913,2 млн рублей. Общая строительная готовность объекта составляет 90%, в том числе завершено строительство и введены в эксплуатацию взлетно-посадочная полоса, рулежная дорожка и перрон с местами стоянки для воздушных судов. В связи с неисполнением подрядчиком обязательств по государственному контракту принято решение о его расторжении в судебном порядке и возврате неотработанного аванса. С целью завершения реконструкции аэропорта ФКП «Аэропорты Камчатки», в первом квартале 2024 завершены работы по монтажу светосигнального оборудования, освещения перрона и участка периметрового ограждения.</w:t>
      </w:r>
    </w:p>
    <w:p w14:paraId="3C070000">
      <w:pPr>
        <w:pStyle w:val="Style_2"/>
        <w:spacing w:after="0" w:before="0" w:line="240" w:lineRule="auto"/>
        <w:ind w:firstLine="709" w:left="0" w:right="0"/>
        <w:jc w:val="both"/>
        <w:rPr>
          <w:rFonts w:ascii="Times New Roman" w:hAnsi="Times New Roman"/>
        </w:rPr>
      </w:pPr>
      <w:r>
        <w:rPr>
          <w:color w:val="000000"/>
          <w:sz w:val="24"/>
        </w:rPr>
        <w:t>Ввиду отсутствия федеральных программных мероприятий по модернизации аэропортовой инфраструктуры в аэропорту с. Никольское в 2023 году за счет собственных средств АО «КАП» приобретен топливо-заправочный комплекс для заправки воздушных судов. В целях улучшения условий обслуживания пассажиров ФКП «Аэропорты Камчатки» за счёт собственных средств приобретено административное здание модульного типа для обслуживания пассажиров, в августе 2023 года здание введено в эксплуатацию.</w:t>
      </w:r>
    </w:p>
    <w:p w14:paraId="3D070000">
      <w:pPr>
        <w:pStyle w:val="Style_2"/>
        <w:spacing w:line="240" w:lineRule="auto"/>
        <w:ind w:firstLine="567" w:left="0" w:right="0"/>
        <w:jc w:val="both"/>
        <w:rPr>
          <w:rFonts w:ascii="Times New Roman" w:hAnsi="Times New Roman"/>
        </w:rPr>
      </w:pPr>
      <w:r>
        <w:t xml:space="preserve">В соответствии с поручением Президента Российской Федерации от 23.11.2021 № Пр-2199 Министерством транспорта Российской Федерации запланирована реализация мероприятий по приведению в нормативное состояние аэропорта Тиличики. Минтрансом России совместно с Росавиацией проработан вопрос доведения аэродромной инфраструктуры аэропорта Тиличики до нормативных требований в рамках капитального ремонта, </w:t>
      </w:r>
      <w:r>
        <w:t>что сократит сроки разработки проектной документации в связи с отсутствием необходимости прохождения государственной экспертизы, в пределах выделенных лимитов финансирования. П</w:t>
      </w:r>
      <w:r>
        <w:rPr>
          <w:sz w:val="24"/>
        </w:rPr>
        <w:t>рорабатывается вопрос по доведению средств до ФКП «Аэропорты Камчатки».</w:t>
      </w:r>
    </w:p>
    <w:p w14:paraId="3E070000">
      <w:pPr>
        <w:pStyle w:val="Style_2"/>
        <w:spacing w:line="240" w:lineRule="auto"/>
        <w:ind w:firstLine="567" w:left="0" w:right="0"/>
        <w:jc w:val="both"/>
        <w:rPr>
          <w:rFonts w:ascii="Times New Roman" w:hAnsi="Times New Roman"/>
        </w:rPr>
      </w:pPr>
      <w:r>
        <w:rPr>
          <w:color w:val="000000"/>
          <w:sz w:val="24"/>
        </w:rPr>
        <w:t>В</w:t>
      </w:r>
      <w:r>
        <w:t xml:space="preserve"> соответствии с инвестиционной программой АО «КАП» проводится планомерная работа по обновлению парка воздушных судов.</w:t>
      </w:r>
    </w:p>
    <w:p w14:paraId="3F070000">
      <w:pPr>
        <w:pStyle w:val="Style_2"/>
        <w:spacing w:after="0" w:before="0" w:line="240" w:lineRule="auto"/>
        <w:ind w:firstLine="567" w:left="0" w:right="0"/>
        <w:contextualSpacing w:val="1"/>
        <w:jc w:val="both"/>
        <w:rPr>
          <w:rFonts w:ascii="Times New Roman" w:hAnsi="Times New Roman"/>
        </w:rPr>
      </w:pPr>
      <w:r>
        <w:t xml:space="preserve">07.09.2022 АО «КАП» заключен договор лизинга на приобретение вертолета Ми-8МТВ-1 с АО «ГТЛК». В январе 2023 года осуществлен перегон воздушного судна с Казанского вертолетного завода в аэропорт базирования Петропавловск-Камчатский (Елизово). Вертолет осуществляет пассажирские рейсы, авиационные работы, а также работает на туристических направлениях. </w:t>
      </w:r>
    </w:p>
    <w:p w14:paraId="40070000">
      <w:pPr>
        <w:pStyle w:val="Style_2"/>
        <w:spacing w:line="240" w:lineRule="auto"/>
        <w:ind w:firstLine="708" w:left="0" w:right="0"/>
        <w:jc w:val="both"/>
        <w:rPr>
          <w:rFonts w:ascii="Times New Roman" w:hAnsi="Times New Roman"/>
        </w:rPr>
      </w:pPr>
      <w:r>
        <w:t>В 2022 году был подписан договор купили-продажи с АО «Борисфен» на приобретение самолета Як-40 в связи с техническим состоянием и отсутствием ряда комплектующих судно было направлено на минский авиаремонтный завод. В Августе 2023 года самолет прибыл к месту базирования в аэропорт Петропавловск-Камчатский. Срок эксплуатации самолета после ремонта составляет 7 календарных лет. Объем финансирования с учетом ремонта составил 118 477 тыс. рублей.</w:t>
      </w:r>
    </w:p>
    <w:p w14:paraId="41070000">
      <w:pPr>
        <w:pStyle w:val="Style_2"/>
        <w:spacing w:line="240" w:lineRule="auto"/>
        <w:ind w:firstLine="708" w:left="0" w:right="0"/>
        <w:jc w:val="both"/>
        <w:rPr>
          <w:rFonts w:ascii="Times New Roman" w:hAnsi="Times New Roman"/>
        </w:rPr>
      </w:pPr>
      <w:r>
        <w:t>Вместе с тем в целях выполнения работ по капитальному ремонту воздушного судна типа Ан-26, в августе 2021 АО «КАП» был совершен перегон воздушного судна на ремонтный завод в г. Иваново. Общий объем финансирования составил 113 167 тыс. рублей. Срок окончания работ запланирован на июль 2024 года.</w:t>
      </w:r>
    </w:p>
    <w:p w14:paraId="42070000">
      <w:pPr>
        <w:pStyle w:val="Style_2"/>
        <w:spacing w:line="240" w:lineRule="auto"/>
        <w:ind w:firstLine="708" w:left="0" w:right="0"/>
        <w:jc w:val="both"/>
        <w:rPr>
          <w:rFonts w:ascii="Times New Roman" w:hAnsi="Times New Roman"/>
        </w:rPr>
      </w:pPr>
      <w:r>
        <w:t>В 2023 году ООО АК «ВИТЯЗЬ-АЭРО» приобретены – 2 единицы Ми-8, а также планируется в 2024-2025 годах приобрести по 2 единицы Ми-8.</w:t>
      </w:r>
    </w:p>
    <w:p w14:paraId="43070000">
      <w:pPr>
        <w:pStyle w:val="Style_2"/>
        <w:spacing w:line="240" w:lineRule="auto"/>
        <w:ind w:firstLine="708" w:left="0" w:right="0"/>
        <w:jc w:val="both"/>
        <w:rPr>
          <w:rFonts w:ascii="Times New Roman" w:hAnsi="Times New Roman"/>
        </w:rPr>
      </w:pPr>
      <w:r>
        <w:rPr>
          <w:color w:val="000000"/>
          <w:sz w:val="24"/>
        </w:rPr>
        <w:t>Так же АО «КАП» запланировано приобретение двух единиц Ми-8 в конце 2024 года.</w:t>
      </w:r>
    </w:p>
    <w:p w14:paraId="44070000">
      <w:pPr>
        <w:pStyle w:val="Style_2"/>
        <w:spacing w:line="240" w:lineRule="auto"/>
        <w:ind w:firstLine="708" w:left="0" w:right="0"/>
        <w:jc w:val="both"/>
        <w:rPr>
          <w:rFonts w:ascii="Times New Roman" w:hAnsi="Times New Roman"/>
          <w:b w:val="1"/>
          <w:color w:val="632523"/>
        </w:rPr>
      </w:pPr>
    </w:p>
    <w:p w14:paraId="45070000">
      <w:pPr>
        <w:pStyle w:val="Style_2"/>
        <w:spacing w:line="240" w:lineRule="auto"/>
        <w:ind/>
        <w:jc w:val="both"/>
        <w:rPr>
          <w:rFonts w:ascii="Times New Roman" w:hAnsi="Times New Roman"/>
          <w:color w:val="000000"/>
        </w:rPr>
      </w:pPr>
      <w:r>
        <w:rPr>
          <w:b w:val="1"/>
          <w:color w:val="000000"/>
        </w:rPr>
        <w:t>V. Основные параметры государственных программ Камчатского края</w:t>
      </w:r>
    </w:p>
    <w:p w14:paraId="46070000">
      <w:pPr>
        <w:pStyle w:val="Style_2"/>
        <w:tabs>
          <w:tab w:leader="none" w:pos="708" w:val="clear"/>
          <w:tab w:leader="none" w:pos="1418" w:val="left"/>
        </w:tabs>
        <w:spacing w:line="240" w:lineRule="auto"/>
        <w:ind w:firstLine="709" w:left="0" w:right="0"/>
        <w:jc w:val="both"/>
        <w:rPr>
          <w:rFonts w:ascii="Times New Roman" w:hAnsi="Times New Roman"/>
          <w:sz w:val="24"/>
        </w:rPr>
      </w:pPr>
      <w:r>
        <w:rPr>
          <w:sz w:val="24"/>
        </w:rPr>
        <w:t>Государственные программы как инструмент стратегического планирования и построения бюджетного финансирования реализуются в Камчатском крае с 2014 года.</w:t>
      </w:r>
    </w:p>
    <w:p w14:paraId="47070000">
      <w:pPr>
        <w:pStyle w:val="Style_2"/>
        <w:tabs>
          <w:tab w:leader="none" w:pos="708" w:val="clear"/>
          <w:tab w:leader="none" w:pos="1418" w:val="left"/>
        </w:tabs>
        <w:spacing w:line="240" w:lineRule="auto"/>
        <w:ind w:firstLine="709" w:left="0" w:right="0"/>
        <w:jc w:val="both"/>
        <w:rPr>
          <w:rFonts w:ascii="Times New Roman" w:hAnsi="Times New Roman"/>
          <w:sz w:val="24"/>
        </w:rPr>
      </w:pPr>
      <w:r>
        <w:rPr>
          <w:sz w:val="24"/>
        </w:rPr>
        <w:t>Перечень государственных программ Камчатского края утвержден распоряжением Правительства Камчатского края от 31.07.2013 № 364-РП.</w:t>
      </w:r>
    </w:p>
    <w:p w14:paraId="48070000">
      <w:pPr>
        <w:pStyle w:val="Style_2"/>
        <w:tabs>
          <w:tab w:leader="none" w:pos="708" w:val="clear"/>
          <w:tab w:leader="none" w:pos="1418" w:val="left"/>
        </w:tabs>
        <w:spacing w:line="240" w:lineRule="auto"/>
        <w:ind w:firstLine="709" w:left="0" w:right="0"/>
        <w:jc w:val="both"/>
        <w:rPr>
          <w:rFonts w:ascii="Times New Roman" w:hAnsi="Times New Roman"/>
          <w:sz w:val="24"/>
        </w:rPr>
      </w:pPr>
      <w:r>
        <w:rPr>
          <w:sz w:val="24"/>
        </w:rPr>
        <w:t xml:space="preserve">На территории Камчатского края в 2024 году реализуются мероприятия 26 государственных программ </w:t>
      </w:r>
      <w:r>
        <w:rPr>
          <w:b w:val="0"/>
          <w:i w:val="0"/>
          <w:caps w:val="0"/>
          <w:smallCaps w:val="0"/>
          <w:color w:val="000000"/>
          <w:spacing w:val="0"/>
          <w:sz w:val="24"/>
        </w:rPr>
        <w:t>по направлениям:</w:t>
      </w:r>
    </w:p>
    <w:p w14:paraId="49070000">
      <w:pPr>
        <w:pStyle w:val="Style_2"/>
        <w:tabs>
          <w:tab w:leader="none" w:pos="708" w:val="clear"/>
          <w:tab w:leader="none" w:pos="1418" w:val="left"/>
        </w:tabs>
        <w:spacing w:line="240" w:lineRule="auto"/>
        <w:ind w:firstLine="709" w:left="0" w:right="0"/>
        <w:jc w:val="both"/>
        <w:rPr>
          <w:rFonts w:ascii="Times New Roman" w:hAnsi="Times New Roman"/>
          <w:sz w:val="24"/>
          <w:u w:val="none"/>
        </w:rPr>
      </w:pPr>
      <w:r>
        <w:rPr>
          <w:b w:val="0"/>
          <w:i w:val="0"/>
          <w:caps w:val="0"/>
          <w:smallCaps w:val="0"/>
          <w:color w:val="000000"/>
          <w:spacing w:val="0"/>
          <w:sz w:val="24"/>
          <w:u w:val="none"/>
        </w:rPr>
        <w:t>1) «Сохранение населения, здоровье и благополучие людей»:</w:t>
      </w:r>
    </w:p>
    <w:p w14:paraId="4A070000">
      <w:pPr>
        <w:pStyle w:val="Style_2"/>
        <w:widowControl w:val="1"/>
        <w:tabs>
          <w:tab w:leader="none" w:pos="708" w:val="clear"/>
          <w:tab w:leader="none" w:pos="1418" w:val="left"/>
        </w:tabs>
        <w:spacing w:after="0" w:before="0" w:line="240" w:lineRule="auto"/>
        <w:ind w:firstLine="737" w:left="0" w:right="0"/>
        <w:jc w:val="both"/>
        <w:rPr>
          <w:rFonts w:ascii="Times New Roman" w:hAnsi="Times New Roman"/>
          <w:sz w:val="24"/>
        </w:rPr>
      </w:pPr>
      <w:r>
        <w:rPr>
          <w:sz w:val="24"/>
        </w:rPr>
        <w:t>–</w:t>
      </w:r>
      <w:r>
        <w:rPr>
          <w:sz w:val="24"/>
        </w:rPr>
        <w:t xml:space="preserve"> </w:t>
      </w:r>
      <w:r>
        <w:rPr>
          <w:sz w:val="24"/>
        </w:rPr>
        <w:t>«Развитие здравоохранения Камчатского края»;</w:t>
      </w:r>
    </w:p>
    <w:p w14:paraId="4B070000">
      <w:pPr>
        <w:pStyle w:val="Style_2"/>
        <w:widowControl w:val="1"/>
        <w:tabs>
          <w:tab w:leader="none" w:pos="708" w:val="clear"/>
          <w:tab w:leader="none" w:pos="1418" w:val="left"/>
        </w:tabs>
        <w:spacing w:after="0" w:before="0" w:line="240" w:lineRule="auto"/>
        <w:ind w:firstLine="737" w:left="0" w:right="0"/>
        <w:jc w:val="both"/>
        <w:rPr>
          <w:rFonts w:ascii="Times New Roman" w:hAnsi="Times New Roman"/>
          <w:sz w:val="24"/>
        </w:rPr>
      </w:pPr>
      <w:r>
        <w:rPr>
          <w:sz w:val="24"/>
        </w:rPr>
        <w:t>–</w:t>
      </w:r>
      <w:r>
        <w:rPr>
          <w:sz w:val="24"/>
        </w:rPr>
        <w:t xml:space="preserve"> </w:t>
      </w:r>
      <w:r>
        <w:rPr>
          <w:sz w:val="24"/>
        </w:rPr>
        <w:t>«Социальная поддержка граждан в Камчатском крае»;</w:t>
      </w:r>
    </w:p>
    <w:p w14:paraId="4C070000">
      <w:pPr>
        <w:pStyle w:val="Style_2"/>
        <w:widowControl w:val="1"/>
        <w:tabs>
          <w:tab w:leader="none" w:pos="708" w:val="clear"/>
          <w:tab w:leader="none" w:pos="1418" w:val="left"/>
        </w:tabs>
        <w:spacing w:after="0" w:before="0" w:line="240" w:lineRule="auto"/>
        <w:ind w:firstLine="737" w:left="0" w:right="0"/>
        <w:jc w:val="both"/>
        <w:rPr>
          <w:rFonts w:ascii="Times New Roman" w:hAnsi="Times New Roman"/>
          <w:sz w:val="24"/>
        </w:rPr>
      </w:pPr>
      <w:r>
        <w:rPr>
          <w:b w:val="0"/>
          <w:i w:val="0"/>
          <w:caps w:val="0"/>
          <w:smallCaps w:val="0"/>
          <w:color w:val="000000"/>
          <w:spacing w:val="0"/>
          <w:sz w:val="24"/>
        </w:rPr>
        <w:t xml:space="preserve">– </w:t>
      </w:r>
      <w:r>
        <w:rPr>
          <w:b w:val="0"/>
          <w:i w:val="0"/>
          <w:caps w:val="0"/>
          <w:smallCaps w:val="0"/>
          <w:color w:val="000000"/>
          <w:spacing w:val="0"/>
          <w:sz w:val="24"/>
        </w:rPr>
        <w:t>«Семья и дети Камчатки»;</w:t>
      </w:r>
    </w:p>
    <w:p w14:paraId="4D070000">
      <w:pPr>
        <w:pStyle w:val="Style_2"/>
        <w:widowControl w:val="1"/>
        <w:tabs>
          <w:tab w:leader="none" w:pos="708" w:val="clear"/>
          <w:tab w:leader="none" w:pos="1418" w:val="left"/>
        </w:tabs>
        <w:spacing w:after="0" w:before="0" w:line="240" w:lineRule="auto"/>
        <w:ind w:firstLine="737" w:left="0" w:right="0"/>
        <w:jc w:val="both"/>
        <w:rPr>
          <w:rFonts w:ascii="Times New Roman" w:hAnsi="Times New Roman"/>
          <w:sz w:val="24"/>
        </w:rPr>
      </w:pPr>
      <w:r>
        <w:rPr>
          <w:b w:val="0"/>
          <w:i w:val="0"/>
          <w:caps w:val="0"/>
          <w:smallCaps w:val="0"/>
          <w:color w:val="000000"/>
          <w:spacing w:val="0"/>
          <w:sz w:val="24"/>
        </w:rPr>
        <w:t xml:space="preserve">– </w:t>
      </w:r>
      <w:r>
        <w:rPr>
          <w:b w:val="0"/>
          <w:i w:val="0"/>
          <w:caps w:val="0"/>
          <w:smallCaps w:val="0"/>
          <w:color w:val="000000"/>
          <w:spacing w:val="0"/>
          <w:sz w:val="24"/>
        </w:rPr>
        <w:t>«Развитие физической культуры и спорта в Камчатском крае»;</w:t>
      </w:r>
    </w:p>
    <w:p w14:paraId="4E070000">
      <w:pPr>
        <w:pStyle w:val="Style_2"/>
        <w:widowControl w:val="1"/>
        <w:tabs>
          <w:tab w:leader="none" w:pos="708" w:val="clear"/>
          <w:tab w:leader="none" w:pos="1418" w:val="left"/>
        </w:tabs>
        <w:spacing w:after="0" w:before="0" w:line="240" w:lineRule="auto"/>
        <w:ind w:firstLine="737" w:left="0" w:right="0"/>
        <w:jc w:val="both"/>
        <w:rPr>
          <w:rFonts w:ascii="Times New Roman" w:hAnsi="Times New Roman"/>
          <w:sz w:val="24"/>
        </w:rPr>
      </w:pPr>
      <w:r>
        <w:rPr>
          <w:b w:val="0"/>
          <w:i w:val="0"/>
          <w:caps w:val="0"/>
          <w:smallCaps w:val="0"/>
          <w:color w:val="000000"/>
          <w:spacing w:val="0"/>
          <w:sz w:val="24"/>
        </w:rPr>
        <w:t xml:space="preserve">– </w:t>
      </w:r>
      <w:r>
        <w:rPr>
          <w:b w:val="0"/>
          <w:i w:val="0"/>
          <w:caps w:val="0"/>
          <w:smallCaps w:val="0"/>
          <w:color w:val="000000"/>
          <w:spacing w:val="0"/>
          <w:sz w:val="24"/>
        </w:rPr>
        <w:t>«Содействие занятости населения Камчатского края»;</w:t>
      </w:r>
    </w:p>
    <w:p w14:paraId="4F070000">
      <w:pPr>
        <w:pStyle w:val="Style_2"/>
        <w:widowControl w:val="1"/>
        <w:tabs>
          <w:tab w:leader="none" w:pos="225" w:val="left"/>
          <w:tab w:leader="none" w:pos="708" w:val="clear"/>
          <w:tab w:leader="none" w:pos="1418" w:val="left"/>
        </w:tabs>
        <w:spacing w:after="0" w:before="0" w:line="240" w:lineRule="auto"/>
        <w:ind w:firstLine="737" w:left="0" w:right="0"/>
        <w:jc w:val="both"/>
        <w:rPr>
          <w:rFonts w:ascii="Times New Roman" w:hAnsi="Times New Roman"/>
          <w:sz w:val="24"/>
        </w:rPr>
      </w:pPr>
      <w:r>
        <w:rPr>
          <w:b w:val="0"/>
          <w:i w:val="0"/>
          <w:caps w:val="0"/>
          <w:smallCaps w:val="0"/>
          <w:color w:val="000000"/>
          <w:spacing w:val="0"/>
          <w:sz w:val="24"/>
        </w:rPr>
        <w:t>– </w:t>
      </w:r>
      <w:r>
        <w:rPr>
          <w:b w:val="0"/>
          <w:i w:val="0"/>
          <w:caps w:val="0"/>
          <w:smallCaps w:val="0"/>
          <w:color w:val="000000"/>
          <w:spacing w:val="0"/>
          <w:sz w:val="24"/>
        </w:rPr>
        <w:t>«Оказание содействия добровольному переселению в Камчатский край соотечественников, проживающих за рубежом»;</w:t>
      </w:r>
    </w:p>
    <w:p w14:paraId="50070000">
      <w:pPr>
        <w:pStyle w:val="Style_2"/>
        <w:tabs>
          <w:tab w:leader="none" w:pos="708" w:val="clear"/>
          <w:tab w:leader="none" w:pos="1418" w:val="left"/>
        </w:tabs>
        <w:spacing w:line="240" w:lineRule="auto"/>
        <w:ind w:firstLine="709" w:left="0" w:right="0"/>
        <w:jc w:val="both"/>
        <w:rPr>
          <w:rFonts w:ascii="Times New Roman" w:hAnsi="Times New Roman"/>
          <w:sz w:val="24"/>
          <w:u w:val="none"/>
        </w:rPr>
      </w:pPr>
      <w:r>
        <w:rPr>
          <w:b w:val="0"/>
          <w:i w:val="0"/>
          <w:caps w:val="0"/>
          <w:smallCaps w:val="0"/>
          <w:color w:val="000000"/>
          <w:spacing w:val="0"/>
          <w:sz w:val="24"/>
          <w:u w:val="none"/>
        </w:rPr>
        <w:t>2) «Возможности для самореализации и развития талантов»:</w:t>
      </w:r>
    </w:p>
    <w:p w14:paraId="51070000">
      <w:pPr>
        <w:pStyle w:val="Style_2"/>
        <w:widowControl w:val="1"/>
        <w:tabs>
          <w:tab w:leader="none" w:pos="708" w:val="clear"/>
          <w:tab w:leader="none" w:pos="1418" w:val="left"/>
        </w:tabs>
        <w:spacing w:after="0" w:before="0" w:line="240" w:lineRule="auto"/>
        <w:ind w:firstLine="737" w:left="0" w:right="0"/>
        <w:jc w:val="both"/>
        <w:rPr>
          <w:rFonts w:ascii="Times New Roman" w:hAnsi="Times New Roman"/>
          <w:sz w:val="24"/>
        </w:rPr>
      </w:pPr>
      <w:r>
        <w:rPr>
          <w:b w:val="0"/>
          <w:i w:val="0"/>
          <w:caps w:val="0"/>
          <w:smallCaps w:val="0"/>
          <w:color w:val="000000"/>
          <w:spacing w:val="0"/>
          <w:sz w:val="24"/>
        </w:rPr>
        <w:t xml:space="preserve">– </w:t>
      </w:r>
      <w:r>
        <w:rPr>
          <w:b w:val="0"/>
          <w:i w:val="0"/>
          <w:caps w:val="0"/>
          <w:smallCaps w:val="0"/>
          <w:color w:val="000000"/>
          <w:spacing w:val="0"/>
          <w:sz w:val="24"/>
        </w:rPr>
        <w:t>«Развитие образования в Камчатском крае»;</w:t>
      </w:r>
    </w:p>
    <w:p w14:paraId="52070000">
      <w:pPr>
        <w:pStyle w:val="Style_2"/>
        <w:widowControl w:val="1"/>
        <w:tabs>
          <w:tab w:leader="none" w:pos="708" w:val="clear"/>
          <w:tab w:leader="none" w:pos="1418" w:val="left"/>
        </w:tabs>
        <w:spacing w:after="0" w:before="0" w:line="240" w:lineRule="auto"/>
        <w:ind w:firstLine="737" w:left="0" w:right="0"/>
        <w:jc w:val="both"/>
        <w:rPr>
          <w:rFonts w:ascii="Times New Roman" w:hAnsi="Times New Roman"/>
          <w:sz w:val="24"/>
        </w:rPr>
      </w:pPr>
      <w:r>
        <w:rPr>
          <w:b w:val="0"/>
          <w:i w:val="0"/>
          <w:caps w:val="0"/>
          <w:smallCaps w:val="0"/>
          <w:color w:val="000000"/>
          <w:spacing w:val="0"/>
          <w:sz w:val="24"/>
        </w:rPr>
        <w:t xml:space="preserve">– </w:t>
      </w:r>
      <w:r>
        <w:rPr>
          <w:b w:val="0"/>
          <w:i w:val="0"/>
          <w:caps w:val="0"/>
          <w:smallCaps w:val="0"/>
          <w:color w:val="000000"/>
          <w:spacing w:val="0"/>
          <w:sz w:val="24"/>
        </w:rPr>
        <w:t>«Развитие культуры в Камчатском крае»;</w:t>
      </w:r>
    </w:p>
    <w:p w14:paraId="53070000">
      <w:pPr>
        <w:pStyle w:val="Style_2"/>
        <w:widowControl w:val="1"/>
        <w:tabs>
          <w:tab w:leader="none" w:pos="708" w:val="clear"/>
          <w:tab w:leader="none" w:pos="1418" w:val="left"/>
        </w:tabs>
        <w:spacing w:after="0" w:before="0" w:line="240" w:lineRule="auto"/>
        <w:ind w:firstLine="737" w:left="0" w:right="0"/>
        <w:jc w:val="both"/>
        <w:rPr>
          <w:rFonts w:ascii="Times New Roman" w:hAnsi="Times New Roman"/>
          <w:sz w:val="24"/>
        </w:rPr>
      </w:pPr>
      <w:r>
        <w:rPr>
          <w:b w:val="0"/>
          <w:i w:val="0"/>
          <w:caps w:val="0"/>
          <w:smallCaps w:val="0"/>
          <w:color w:val="000000"/>
          <w:spacing w:val="0"/>
          <w:sz w:val="24"/>
        </w:rPr>
        <w:t xml:space="preserve">– </w:t>
      </w:r>
      <w:r>
        <w:rPr>
          <w:b w:val="0"/>
          <w:i w:val="0"/>
          <w:caps w:val="0"/>
          <w:smallCaps w:val="0"/>
          <w:color w:val="000000"/>
          <w:spacing w:val="0"/>
          <w:sz w:val="24"/>
        </w:rPr>
        <w:t>«Развитие внутреннего и въездного туризма в Камчатском крае»;</w:t>
      </w:r>
    </w:p>
    <w:p w14:paraId="54070000">
      <w:pPr>
        <w:pStyle w:val="Style_2"/>
        <w:widowControl w:val="1"/>
        <w:tabs>
          <w:tab w:leader="none" w:pos="225" w:val="left"/>
          <w:tab w:leader="none" w:pos="708" w:val="clear"/>
          <w:tab w:leader="none" w:pos="900" w:val="left"/>
        </w:tabs>
        <w:spacing w:after="0" w:before="0" w:line="240" w:lineRule="auto"/>
        <w:ind w:firstLine="737" w:left="0" w:right="0"/>
        <w:jc w:val="both"/>
        <w:rPr>
          <w:rFonts w:ascii="Times New Roman" w:hAnsi="Times New Roman"/>
          <w:sz w:val="24"/>
        </w:rPr>
      </w:pPr>
      <w:r>
        <w:rPr>
          <w:b w:val="0"/>
          <w:i w:val="0"/>
          <w:caps w:val="0"/>
          <w:smallCaps w:val="0"/>
          <w:color w:val="000000"/>
          <w:spacing w:val="0"/>
          <w:sz w:val="24"/>
        </w:rPr>
        <w:t>– </w:t>
      </w:r>
      <w:r>
        <w:rPr>
          <w:b w:val="0"/>
          <w:i w:val="0"/>
          <w:caps w:val="0"/>
          <w:smallCaps w:val="0"/>
          <w:color w:val="000000"/>
          <w:spacing w:val="0"/>
          <w:sz w:val="24"/>
        </w:rPr>
        <w:t>«Реализация государственной национальной политики и укрепление гражданского единства в Камчатском крае»;</w:t>
      </w:r>
    </w:p>
    <w:p w14:paraId="55070000">
      <w:pPr>
        <w:pStyle w:val="Style_2"/>
        <w:widowControl w:val="1"/>
        <w:tabs>
          <w:tab w:leader="none" w:pos="225" w:val="left"/>
          <w:tab w:leader="none" w:pos="708" w:val="clear"/>
          <w:tab w:leader="none" w:pos="900" w:val="left"/>
        </w:tabs>
        <w:spacing w:after="0" w:before="0" w:line="240" w:lineRule="auto"/>
        <w:ind w:firstLine="737" w:left="0" w:right="0"/>
        <w:jc w:val="both"/>
        <w:rPr>
          <w:rFonts w:ascii="Times New Roman" w:hAnsi="Times New Roman"/>
          <w:sz w:val="24"/>
          <w:u w:val="none"/>
        </w:rPr>
      </w:pPr>
      <w:r>
        <w:rPr>
          <w:b w:val="0"/>
          <w:i w:val="0"/>
          <w:caps w:val="0"/>
          <w:smallCaps w:val="0"/>
          <w:color w:val="000000"/>
          <w:spacing w:val="0"/>
          <w:sz w:val="24"/>
          <w:u w:val="none"/>
        </w:rPr>
        <w:t>3) «Комфортная и безопасная среда для жизни»:</w:t>
      </w:r>
    </w:p>
    <w:p w14:paraId="56070000">
      <w:pPr>
        <w:pStyle w:val="Style_2"/>
        <w:widowControl w:val="1"/>
        <w:tabs>
          <w:tab w:leader="none" w:pos="708" w:val="clear"/>
          <w:tab w:leader="none" w:pos="735" w:val="left"/>
          <w:tab w:leader="none" w:pos="1365" w:val="left"/>
        </w:tabs>
        <w:spacing w:after="0" w:before="0" w:line="240" w:lineRule="auto"/>
        <w:ind w:firstLine="737" w:left="0" w:right="0"/>
        <w:jc w:val="both"/>
        <w:rPr>
          <w:rFonts w:ascii="Times New Roman" w:hAnsi="Times New Roman"/>
          <w:sz w:val="24"/>
        </w:rPr>
      </w:pPr>
      <w:r>
        <w:rPr>
          <w:b w:val="0"/>
          <w:i w:val="0"/>
          <w:caps w:val="0"/>
          <w:smallCaps w:val="0"/>
          <w:color w:val="000000"/>
          <w:spacing w:val="0"/>
          <w:sz w:val="24"/>
        </w:rPr>
        <w:t xml:space="preserve">– </w:t>
      </w:r>
      <w:r>
        <w:rPr>
          <w:b w:val="0"/>
          <w:i w:val="0"/>
          <w:caps w:val="0"/>
          <w:smallCaps w:val="0"/>
          <w:color w:val="000000"/>
          <w:spacing w:val="0"/>
          <w:sz w:val="24"/>
        </w:rPr>
        <w:t>«Обеспечение доступным и комфортным жильем жителей Камчатского края»;</w:t>
      </w:r>
    </w:p>
    <w:p w14:paraId="57070000">
      <w:pPr>
        <w:pStyle w:val="Style_2"/>
        <w:widowControl w:val="1"/>
        <w:tabs>
          <w:tab w:leader="none" w:pos="708" w:val="clear"/>
          <w:tab w:leader="none" w:pos="735" w:val="left"/>
          <w:tab w:leader="none" w:pos="1365" w:val="left"/>
        </w:tabs>
        <w:spacing w:after="0" w:before="0" w:line="240" w:lineRule="auto"/>
        <w:ind w:firstLine="737" w:left="0" w:right="0"/>
        <w:jc w:val="both"/>
        <w:rPr>
          <w:rFonts w:ascii="Times New Roman" w:hAnsi="Times New Roman"/>
          <w:sz w:val="24"/>
        </w:rPr>
      </w:pPr>
      <w:r>
        <w:rPr>
          <w:b w:val="0"/>
          <w:i w:val="0"/>
          <w:caps w:val="0"/>
          <w:smallCaps w:val="0"/>
          <w:color w:val="000000"/>
          <w:spacing w:val="0"/>
          <w:sz w:val="24"/>
        </w:rPr>
        <w:t xml:space="preserve">– </w:t>
      </w:r>
      <w:r>
        <w:rPr>
          <w:b w:val="0"/>
          <w:i w:val="0"/>
          <w:caps w:val="0"/>
          <w:smallCaps w:val="0"/>
          <w:color w:val="000000"/>
          <w:spacing w:val="0"/>
          <w:sz w:val="24"/>
        </w:rPr>
        <w:t>«Формирование современной городской среды в Камчатском крае»;</w:t>
      </w:r>
    </w:p>
    <w:p w14:paraId="58070000">
      <w:pPr>
        <w:pStyle w:val="Style_2"/>
        <w:widowControl w:val="1"/>
        <w:tabs>
          <w:tab w:leader="none" w:pos="708" w:val="clear"/>
          <w:tab w:leader="none" w:pos="735" w:val="left"/>
          <w:tab w:leader="none" w:pos="1365" w:val="left"/>
        </w:tabs>
        <w:spacing w:after="0" w:before="0" w:line="240" w:lineRule="auto"/>
        <w:ind w:firstLine="737" w:left="0" w:right="0"/>
        <w:jc w:val="both"/>
        <w:rPr>
          <w:rFonts w:ascii="Times New Roman" w:hAnsi="Times New Roman"/>
          <w:sz w:val="24"/>
        </w:rPr>
      </w:pPr>
      <w:r>
        <w:rPr>
          <w:b w:val="0"/>
          <w:i w:val="0"/>
          <w:caps w:val="0"/>
          <w:smallCaps w:val="0"/>
          <w:color w:val="000000"/>
          <w:spacing w:val="0"/>
          <w:sz w:val="24"/>
        </w:rPr>
        <w:t>– </w:t>
      </w:r>
      <w:r>
        <w:rPr>
          <w:b w:val="0"/>
          <w:i w:val="0"/>
          <w:caps w:val="0"/>
          <w:smallCaps w:val="0"/>
          <w:color w:val="000000"/>
          <w:spacing w:val="0"/>
          <w:sz w:val="24"/>
        </w:rPr>
        <w:t>«Энергоэффективность, развитие энергетики и коммунального хозяйства, обеспечение жителей населенных пунктов Камчатского края коммунальными услугами»;</w:t>
      </w:r>
    </w:p>
    <w:p w14:paraId="59070000">
      <w:pPr>
        <w:pStyle w:val="Style_2"/>
        <w:widowControl w:val="1"/>
        <w:tabs>
          <w:tab w:leader="none" w:pos="708" w:val="clear"/>
          <w:tab w:leader="none" w:pos="735" w:val="left"/>
          <w:tab w:leader="none" w:pos="1365" w:val="left"/>
        </w:tabs>
        <w:spacing w:after="0" w:before="0" w:line="240" w:lineRule="auto"/>
        <w:ind w:firstLine="737" w:left="0" w:right="0"/>
        <w:jc w:val="both"/>
        <w:rPr>
          <w:rFonts w:ascii="Times New Roman" w:hAnsi="Times New Roman"/>
          <w:sz w:val="24"/>
        </w:rPr>
      </w:pPr>
      <w:r>
        <w:rPr>
          <w:b w:val="0"/>
          <w:i w:val="0"/>
          <w:caps w:val="0"/>
          <w:smallCaps w:val="0"/>
          <w:color w:val="000000"/>
          <w:spacing w:val="0"/>
          <w:sz w:val="24"/>
        </w:rPr>
        <w:t>– </w:t>
      </w:r>
      <w:r>
        <w:rPr>
          <w:b w:val="0"/>
          <w:i w:val="0"/>
          <w:caps w:val="0"/>
          <w:smallCaps w:val="0"/>
          <w:color w:val="000000"/>
          <w:spacing w:val="0"/>
          <w:sz w:val="24"/>
        </w:rPr>
        <w:t>«Охрана окружающей среды, воспроизводство и использование природных ресурсов в Камчатском крае»;</w:t>
      </w:r>
    </w:p>
    <w:p w14:paraId="5A070000">
      <w:pPr>
        <w:pStyle w:val="Style_2"/>
        <w:widowControl w:val="1"/>
        <w:tabs>
          <w:tab w:leader="none" w:pos="708" w:val="clear"/>
          <w:tab w:leader="none" w:pos="735" w:val="left"/>
          <w:tab w:leader="none" w:pos="1365" w:val="left"/>
        </w:tabs>
        <w:spacing w:after="0" w:before="0" w:line="240" w:lineRule="auto"/>
        <w:ind w:firstLine="737" w:left="0" w:right="0"/>
        <w:jc w:val="both"/>
        <w:rPr>
          <w:rFonts w:ascii="Times New Roman" w:hAnsi="Times New Roman"/>
          <w:sz w:val="24"/>
        </w:rPr>
      </w:pPr>
      <w:r>
        <w:rPr>
          <w:b w:val="0"/>
          <w:i w:val="0"/>
          <w:caps w:val="0"/>
          <w:smallCaps w:val="0"/>
          <w:color w:val="000000"/>
          <w:spacing w:val="0"/>
          <w:sz w:val="24"/>
        </w:rPr>
        <w:t xml:space="preserve">– </w:t>
      </w:r>
      <w:r>
        <w:rPr>
          <w:b w:val="0"/>
          <w:i w:val="0"/>
          <w:caps w:val="0"/>
          <w:smallCaps w:val="0"/>
          <w:color w:val="000000"/>
          <w:spacing w:val="0"/>
          <w:sz w:val="24"/>
        </w:rPr>
        <w:t>«Развитие транспортной системы в Камчатском крае»;</w:t>
      </w:r>
    </w:p>
    <w:p w14:paraId="5B070000">
      <w:pPr>
        <w:pStyle w:val="Style_2"/>
        <w:widowControl w:val="1"/>
        <w:tabs>
          <w:tab w:leader="none" w:pos="708" w:val="clear"/>
          <w:tab w:leader="none" w:pos="735" w:val="left"/>
          <w:tab w:leader="none" w:pos="1365" w:val="left"/>
        </w:tabs>
        <w:spacing w:after="0" w:before="0" w:line="240" w:lineRule="auto"/>
        <w:ind w:firstLine="737" w:left="0" w:right="0"/>
        <w:jc w:val="both"/>
        <w:rPr>
          <w:rFonts w:ascii="Times New Roman" w:hAnsi="Times New Roman"/>
          <w:sz w:val="24"/>
        </w:rPr>
      </w:pPr>
      <w:r>
        <w:rPr>
          <w:b w:val="0"/>
          <w:i w:val="0"/>
          <w:caps w:val="0"/>
          <w:smallCaps w:val="0"/>
          <w:color w:val="000000"/>
          <w:spacing w:val="0"/>
          <w:sz w:val="24"/>
        </w:rPr>
        <w:t xml:space="preserve">– </w:t>
      </w:r>
      <w:r>
        <w:rPr>
          <w:b w:val="0"/>
          <w:i w:val="0"/>
          <w:caps w:val="0"/>
          <w:smallCaps w:val="0"/>
          <w:color w:val="000000"/>
          <w:spacing w:val="0"/>
          <w:sz w:val="24"/>
        </w:rPr>
        <w:t>«Комплексное развитие сельских территорий Камчатского края»;</w:t>
      </w:r>
    </w:p>
    <w:p w14:paraId="5C070000">
      <w:pPr>
        <w:pStyle w:val="Style_2"/>
        <w:widowControl w:val="1"/>
        <w:tabs>
          <w:tab w:leader="none" w:pos="708" w:val="clear"/>
          <w:tab w:leader="none" w:pos="735" w:val="left"/>
          <w:tab w:leader="none" w:pos="1365" w:val="left"/>
        </w:tabs>
        <w:spacing w:after="0" w:before="0" w:line="240" w:lineRule="auto"/>
        <w:ind w:firstLine="737" w:left="0" w:right="0"/>
        <w:jc w:val="both"/>
        <w:rPr>
          <w:rFonts w:ascii="Times New Roman" w:hAnsi="Times New Roman"/>
          <w:sz w:val="24"/>
        </w:rPr>
      </w:pPr>
      <w:r>
        <w:rPr>
          <w:sz w:val="24"/>
        </w:rPr>
        <w:t>–</w:t>
      </w:r>
      <w:r>
        <w:rPr>
          <w:sz w:val="24"/>
        </w:rPr>
        <w:t xml:space="preserve"> </w:t>
      </w:r>
      <w:r>
        <w:rPr>
          <w:sz w:val="24"/>
        </w:rPr>
        <w:t>«Безопасная Камчатка»;</w:t>
      </w:r>
    </w:p>
    <w:p w14:paraId="5D070000">
      <w:pPr>
        <w:pStyle w:val="Style_2"/>
        <w:widowControl w:val="1"/>
        <w:tabs>
          <w:tab w:leader="none" w:pos="708" w:val="clear"/>
          <w:tab w:leader="none" w:pos="735" w:val="left"/>
          <w:tab w:leader="none" w:pos="1365" w:val="left"/>
        </w:tabs>
        <w:spacing w:after="0" w:before="0" w:line="240" w:lineRule="auto"/>
        <w:ind w:firstLine="737" w:left="0" w:right="0"/>
        <w:jc w:val="both"/>
        <w:rPr>
          <w:rFonts w:ascii="Times New Roman" w:hAnsi="Times New Roman"/>
          <w:sz w:val="24"/>
        </w:rPr>
      </w:pPr>
      <w:r>
        <w:rPr>
          <w:sz w:val="24"/>
        </w:rPr>
        <w:t>–</w:t>
      </w:r>
      <w:r>
        <w:rPr>
          <w:sz w:val="24"/>
        </w:rPr>
        <w:t xml:space="preserve"> </w:t>
      </w:r>
      <w:r>
        <w:rPr>
          <w:sz w:val="24"/>
        </w:rPr>
        <w:t>«Обращение с отходами производства и потребления в Камчатском крае»;</w:t>
      </w:r>
    </w:p>
    <w:p w14:paraId="5E070000">
      <w:pPr>
        <w:pStyle w:val="Style_2"/>
        <w:widowControl w:val="1"/>
        <w:tabs>
          <w:tab w:leader="none" w:pos="708" w:val="clear"/>
          <w:tab w:leader="none" w:pos="735" w:val="left"/>
          <w:tab w:leader="none" w:pos="1365" w:val="left"/>
        </w:tabs>
        <w:spacing w:after="0" w:before="0" w:line="240" w:lineRule="auto"/>
        <w:ind w:firstLine="737" w:left="0" w:right="0"/>
        <w:jc w:val="both"/>
        <w:rPr>
          <w:rFonts w:ascii="Times New Roman" w:hAnsi="Times New Roman"/>
          <w:sz w:val="24"/>
        </w:rPr>
      </w:pPr>
      <w:r>
        <w:rPr>
          <w:color w:val="000000"/>
          <w:sz w:val="24"/>
          <w:u w:val="none"/>
        </w:rPr>
        <w:t>4) «Достойный, эффективный труд и успешное предпринимательство»:</w:t>
      </w:r>
    </w:p>
    <w:p w14:paraId="5F070000">
      <w:pPr>
        <w:pStyle w:val="Style_2"/>
        <w:widowControl w:val="1"/>
        <w:tabs>
          <w:tab w:leader="none" w:pos="708" w:val="clear"/>
          <w:tab w:leader="none" w:pos="735" w:val="left"/>
          <w:tab w:leader="none" w:pos="1365" w:val="left"/>
        </w:tabs>
        <w:spacing w:after="0" w:before="0" w:line="240" w:lineRule="auto"/>
        <w:ind w:firstLine="737" w:left="0" w:right="0"/>
        <w:jc w:val="both"/>
        <w:rPr>
          <w:rFonts w:ascii="Times New Roman" w:hAnsi="Times New Roman"/>
          <w:sz w:val="24"/>
        </w:rPr>
      </w:pPr>
      <w:r>
        <w:rPr>
          <w:color w:val="000000"/>
          <w:sz w:val="24"/>
        </w:rPr>
        <w:t>–</w:t>
      </w:r>
      <w:r>
        <w:rPr>
          <w:color w:val="000000"/>
          <w:sz w:val="24"/>
        </w:rPr>
        <w:t xml:space="preserve"> </w:t>
      </w:r>
      <w:r>
        <w:rPr>
          <w:color w:val="000000"/>
          <w:sz w:val="24"/>
        </w:rPr>
        <w:t>«Развитие экономики и внешнеэкономической деятельности Камчатского края»;</w:t>
      </w:r>
    </w:p>
    <w:p w14:paraId="60070000">
      <w:pPr>
        <w:pStyle w:val="Style_2"/>
        <w:widowControl w:val="1"/>
        <w:tabs>
          <w:tab w:leader="none" w:pos="708" w:val="clear"/>
          <w:tab w:leader="none" w:pos="735" w:val="left"/>
          <w:tab w:leader="none" w:pos="1365" w:val="left"/>
        </w:tabs>
        <w:spacing w:after="0" w:before="0" w:line="240" w:lineRule="auto"/>
        <w:ind w:firstLine="737" w:left="0" w:right="0"/>
        <w:jc w:val="both"/>
        <w:rPr>
          <w:rFonts w:ascii="Times New Roman" w:hAnsi="Times New Roman"/>
          <w:sz w:val="24"/>
        </w:rPr>
      </w:pPr>
      <w:r>
        <w:rPr>
          <w:color w:val="000000"/>
          <w:sz w:val="24"/>
        </w:rPr>
        <w:t>–</w:t>
      </w:r>
      <w:r>
        <w:rPr>
          <w:color w:val="000000"/>
          <w:sz w:val="24"/>
        </w:rPr>
        <w:t> </w:t>
      </w:r>
      <w:r>
        <w:rPr>
          <w:color w:val="000000"/>
          <w:sz w:val="24"/>
        </w:rPr>
        <w:t>«Развитие сельского хозяйства и регулирование рынков сельскохозяйственной продукции, сырья и продовольствия Камчатского края»;</w:t>
      </w:r>
    </w:p>
    <w:p w14:paraId="61070000">
      <w:pPr>
        <w:pStyle w:val="Style_2"/>
        <w:widowControl w:val="1"/>
        <w:tabs>
          <w:tab w:leader="none" w:pos="708" w:val="clear"/>
          <w:tab w:leader="none" w:pos="735" w:val="left"/>
          <w:tab w:leader="none" w:pos="1365" w:val="left"/>
        </w:tabs>
        <w:spacing w:after="0" w:before="0" w:line="240" w:lineRule="auto"/>
        <w:ind w:firstLine="737" w:left="0" w:right="0"/>
        <w:jc w:val="both"/>
        <w:rPr>
          <w:rFonts w:ascii="Times New Roman" w:hAnsi="Times New Roman"/>
          <w:sz w:val="24"/>
        </w:rPr>
      </w:pPr>
      <w:r>
        <w:rPr>
          <w:color w:val="000000"/>
          <w:sz w:val="24"/>
        </w:rPr>
        <w:t>–</w:t>
      </w:r>
      <w:r>
        <w:rPr>
          <w:color w:val="000000"/>
          <w:sz w:val="24"/>
        </w:rPr>
        <w:t xml:space="preserve"> </w:t>
      </w:r>
      <w:r>
        <w:rPr>
          <w:color w:val="000000"/>
          <w:sz w:val="24"/>
        </w:rPr>
        <w:t>«Развитие рыбохозяйственного комплекса Камчатского края»;</w:t>
      </w:r>
    </w:p>
    <w:p w14:paraId="62070000">
      <w:pPr>
        <w:pStyle w:val="Style_2"/>
        <w:widowControl w:val="1"/>
        <w:tabs>
          <w:tab w:leader="none" w:pos="708" w:val="clear"/>
          <w:tab w:leader="none" w:pos="735" w:val="left"/>
          <w:tab w:leader="none" w:pos="1365" w:val="left"/>
        </w:tabs>
        <w:spacing w:after="0" w:before="0" w:line="240" w:lineRule="auto"/>
        <w:ind w:firstLine="737" w:left="0" w:right="0"/>
        <w:jc w:val="both"/>
        <w:rPr>
          <w:rFonts w:ascii="Times New Roman" w:hAnsi="Times New Roman"/>
          <w:sz w:val="24"/>
        </w:rPr>
      </w:pPr>
      <w:r>
        <w:rPr>
          <w:color w:val="000000"/>
          <w:sz w:val="24"/>
        </w:rPr>
        <w:t>–</w:t>
      </w:r>
      <w:r>
        <w:rPr>
          <w:color w:val="000000"/>
          <w:sz w:val="24"/>
        </w:rPr>
        <w:t xml:space="preserve"> </w:t>
      </w:r>
      <w:r>
        <w:rPr>
          <w:color w:val="000000"/>
          <w:sz w:val="24"/>
        </w:rPr>
        <w:t>«Развитие лесного хозяйства Камчатского края»;</w:t>
      </w:r>
    </w:p>
    <w:p w14:paraId="63070000">
      <w:pPr>
        <w:pStyle w:val="Style_2"/>
        <w:widowControl w:val="1"/>
        <w:tabs>
          <w:tab w:leader="none" w:pos="708" w:val="clear"/>
          <w:tab w:leader="none" w:pos="735" w:val="left"/>
          <w:tab w:leader="none" w:pos="1365" w:val="left"/>
        </w:tabs>
        <w:spacing w:after="0" w:before="0" w:line="240" w:lineRule="auto"/>
        <w:ind w:firstLine="737" w:left="0" w:right="0"/>
        <w:jc w:val="both"/>
        <w:rPr>
          <w:rFonts w:ascii="Times New Roman" w:hAnsi="Times New Roman"/>
          <w:sz w:val="24"/>
        </w:rPr>
      </w:pPr>
      <w:r>
        <w:rPr>
          <w:color w:val="000000"/>
          <w:sz w:val="24"/>
        </w:rPr>
        <w:t>–</w:t>
      </w:r>
      <w:r>
        <w:rPr>
          <w:color w:val="000000"/>
          <w:sz w:val="24"/>
        </w:rPr>
        <w:t> </w:t>
      </w:r>
      <w:r>
        <w:rPr>
          <w:color w:val="000000"/>
          <w:sz w:val="24"/>
        </w:rPr>
        <w:t>«Совершенствование управления имуществом, находящимся в государственной собственности Камчатского края»;</w:t>
      </w:r>
    </w:p>
    <w:p w14:paraId="64070000">
      <w:pPr>
        <w:pStyle w:val="Style_2"/>
        <w:widowControl w:val="1"/>
        <w:tabs>
          <w:tab w:leader="none" w:pos="708" w:val="clear"/>
          <w:tab w:leader="none" w:pos="735" w:val="left"/>
          <w:tab w:leader="none" w:pos="1365" w:val="left"/>
        </w:tabs>
        <w:spacing w:after="0" w:before="0" w:line="240" w:lineRule="auto"/>
        <w:ind w:firstLine="737" w:left="0" w:right="0"/>
        <w:jc w:val="both"/>
        <w:rPr>
          <w:rFonts w:ascii="Times New Roman" w:hAnsi="Times New Roman"/>
          <w:sz w:val="24"/>
          <w:u w:val="none"/>
        </w:rPr>
      </w:pPr>
      <w:r>
        <w:rPr>
          <w:color w:val="000000"/>
          <w:sz w:val="24"/>
          <w:u w:val="none"/>
        </w:rPr>
        <w:t>5) «Цифровая трансформация»:</w:t>
      </w:r>
    </w:p>
    <w:p w14:paraId="65070000">
      <w:pPr>
        <w:pStyle w:val="Style_2"/>
        <w:widowControl w:val="1"/>
        <w:tabs>
          <w:tab w:leader="none" w:pos="708" w:val="clear"/>
          <w:tab w:leader="none" w:pos="735" w:val="left"/>
          <w:tab w:leader="none" w:pos="1365" w:val="left"/>
        </w:tabs>
        <w:spacing w:after="0" w:before="0" w:line="240" w:lineRule="auto"/>
        <w:ind w:firstLine="737" w:left="0" w:right="0"/>
        <w:jc w:val="both"/>
        <w:rPr>
          <w:rFonts w:ascii="Times New Roman" w:hAnsi="Times New Roman"/>
          <w:sz w:val="24"/>
        </w:rPr>
      </w:pPr>
      <w:r>
        <w:rPr>
          <w:color w:val="000000"/>
          <w:sz w:val="24"/>
        </w:rPr>
        <w:t>–</w:t>
      </w:r>
      <w:r>
        <w:rPr>
          <w:color w:val="000000"/>
          <w:sz w:val="24"/>
        </w:rPr>
        <w:t xml:space="preserve"> </w:t>
      </w:r>
      <w:r>
        <w:rPr>
          <w:color w:val="000000"/>
          <w:sz w:val="24"/>
        </w:rPr>
        <w:t>«Цифровая трансформация в Камчатском крае»;</w:t>
      </w:r>
    </w:p>
    <w:p w14:paraId="66070000">
      <w:pPr>
        <w:pStyle w:val="Style_2"/>
        <w:widowControl w:val="1"/>
        <w:tabs>
          <w:tab w:leader="none" w:pos="708" w:val="clear"/>
          <w:tab w:leader="none" w:pos="735" w:val="left"/>
          <w:tab w:leader="none" w:pos="1365" w:val="left"/>
        </w:tabs>
        <w:spacing w:after="0" w:before="0" w:line="240" w:lineRule="auto"/>
        <w:ind w:firstLine="57" w:left="0" w:right="0"/>
        <w:jc w:val="both"/>
        <w:rPr>
          <w:rFonts w:ascii="Times New Roman" w:hAnsi="Times New Roman"/>
          <w:strike w:val="0"/>
          <w:sz w:val="24"/>
          <w:u w:val="none"/>
        </w:rPr>
      </w:pPr>
      <w:r>
        <w:rPr>
          <w:strike w:val="0"/>
          <w:color w:val="000000"/>
          <w:sz w:val="24"/>
          <w:u w:val="none"/>
        </w:rPr>
        <w:tab/>
      </w:r>
      <w:r>
        <w:rPr>
          <w:strike w:val="0"/>
          <w:color w:val="000000"/>
          <w:sz w:val="24"/>
          <w:u w:val="none"/>
        </w:rPr>
        <w:t>6) «Сбалансированное региональное развитие»:</w:t>
      </w:r>
    </w:p>
    <w:p w14:paraId="67070000">
      <w:pPr>
        <w:pStyle w:val="Style_2"/>
        <w:widowControl w:val="1"/>
        <w:tabs>
          <w:tab w:leader="none" w:pos="708" w:val="clear"/>
          <w:tab w:leader="none" w:pos="735" w:val="left"/>
          <w:tab w:leader="none" w:pos="1365" w:val="left"/>
        </w:tabs>
        <w:spacing w:after="0" w:before="0" w:line="240" w:lineRule="auto"/>
        <w:ind w:firstLine="737" w:left="0" w:right="0"/>
        <w:jc w:val="both"/>
        <w:rPr>
          <w:rFonts w:ascii="Times New Roman" w:hAnsi="Times New Roman"/>
          <w:sz w:val="24"/>
        </w:rPr>
      </w:pPr>
      <w:r>
        <w:rPr>
          <w:sz w:val="24"/>
        </w:rPr>
        <w:t>– </w:t>
      </w:r>
      <w:r>
        <w:rPr>
          <w:sz w:val="24"/>
        </w:rPr>
        <w:t>«Социальное и экономическое развитие территории с особым статусом «Корякский округ»;</w:t>
      </w:r>
    </w:p>
    <w:p w14:paraId="68070000">
      <w:pPr>
        <w:pStyle w:val="Style_2"/>
        <w:widowControl w:val="1"/>
        <w:tabs>
          <w:tab w:leader="none" w:pos="708" w:val="clear"/>
          <w:tab w:leader="none" w:pos="735" w:val="left"/>
          <w:tab w:leader="none" w:pos="1365" w:val="left"/>
        </w:tabs>
        <w:spacing w:after="0" w:before="0" w:line="240" w:lineRule="auto"/>
        <w:ind w:firstLine="737" w:left="0" w:right="0"/>
        <w:jc w:val="both"/>
        <w:rPr>
          <w:rFonts w:ascii="Times New Roman" w:hAnsi="Times New Roman"/>
          <w:sz w:val="24"/>
        </w:rPr>
      </w:pPr>
      <w:r>
        <w:rPr>
          <w:color w:val="000000"/>
          <w:sz w:val="24"/>
        </w:rPr>
        <w:t xml:space="preserve">– </w:t>
      </w:r>
      <w:r>
        <w:rPr>
          <w:color w:val="000000"/>
          <w:sz w:val="24"/>
        </w:rPr>
        <w:t>«Управление государственными финансами Камчатского края».</w:t>
      </w:r>
    </w:p>
    <w:p w14:paraId="69070000">
      <w:pPr>
        <w:pStyle w:val="Style_2"/>
        <w:widowControl w:val="1"/>
        <w:spacing w:after="0" w:before="0" w:line="240" w:lineRule="auto"/>
        <w:ind w:firstLine="0" w:left="0" w:right="0"/>
        <w:jc w:val="both"/>
        <w:rPr>
          <w:rFonts w:ascii="Times New Roman" w:hAnsi="Times New Roman"/>
          <w:sz w:val="24"/>
        </w:rPr>
      </w:pPr>
      <w:r>
        <w:rPr>
          <w:b w:val="0"/>
          <w:i w:val="0"/>
          <w:caps w:val="0"/>
          <w:smallCaps w:val="0"/>
          <w:color w:val="000000"/>
          <w:spacing w:val="0"/>
          <w:sz w:val="24"/>
        </w:rPr>
        <w:tab/>
      </w:r>
      <w:r>
        <w:rPr>
          <w:b w:val="0"/>
          <w:i w:val="0"/>
          <w:caps w:val="0"/>
          <w:smallCaps w:val="0"/>
          <w:color w:val="000000"/>
          <w:spacing w:val="0"/>
          <w:sz w:val="24"/>
        </w:rPr>
        <w:t>Мероприятия государственной программы «Сохранение языков коренных малочисленных народов Севера, Сибири и Дальнего Востока Российской Федерации, проживающих в Камчатском крае» с 1 января 2024 года вошли в состав государственной программы «Реализация государственной национальной политики и укрепление гражданского единства в Камчатском крае».</w:t>
      </w:r>
    </w:p>
    <w:p w14:paraId="6A070000">
      <w:pPr>
        <w:pStyle w:val="Style_2"/>
        <w:tabs>
          <w:tab w:leader="none" w:pos="708" w:val="clear"/>
          <w:tab w:leader="none" w:pos="1418" w:val="left"/>
        </w:tabs>
        <w:spacing w:line="240" w:lineRule="auto"/>
        <w:ind w:firstLine="709" w:left="0" w:right="0"/>
        <w:jc w:val="both"/>
        <w:rPr>
          <w:rFonts w:ascii="Times New Roman" w:hAnsi="Times New Roman"/>
          <w:sz w:val="24"/>
        </w:rPr>
      </w:pPr>
      <w:r>
        <w:rPr>
          <w:sz w:val="24"/>
        </w:rPr>
        <w:t xml:space="preserve">Расходная часть бюджета Камчатского края в 2023 году на 97,2% сформирована на основе государственных программ Камчатского края. Общий объем бюджетных средств, предусмотренных на реализацию мероприятий региональных государственных программ составляет 126,6 млрд рублей. </w:t>
      </w:r>
      <w:r>
        <w:rPr>
          <w:sz w:val="24"/>
        </w:rPr>
        <w:t xml:space="preserve">В прогнозном периоде доля программных расходов сохранится на уровне не ниже 97%. </w:t>
      </w:r>
      <w:r>
        <w:rPr>
          <w:sz w:val="24"/>
        </w:rPr>
        <w:t xml:space="preserve">В среднесрочной перспективе ожидается сохранение высокой доли средств федерального бюджета на реализацию региональных программ (более 20% от общего объема бюджетных ассигнований), что обусловлено, в том числе, реализацией мероприятий </w:t>
      </w:r>
      <w:r>
        <w:rPr>
          <w:color w:val="000000"/>
          <w:sz w:val="24"/>
        </w:rPr>
        <w:t xml:space="preserve">долгосрочного плана комплексного социально-экономического развития Петропавловск-Камчатского городского округа на период до 2030 года, </w:t>
      </w:r>
      <w:r>
        <w:rPr>
          <w:color w:val="000000"/>
          <w:sz w:val="24"/>
        </w:rPr>
        <w:t>утвержденного распоряжением Правительства Российской Федерации от 31.01.2023 № 193-р.</w:t>
      </w:r>
    </w:p>
    <w:p w14:paraId="6B070000">
      <w:pPr>
        <w:pStyle w:val="Style_2"/>
        <w:tabs>
          <w:tab w:leader="none" w:pos="708" w:val="clear"/>
          <w:tab w:leader="none" w:pos="1418" w:val="left"/>
        </w:tabs>
        <w:spacing w:line="240" w:lineRule="auto"/>
        <w:ind w:firstLine="709" w:left="0" w:right="0"/>
        <w:jc w:val="both"/>
        <w:rPr>
          <w:rFonts w:ascii="Times New Roman" w:hAnsi="Times New Roman"/>
          <w:sz w:val="24"/>
        </w:rPr>
      </w:pPr>
      <w:r>
        <w:rPr>
          <w:sz w:val="24"/>
        </w:rPr>
        <w:t>В текущем году 21 региональная государственная программа включает мероприятия, предусматривающие софинансирование за счет средств федерального бюджета в рамках 20 государственных программ Российской Федерации. К</w:t>
      </w:r>
      <w:r>
        <w:rPr>
          <w:sz w:val="24"/>
        </w:rPr>
        <w:t>аждая государственная программа Камчатского края содержит годовые значения целевых индикаторов, характеризующих ход реализации и достижение целей государственных программ Камчатского края. Отдельные показатели региональных государственных программ направлены на достижение национальных целей развития Российской Федерации.</w:t>
      </w:r>
    </w:p>
    <w:p w14:paraId="6C070000">
      <w:pPr>
        <w:pStyle w:val="Style_2"/>
        <w:spacing w:after="160" w:before="0" w:line="240" w:lineRule="auto"/>
        <w:ind w:firstLine="708" w:left="0" w:right="0"/>
        <w:contextualSpacing w:val="1"/>
        <w:jc w:val="both"/>
        <w:rPr>
          <w:rFonts w:ascii="Times New Roman" w:hAnsi="Times New Roman"/>
          <w:sz w:val="24"/>
        </w:rPr>
      </w:pPr>
      <w:r>
        <w:rPr>
          <w:b w:val="0"/>
          <w:i w:val="0"/>
          <w:caps w:val="0"/>
          <w:smallCaps w:val="0"/>
          <w:color w:val="000000"/>
          <w:spacing w:val="0"/>
          <w:sz w:val="24"/>
        </w:rPr>
        <w:t>Камчатским краем заключены нефинансовые соглашения о реализации региональных государственных программ, направленных на достижение результатов и показателей 15 государственных программ Российской Федерации.</w:t>
      </w:r>
    </w:p>
    <w:p w14:paraId="6D070000">
      <w:pPr>
        <w:pStyle w:val="Style_2"/>
        <w:spacing w:after="160" w:before="0" w:line="240" w:lineRule="auto"/>
        <w:ind w:firstLine="708" w:left="0" w:right="0"/>
        <w:contextualSpacing w:val="1"/>
        <w:jc w:val="both"/>
        <w:rPr>
          <w:rFonts w:ascii="Times New Roman" w:hAnsi="Times New Roman"/>
          <w:sz w:val="24"/>
        </w:rPr>
      </w:pPr>
      <w:r>
        <w:rPr>
          <w:b w:val="0"/>
          <w:i w:val="0"/>
          <w:caps w:val="0"/>
          <w:smallCaps w:val="0"/>
          <w:color w:val="000000"/>
          <w:spacing w:val="0"/>
          <w:sz w:val="24"/>
        </w:rPr>
        <w:t xml:space="preserve">С 1 января 2024 года формирование, реализация и мониторинг государственных программ Камчатского края осуществляется по аналогии с системой управления, принятой на федеральном уровне, с учетом подходов и принципов, предусмотренных постановлением Правительства Российской Федерации от 26.05.2021 № 786. </w:t>
      </w:r>
    </w:p>
    <w:p w14:paraId="6E070000">
      <w:pPr>
        <w:pStyle w:val="Style_2"/>
        <w:spacing w:line="240" w:lineRule="auto"/>
        <w:ind w:firstLine="709" w:left="0" w:right="0"/>
        <w:jc w:val="both"/>
        <w:rPr>
          <w:rFonts w:ascii="Times New Roman" w:hAnsi="Times New Roman"/>
          <w:b w:val="1"/>
          <w:color w:val="632523"/>
        </w:rPr>
      </w:pPr>
    </w:p>
    <w:p w14:paraId="6F070000">
      <w:pPr>
        <w:pStyle w:val="Style_2"/>
        <w:spacing w:line="240" w:lineRule="auto"/>
        <w:ind/>
        <w:jc w:val="both"/>
        <w:rPr>
          <w:rFonts w:ascii="Times New Roman" w:hAnsi="Times New Roman"/>
          <w:color w:val="000000"/>
          <w:sz w:val="24"/>
        </w:rPr>
      </w:pPr>
      <w:r>
        <w:rPr>
          <w:b w:val="1"/>
          <w:color w:val="000000"/>
          <w:sz w:val="24"/>
        </w:rPr>
        <w:t>VI. Перечень основных проблемных вопросов развития региона, сдерживающих его социально-экономическое развитие</w:t>
      </w:r>
    </w:p>
    <w:p w14:paraId="70070000">
      <w:pPr>
        <w:pStyle w:val="Style_2"/>
        <w:spacing w:line="240" w:lineRule="auto"/>
        <w:ind w:firstLine="708" w:left="0" w:right="0"/>
        <w:jc w:val="both"/>
        <w:rPr>
          <w:rFonts w:ascii="Times New Roman" w:hAnsi="Times New Roman"/>
          <w:color w:val="000000"/>
          <w:sz w:val="24"/>
        </w:rPr>
      </w:pPr>
      <w:r>
        <w:rPr>
          <w:color w:val="000000"/>
          <w:sz w:val="24"/>
        </w:rPr>
        <w:t xml:space="preserve">В прогнозном периоде наиболее актуальными специфическими проблемами, сдерживающими реализацию экономического потенциала Камчатского края, являются: оторванность от материка, определенная обособленность региона и невозможность реализации межрегиональных проектов, неразвитость транспортной инфраструктуры (в том числе отсутствие железнодорожного сообщения), наличие изолированно работающих энергосистем, затратность и неэффективность структуры энергоисточников, высокая сейсмичность и необходимость сейсмобезопасного строительства.  </w:t>
      </w:r>
    </w:p>
    <w:p w14:paraId="71070000">
      <w:pPr>
        <w:pStyle w:val="Style_2"/>
        <w:spacing w:line="240" w:lineRule="auto"/>
        <w:ind w:firstLine="708" w:left="0" w:right="0"/>
        <w:jc w:val="both"/>
        <w:rPr>
          <w:rFonts w:ascii="Times New Roman" w:hAnsi="Times New Roman"/>
          <w:color w:val="000000"/>
          <w:sz w:val="24"/>
        </w:rPr>
      </w:pPr>
      <w:r>
        <w:rPr>
          <w:color w:val="000000"/>
          <w:sz w:val="24"/>
        </w:rPr>
        <w:t xml:space="preserve">Главным сдерживающим фактором развития экономики края является отсутствие современной инфраструктуры. При этом неразвитая энергетическая и транспортная инфраструктура продолжает оставаться основным ограничителем осуществления любых видов деятельности в Камчатском крае, причиной низкой конкурентоспособности произведенных продукции, товаров и услуг. </w:t>
      </w:r>
    </w:p>
    <w:p w14:paraId="72070000">
      <w:pPr>
        <w:pStyle w:val="Style_2"/>
        <w:spacing w:after="0" w:before="0" w:line="240" w:lineRule="auto"/>
        <w:ind w:firstLine="709" w:left="0" w:right="0"/>
        <w:jc w:val="both"/>
        <w:rPr>
          <w:rFonts w:ascii="Times New Roman" w:hAnsi="Times New Roman"/>
          <w:color w:val="000000"/>
          <w:sz w:val="24"/>
        </w:rPr>
      </w:pPr>
      <w:r>
        <w:rPr>
          <w:color w:val="000000"/>
          <w:sz w:val="24"/>
        </w:rPr>
        <w:t>Из-за высокого уровня дотационности бюджета Камчатского края, основными проблемными вопросами, сдерживающими социально-экономическое развитие Камчатского края, являются:</w:t>
      </w:r>
    </w:p>
    <w:p w14:paraId="73070000">
      <w:pPr>
        <w:pStyle w:val="Style_2"/>
        <w:spacing w:after="0" w:before="0" w:line="240" w:lineRule="auto"/>
        <w:ind w:firstLine="709" w:left="0" w:right="0"/>
        <w:jc w:val="both"/>
        <w:rPr>
          <w:rFonts w:ascii="Times New Roman" w:hAnsi="Times New Roman"/>
          <w:color w:val="000000"/>
          <w:sz w:val="24"/>
        </w:rPr>
      </w:pPr>
      <w:r>
        <w:rPr>
          <w:b w:val="1"/>
          <w:i w:val="1"/>
          <w:color w:val="000000"/>
          <w:sz w:val="24"/>
        </w:rPr>
        <w:t>1) Строительство сейсмостойких жилых домов и объектов социальной сферы.</w:t>
      </w:r>
    </w:p>
    <w:p w14:paraId="74070000">
      <w:pPr>
        <w:pStyle w:val="Style_2"/>
        <w:spacing w:after="0" w:before="0" w:line="240" w:lineRule="auto"/>
        <w:ind w:firstLine="709" w:left="0" w:right="0"/>
        <w:jc w:val="both"/>
        <w:rPr>
          <w:rFonts w:ascii="Times New Roman" w:hAnsi="Times New Roman"/>
          <w:color w:val="000000"/>
          <w:sz w:val="24"/>
        </w:rPr>
      </w:pPr>
      <w:r>
        <w:rPr>
          <w:color w:val="000000"/>
          <w:sz w:val="24"/>
        </w:rPr>
        <w:t xml:space="preserve">В Камчатском крае с 2009 по 2017 годы реализована федеральная целевая программа «Повышение устойчивости жилых домов, основных объектов и систем жизнеобеспечения в сейсмических районах Российской Федерации на 2009–2018 годы», утвержденная постановлением Правительства Российской Федерации от 23.04.2009 № 365. </w:t>
      </w:r>
    </w:p>
    <w:p w14:paraId="75070000">
      <w:pPr>
        <w:pStyle w:val="Style_2"/>
        <w:spacing w:after="0" w:before="0" w:line="240" w:lineRule="auto"/>
        <w:ind w:firstLine="709" w:left="0" w:right="0"/>
        <w:jc w:val="both"/>
      </w:pPr>
      <w:r>
        <w:rPr>
          <w:color w:val="000000"/>
          <w:sz w:val="24"/>
        </w:rPr>
        <w:t xml:space="preserve">С 2018 года мероприятия по строительству сейсмостойких жилых домов в Камчатском крае ведутся в рамках основного мероприятия «Повышение устойчивости жилых домов, основных объектов и систем жизнеобеспечения в сейсмических районах Российской Федерации» государственной </w:t>
      </w:r>
      <w:r>
        <w:rPr>
          <w:color w:val="000000"/>
          <w:sz w:val="24"/>
        </w:rPr>
        <w:fldChar w:fldCharType="begin"/>
      </w:r>
      <w:r>
        <w:rPr>
          <w:color w:val="000000"/>
          <w:sz w:val="24"/>
        </w:rPr>
        <w:instrText>HYPERLINK "consultantplus://offline/ref=8F9C6DDF85FCE8E233F4A0DBFCE7B7037E51D1DFE83CE0724E81687BE83A604417DB69w4yFE"</w:instrText>
      </w:r>
      <w:r>
        <w:rPr>
          <w:color w:val="000000"/>
          <w:sz w:val="24"/>
        </w:rPr>
        <w:fldChar w:fldCharType="separate"/>
      </w:r>
      <w:r>
        <w:rPr>
          <w:color w:val="000000"/>
          <w:sz w:val="24"/>
        </w:rPr>
        <w:t>программы</w:t>
      </w:r>
      <w:r>
        <w:rPr>
          <w:color w:val="000000"/>
          <w:sz w:val="24"/>
        </w:rPr>
        <w:fldChar w:fldCharType="end"/>
      </w:r>
      <w:r>
        <w:rPr>
          <w:color w:val="000000"/>
          <w:sz w:val="24"/>
        </w:rPr>
        <w:t xml:space="preserve"> Российской Федерации «Обеспечение доступным и комфортным жильем и коммунальными услугами граждан Российской Федерации», утвержденной постановлением Правительства Российской Федерации от 30.12.2017 № 1710.</w:t>
      </w:r>
    </w:p>
    <w:p w14:paraId="76070000">
      <w:pPr>
        <w:pStyle w:val="Style_2"/>
        <w:spacing w:after="0" w:before="0" w:line="240" w:lineRule="auto"/>
        <w:ind w:firstLine="709" w:left="0" w:right="0"/>
        <w:jc w:val="both"/>
        <w:rPr>
          <w:rFonts w:ascii="Times New Roman" w:hAnsi="Times New Roman"/>
          <w:color w:val="000000"/>
          <w:sz w:val="24"/>
        </w:rPr>
      </w:pPr>
      <w:r>
        <w:rPr>
          <w:color w:val="000000"/>
          <w:sz w:val="24"/>
        </w:rPr>
        <w:t>В результате мероприятий, проведенных в Камчатском крае в 2009 года, выполнены работы по сейсмоусилению 45 жилых домов общей площадью 126,1 тыс. кв. м, построено 43 жилых дома общей площадью 121,9 тыс. кв. м на 2 227 квартир, а также проведены работы по сейсмоусилению 13-ти объектов социальной сферы.</w:t>
      </w:r>
    </w:p>
    <w:p w14:paraId="77070000">
      <w:pPr>
        <w:pStyle w:val="Style_2"/>
        <w:spacing w:after="0" w:before="0" w:line="240" w:lineRule="auto"/>
        <w:ind w:firstLine="709" w:left="0" w:right="0"/>
        <w:jc w:val="both"/>
        <w:rPr>
          <w:rFonts w:ascii="Times New Roman" w:hAnsi="Times New Roman"/>
          <w:color w:val="000000"/>
          <w:sz w:val="24"/>
        </w:rPr>
      </w:pPr>
      <w:r>
        <w:rPr>
          <w:color w:val="000000"/>
          <w:sz w:val="24"/>
        </w:rPr>
        <w:t xml:space="preserve">Вместе с тем, несмотря на проделанную работу, на территории Камчатского края остается около 1 576 объектов, имеющих дефицит сейсмостойкости, в том числе 1 150 объектов жилищного назначения общей площадью 1,8 млн кв. м, что составляет 25% от общей площади жилищного фонда в Камчатском крае. </w:t>
      </w:r>
    </w:p>
    <w:p w14:paraId="78070000">
      <w:pPr>
        <w:pStyle w:val="Style_2"/>
        <w:spacing w:after="0" w:before="0" w:line="240" w:lineRule="auto"/>
        <w:ind w:firstLine="709" w:left="0" w:right="0"/>
        <w:jc w:val="both"/>
      </w:pPr>
      <w:r>
        <w:rPr>
          <w:color w:val="000000"/>
          <w:sz w:val="24"/>
        </w:rPr>
        <w:t xml:space="preserve">Постановлением Правительства Российской Федерации от 30.12.2017 № 1710 «Об утверждении государственной программы Российской Федерации «Обеспечение доступным и комфортным жильем и коммунальными услугами граждан Российской Федерации» утверждены правила предоставления и распределения субсидий из федерального бюджета бюджетам субъектов Российской Федерации на софинансирование расходных обязательств субъектов Российской Федерации по сейсмоусилению объектов, согласно которым распределение субсидий носит заявительный характер на конкурсной основе. </w:t>
      </w:r>
      <w:r>
        <w:rPr>
          <w:color w:val="000000"/>
          <w:sz w:val="24"/>
        </w:rPr>
        <w:fldChar w:fldCharType="begin"/>
      </w:r>
      <w:r>
        <w:rPr>
          <w:color w:val="000000"/>
          <w:sz w:val="24"/>
        </w:rPr>
        <w:instrText>HYPERLINK "garantf1://71114124.1000"</w:instrText>
      </w:r>
      <w:r>
        <w:rPr>
          <w:color w:val="000000"/>
          <w:sz w:val="24"/>
        </w:rPr>
        <w:fldChar w:fldCharType="separate"/>
      </w:r>
      <w:r>
        <w:rPr>
          <w:color w:val="000000"/>
          <w:sz w:val="24"/>
        </w:rPr>
        <w:t>Распределение</w:t>
      </w:r>
      <w:r>
        <w:rPr>
          <w:color w:val="000000"/>
          <w:sz w:val="24"/>
        </w:rPr>
        <w:fldChar w:fldCharType="end"/>
      </w:r>
      <w:r>
        <w:rPr>
          <w:color w:val="000000"/>
          <w:sz w:val="24"/>
        </w:rPr>
        <w:t xml:space="preserve"> субсидий между бюджетами субъектов Российской Федерации утверждается актом Правительства Российской Федерации. </w:t>
      </w:r>
    </w:p>
    <w:p w14:paraId="79070000">
      <w:pPr>
        <w:pStyle w:val="Style_2"/>
        <w:spacing w:after="0" w:before="0" w:line="240" w:lineRule="auto"/>
        <w:ind w:firstLine="709" w:left="0" w:right="0"/>
        <w:jc w:val="both"/>
        <w:rPr>
          <w:rFonts w:ascii="Times New Roman" w:hAnsi="Times New Roman"/>
          <w:color w:val="000000"/>
          <w:sz w:val="24"/>
        </w:rPr>
      </w:pPr>
      <w:r>
        <w:rPr>
          <w:color w:val="000000"/>
          <w:sz w:val="24"/>
        </w:rPr>
        <w:t xml:space="preserve">В 2024 году Камчатскому краю по соглашению между Министерством строительства и жилищно-коммунального хозяйства Российской Федерации и Правительством Камчатского края от 27.12.2021 № 069-09-2022-588 из федерального бюджета предусмотрена субсидия в размере 150 000,0 тыс. рублей на строительство новых сейсмостойких домов взамен тех, сейсмоусиление или реконструкция которых экономически нецелесообразно. Продолжается строительство объекта «Комплекс многоквартирных домов в жилом районе Приморский города Вилючинска Камчатского края». </w:t>
      </w:r>
    </w:p>
    <w:p w14:paraId="7A070000">
      <w:pPr>
        <w:pStyle w:val="Style_2"/>
        <w:spacing w:after="0" w:before="0" w:line="240" w:lineRule="auto"/>
        <w:ind w:firstLine="709" w:left="0" w:right="0"/>
        <w:jc w:val="both"/>
        <w:rPr>
          <w:rFonts w:ascii="Times New Roman" w:hAnsi="Times New Roman"/>
          <w:color w:val="000000"/>
          <w:sz w:val="24"/>
        </w:rPr>
      </w:pPr>
      <w:r>
        <w:rPr>
          <w:color w:val="000000"/>
          <w:sz w:val="24"/>
        </w:rPr>
        <w:t>По состоянию на 01.05.2024 освоено 0,0 тыс. рублей.</w:t>
      </w:r>
    </w:p>
    <w:p w14:paraId="7B070000">
      <w:pPr>
        <w:pStyle w:val="Style_2"/>
        <w:spacing w:after="0" w:before="0" w:line="240" w:lineRule="auto"/>
        <w:ind w:firstLine="709" w:left="0" w:right="0"/>
        <w:jc w:val="both"/>
        <w:rPr>
          <w:rFonts w:ascii="Times New Roman" w:hAnsi="Times New Roman"/>
          <w:color w:val="000000"/>
          <w:sz w:val="24"/>
        </w:rPr>
      </w:pPr>
      <w:r>
        <w:rPr>
          <w:i w:val="1"/>
          <w:color w:val="000000"/>
          <w:sz w:val="24"/>
          <w:u w:val="single"/>
        </w:rPr>
        <w:t>Предложения для решения указанной проблемы:</w:t>
      </w:r>
    </w:p>
    <w:p w14:paraId="7C070000">
      <w:pPr>
        <w:pStyle w:val="Style_2"/>
        <w:spacing w:after="0" w:before="0" w:line="240" w:lineRule="auto"/>
        <w:ind w:firstLine="709" w:left="0" w:right="0"/>
        <w:jc w:val="both"/>
        <w:rPr>
          <w:rFonts w:ascii="Times New Roman" w:hAnsi="Times New Roman"/>
          <w:color w:val="000000"/>
          <w:sz w:val="24"/>
        </w:rPr>
      </w:pPr>
      <w:r>
        <w:rPr>
          <w:color w:val="000000"/>
          <w:sz w:val="24"/>
        </w:rPr>
        <w:t>Учитывая предельный уровень дефицита бюджета Камчатского края, а также высокодотационность региона, отсутствие дополнительных доходных источников, а также необходимость планомерной ликвидации сейсмического дефицита жилых домов, необходимо предусмотреть выполнение работ по сейсмоусилению и строительству новых сейсмостойких социальных объектов и жилых домов за счет средств федерального бюджета в размере не менее 1,8 млрд рублей.</w:t>
      </w:r>
    </w:p>
    <w:p w14:paraId="7D070000">
      <w:pPr>
        <w:pStyle w:val="Style_2"/>
        <w:spacing w:after="0" w:before="0" w:line="240" w:lineRule="auto"/>
        <w:ind w:firstLine="709" w:left="0" w:right="0"/>
        <w:jc w:val="both"/>
        <w:rPr>
          <w:rFonts w:ascii="Times New Roman" w:hAnsi="Times New Roman"/>
          <w:color w:val="000000"/>
          <w:sz w:val="24"/>
        </w:rPr>
      </w:pPr>
      <w:r>
        <w:rPr>
          <w:b w:val="1"/>
          <w:i w:val="1"/>
          <w:color w:val="000000"/>
          <w:sz w:val="24"/>
        </w:rPr>
        <w:t>2) Проблемные вопросы газификации Камчатского края.</w:t>
      </w:r>
    </w:p>
    <w:p w14:paraId="7E070000">
      <w:pPr>
        <w:pStyle w:val="Style_2"/>
        <w:spacing w:after="0" w:before="0" w:line="240" w:lineRule="auto"/>
        <w:ind w:firstLine="709" w:left="0" w:right="0"/>
        <w:jc w:val="both"/>
        <w:rPr>
          <w:rFonts w:ascii="Times New Roman" w:hAnsi="Times New Roman"/>
          <w:color w:val="000000"/>
          <w:sz w:val="24"/>
        </w:rPr>
      </w:pPr>
      <w:r>
        <w:rPr>
          <w:color w:val="000000"/>
          <w:sz w:val="24"/>
        </w:rPr>
        <w:t>В результате эксплуатации газоконденсатных месторождений Камчатского края выявлены ограничения, не позволяющие осуществлять проектную добычу газа в объеме 750,0 млн м</w:t>
      </w:r>
      <w:r>
        <w:rPr>
          <w:color w:val="000000"/>
          <w:sz w:val="24"/>
          <w:vertAlign w:val="superscript"/>
        </w:rPr>
        <w:t>3</w:t>
      </w:r>
      <w:r>
        <w:rPr>
          <w:color w:val="000000"/>
          <w:sz w:val="24"/>
        </w:rPr>
        <w:t xml:space="preserve"> в год. В 2023 году объем поставки товарного газа потребителям Камчатского края составил 200,4 млн м</w:t>
      </w:r>
      <w:r>
        <w:rPr>
          <w:color w:val="000000"/>
          <w:sz w:val="24"/>
          <w:vertAlign w:val="superscript"/>
        </w:rPr>
        <w:t>3</w:t>
      </w:r>
      <w:r>
        <w:rPr>
          <w:color w:val="000000"/>
          <w:sz w:val="24"/>
        </w:rPr>
        <w:t>. На перспективу прогнозируется снижение поставок до 74,2 млн м</w:t>
      </w:r>
      <w:r>
        <w:rPr>
          <w:color w:val="000000"/>
          <w:sz w:val="24"/>
          <w:vertAlign w:val="superscript"/>
        </w:rPr>
        <w:t>3</w:t>
      </w:r>
      <w:r>
        <w:rPr>
          <w:color w:val="000000"/>
          <w:sz w:val="24"/>
        </w:rPr>
        <w:t xml:space="preserve"> в год к 2035 году.</w:t>
      </w:r>
    </w:p>
    <w:p w14:paraId="7F070000">
      <w:pPr>
        <w:pStyle w:val="Style_2"/>
        <w:spacing w:after="0" w:before="0" w:line="240" w:lineRule="auto"/>
        <w:ind w:firstLine="709" w:left="0" w:right="0"/>
        <w:jc w:val="both"/>
        <w:rPr>
          <w:rFonts w:ascii="Times New Roman" w:hAnsi="Times New Roman"/>
          <w:color w:val="000000"/>
          <w:sz w:val="24"/>
        </w:rPr>
      </w:pPr>
      <w:r>
        <w:rPr>
          <w:color w:val="000000"/>
          <w:sz w:val="24"/>
        </w:rPr>
        <w:t>Данные ограничения привели к невозможности реализации в полном объеме Программы газификации Камчатского края (утв. распоряжением Правительства Камчатского края от 24.06.2011 № 289-РП). Оказались не обеспечены поставками природного газа спроектированные коммунальные объекты ряда населенных пунктов Камчатского края, а также объекты Министерства обороны Российской Федерации Вилючинского городского округа.</w:t>
      </w:r>
    </w:p>
    <w:p w14:paraId="80070000">
      <w:pPr>
        <w:pStyle w:val="Style_2"/>
        <w:spacing w:after="0" w:before="0" w:line="240" w:lineRule="auto"/>
        <w:ind w:firstLine="709" w:left="0" w:right="0"/>
        <w:jc w:val="both"/>
        <w:rPr>
          <w:rFonts w:ascii="Times New Roman" w:hAnsi="Times New Roman"/>
          <w:color w:val="000000"/>
          <w:sz w:val="24"/>
        </w:rPr>
      </w:pPr>
      <w:r>
        <w:rPr>
          <w:color w:val="000000"/>
          <w:sz w:val="24"/>
        </w:rPr>
        <w:t>В отопительный период 2021–2022 и 2022–2023 годов, в связи с дефицитом природного газа, ПАО «Камчатскэнерго» было вынуждено замещать недостающий объем газа привозным дорогостоящим мазутом, что повлекло рост необходимой валовой выручки и, соответственно, рост экономически-обоснованных тарифов на электрическую и тепловую энергию.</w:t>
      </w:r>
    </w:p>
    <w:p w14:paraId="81070000">
      <w:pPr>
        <w:pStyle w:val="Style_2"/>
        <w:spacing w:after="0" w:before="0" w:line="240" w:lineRule="auto"/>
        <w:ind w:firstLine="709" w:left="0" w:right="0"/>
        <w:jc w:val="both"/>
        <w:rPr>
          <w:rFonts w:ascii="Times New Roman" w:hAnsi="Times New Roman"/>
          <w:color w:val="000000"/>
          <w:sz w:val="24"/>
        </w:rPr>
      </w:pPr>
      <w:r>
        <w:rPr>
          <w:i w:val="1"/>
          <w:color w:val="000000"/>
          <w:sz w:val="24"/>
          <w:u w:val="single"/>
        </w:rPr>
        <w:t>Предложения для решения указанной проблемы:</w:t>
      </w:r>
    </w:p>
    <w:p w14:paraId="82070000">
      <w:pPr>
        <w:pStyle w:val="Style_2"/>
        <w:spacing w:after="0" w:before="0" w:line="240" w:lineRule="auto"/>
        <w:ind w:firstLine="709" w:left="0" w:right="0"/>
        <w:jc w:val="both"/>
        <w:rPr>
          <w:rFonts w:ascii="Times New Roman" w:hAnsi="Times New Roman"/>
          <w:color w:val="000000"/>
          <w:sz w:val="24"/>
        </w:rPr>
      </w:pPr>
      <w:r>
        <w:rPr>
          <w:color w:val="000000"/>
          <w:sz w:val="24"/>
        </w:rPr>
        <w:t>В соответствии с пунктом 10 перечня поручений по реализации Послания Президента Российской Федерации Федеральному Собранию Российской Федерации от 21.04.2021 № Пр-753 об обеспечении создания локальной газопринимающей инфраструктуры в целях надежного и долгосрочного снабжения газом жителей и организаций Камчатского края на территории региона начата реализация проекта по созданию газопринимающей инфраструктуры в б. Раковая Авачинской губы. Это позволит обеспечить поставки СПГ для обеспечения энергетической потребности Камчатского края в объеме до 446 тыс. тонн в год (620 млн м</w:t>
      </w:r>
      <w:r>
        <w:rPr>
          <w:color w:val="000000"/>
          <w:sz w:val="24"/>
          <w:vertAlign w:val="superscript"/>
        </w:rPr>
        <w:t>3</w:t>
      </w:r>
      <w:r>
        <w:rPr>
          <w:color w:val="000000"/>
          <w:sz w:val="24"/>
        </w:rPr>
        <w:t xml:space="preserve"> природного газа) ежегодно, на замещение недостающих объемов Камчатских месторождений в рамках Программы газификации Камчатского края.</w:t>
      </w:r>
    </w:p>
    <w:p w14:paraId="83070000">
      <w:pPr>
        <w:pStyle w:val="Style_2"/>
        <w:spacing w:after="0" w:before="0" w:line="240" w:lineRule="auto"/>
        <w:ind w:firstLine="709" w:left="0" w:right="0"/>
        <w:jc w:val="both"/>
        <w:rPr>
          <w:rFonts w:ascii="Times New Roman" w:hAnsi="Times New Roman"/>
          <w:color w:val="000000"/>
          <w:sz w:val="24"/>
        </w:rPr>
      </w:pPr>
      <w:r>
        <w:rPr>
          <w:b w:val="0"/>
          <w:i w:val="0"/>
          <w:caps w:val="0"/>
          <w:smallCaps w:val="0"/>
          <w:color w:val="000000"/>
          <w:spacing w:val="0"/>
          <w:sz w:val="24"/>
        </w:rPr>
        <w:t>В соответствии с Планом-графиком («дорожной картой») газификации Камчатского края на период до 2025 года, утвержденным распоряжением Правительства РФ от 09.08.2023 № 2148-р, определены сроки реализации проекта и ответственные лица.</w:t>
      </w:r>
    </w:p>
    <w:p w14:paraId="84070000">
      <w:pPr>
        <w:pStyle w:val="Style_2"/>
        <w:spacing w:after="0" w:before="0" w:line="240" w:lineRule="auto"/>
        <w:ind w:firstLine="709" w:left="0" w:right="0"/>
        <w:jc w:val="both"/>
        <w:rPr>
          <w:rFonts w:ascii="Times New Roman" w:hAnsi="Times New Roman"/>
          <w:color w:val="000000"/>
          <w:sz w:val="24"/>
        </w:rPr>
      </w:pPr>
      <w:r>
        <w:rPr>
          <w:color w:val="000000"/>
          <w:sz w:val="24"/>
        </w:rPr>
        <w:t>Реализация проекта позволит:</w:t>
      </w:r>
    </w:p>
    <w:p w14:paraId="85070000">
      <w:pPr>
        <w:pStyle w:val="Style_2"/>
        <w:spacing w:after="0" w:before="0" w:line="240" w:lineRule="auto"/>
        <w:ind w:firstLine="709" w:left="0" w:right="0"/>
        <w:jc w:val="both"/>
        <w:rPr>
          <w:rFonts w:ascii="Times New Roman" w:hAnsi="Times New Roman"/>
          <w:color w:val="000000"/>
          <w:sz w:val="24"/>
        </w:rPr>
      </w:pPr>
      <w:r>
        <w:rPr>
          <w:color w:val="000000"/>
          <w:sz w:val="24"/>
        </w:rPr>
        <w:t>– </w:t>
      </w:r>
      <w:r>
        <w:rPr>
          <w:color w:val="000000"/>
          <w:sz w:val="24"/>
        </w:rPr>
        <w:t>завершить мероприятия Программы газификации Камчатского края в полном объеме;</w:t>
      </w:r>
    </w:p>
    <w:p w14:paraId="86070000">
      <w:pPr>
        <w:pStyle w:val="Style_2"/>
        <w:spacing w:after="0" w:before="0" w:line="240" w:lineRule="auto"/>
        <w:ind w:firstLine="709" w:left="0" w:right="0"/>
        <w:jc w:val="both"/>
        <w:rPr>
          <w:rFonts w:ascii="Times New Roman" w:hAnsi="Times New Roman"/>
          <w:color w:val="000000"/>
          <w:sz w:val="24"/>
        </w:rPr>
      </w:pPr>
      <w:r>
        <w:rPr>
          <w:color w:val="000000"/>
          <w:sz w:val="24"/>
        </w:rPr>
        <w:t>– </w:t>
      </w:r>
      <w:r>
        <w:rPr>
          <w:color w:val="000000"/>
          <w:sz w:val="24"/>
        </w:rPr>
        <w:t>осуществить развитие рынка газомоторного топлива и газозаправочной сети (текущее количество АГНКС – 1 шт, прогнозное – не менее 3-х АГНКС);</w:t>
      </w:r>
    </w:p>
    <w:p w14:paraId="87070000">
      <w:pPr>
        <w:pStyle w:val="Style_2"/>
        <w:spacing w:after="0" w:before="0" w:line="240" w:lineRule="auto"/>
        <w:ind w:firstLine="709" w:left="0" w:right="0"/>
        <w:jc w:val="both"/>
        <w:rPr>
          <w:rFonts w:ascii="Times New Roman" w:hAnsi="Times New Roman"/>
          <w:color w:val="000000"/>
          <w:sz w:val="24"/>
        </w:rPr>
      </w:pPr>
      <w:r>
        <w:rPr>
          <w:color w:val="000000"/>
          <w:spacing w:val="0"/>
          <w:sz w:val="24"/>
        </w:rPr>
        <w:t>– </w:t>
      </w:r>
      <w:r>
        <w:rPr>
          <w:color w:val="000000"/>
          <w:spacing w:val="0"/>
          <w:sz w:val="24"/>
        </w:rPr>
        <w:t>газифицировать потенциальные площадки резидентов ТОР «Камчатка»;</w:t>
      </w:r>
    </w:p>
    <w:p w14:paraId="88070000">
      <w:pPr>
        <w:pStyle w:val="Style_2"/>
        <w:spacing w:after="0" w:before="0" w:line="240" w:lineRule="auto"/>
        <w:ind w:firstLine="709" w:left="0" w:right="0"/>
        <w:jc w:val="both"/>
        <w:rPr>
          <w:rFonts w:ascii="Times New Roman" w:hAnsi="Times New Roman"/>
          <w:color w:val="000000"/>
          <w:sz w:val="24"/>
        </w:rPr>
      </w:pPr>
      <w:r>
        <w:rPr>
          <w:color w:val="000000"/>
          <w:spacing w:val="0"/>
          <w:sz w:val="24"/>
        </w:rPr>
        <w:t>– </w:t>
      </w:r>
      <w:r>
        <w:rPr>
          <w:color w:val="000000"/>
          <w:spacing w:val="0"/>
          <w:sz w:val="24"/>
        </w:rPr>
        <w:t>заместить 438,8 тыс. тонн мазута и 10,3 тыс. тонн угля за счет снятия ограничений в поставках газа для Камчатских ТЭЦ и перевода на сжигание газа более 30 котельных в Петропавловск-Камчатском городском округе, Вилючинском городском округе и Елизовском муниципальном районе;</w:t>
      </w:r>
    </w:p>
    <w:p w14:paraId="89070000">
      <w:pPr>
        <w:pStyle w:val="Style_2"/>
        <w:spacing w:after="0" w:before="0" w:line="240" w:lineRule="auto"/>
        <w:ind w:firstLine="709" w:left="0" w:right="0"/>
        <w:jc w:val="both"/>
        <w:rPr>
          <w:rFonts w:ascii="Times New Roman" w:hAnsi="Times New Roman"/>
          <w:color w:val="000000"/>
          <w:sz w:val="24"/>
        </w:rPr>
      </w:pPr>
      <w:r>
        <w:rPr>
          <w:color w:val="000000"/>
          <w:sz w:val="24"/>
        </w:rPr>
        <w:t>– </w:t>
      </w:r>
      <w:r>
        <w:rPr>
          <w:color w:val="000000"/>
          <w:sz w:val="24"/>
        </w:rPr>
        <w:t>снизить затраты краевого бюджета на компенсацию выпадающих доходов ресурсоснабжающих организаций в размере порядка 5,5 млрд рублей ежегодно;</w:t>
      </w:r>
    </w:p>
    <w:p w14:paraId="8A070000">
      <w:pPr>
        <w:pStyle w:val="Style_2"/>
        <w:spacing w:after="0" w:before="0" w:line="240" w:lineRule="auto"/>
        <w:ind w:firstLine="709" w:left="0" w:right="0"/>
        <w:jc w:val="both"/>
        <w:rPr>
          <w:rFonts w:ascii="Times New Roman" w:hAnsi="Times New Roman"/>
          <w:color w:val="000000"/>
          <w:sz w:val="24"/>
        </w:rPr>
      </w:pPr>
      <w:r>
        <w:rPr>
          <w:color w:val="000000"/>
          <w:sz w:val="24"/>
        </w:rPr>
        <w:t>– </w:t>
      </w:r>
      <w:r>
        <w:rPr>
          <w:color w:val="000000"/>
          <w:sz w:val="24"/>
        </w:rPr>
        <w:t xml:space="preserve">снизить в 1,5–2 раза годовые выбросы в атмосферу оксидов азота (NO) и диоксидов углерода (CO). </w:t>
      </w:r>
    </w:p>
    <w:p w14:paraId="8B070000">
      <w:pPr>
        <w:pStyle w:val="Style_2"/>
        <w:spacing w:after="0" w:before="0" w:line="240" w:lineRule="auto"/>
        <w:ind w:firstLine="709" w:left="0" w:right="0"/>
        <w:jc w:val="both"/>
        <w:rPr>
          <w:rFonts w:ascii="Times New Roman" w:hAnsi="Times New Roman"/>
          <w:color w:val="000000"/>
          <w:sz w:val="24"/>
        </w:rPr>
      </w:pPr>
      <w:r>
        <w:rPr>
          <w:b w:val="1"/>
          <w:i w:val="1"/>
          <w:color w:val="000000"/>
          <w:sz w:val="24"/>
        </w:rPr>
        <w:t>3)  Недостаток средств для завершения строительства и реконструкции автомобильных дорог.</w:t>
      </w:r>
    </w:p>
    <w:p w14:paraId="8C070000">
      <w:pPr>
        <w:pStyle w:val="Style_2"/>
        <w:spacing w:after="0" w:before="0" w:line="240" w:lineRule="auto"/>
        <w:ind w:firstLine="709" w:left="0" w:right="0"/>
        <w:jc w:val="both"/>
        <w:rPr>
          <w:rFonts w:ascii="Times New Roman" w:hAnsi="Times New Roman"/>
          <w:color w:val="000000"/>
          <w:sz w:val="24"/>
        </w:rPr>
      </w:pPr>
      <w:r>
        <w:rPr>
          <w:color w:val="000000"/>
          <w:sz w:val="24"/>
        </w:rPr>
        <w:t>В 2022 году начато строительство подъезда к проектируемому аэровокзалу в г. Елизово от автомобильной дороги А-401 «Подъездная дорога от морского порта Петропавловск-Камчатский к аэропорту Петропавловск-Камчатский (Елизово) на участке 34». На данное мероприятие согласно заключенному с Федеральным Дорожным Агентством соглашению от 26.12.2022 № 108-17-2023-153 «О</w:t>
      </w:r>
      <w:r>
        <w:rPr>
          <w:color w:val="000000"/>
          <w:spacing w:val="0"/>
          <w:sz w:val="24"/>
        </w:rPr>
        <w:t> </w:t>
      </w:r>
      <w:r>
        <w:rPr>
          <w:color w:val="000000"/>
          <w:sz w:val="24"/>
        </w:rPr>
        <w:t xml:space="preserve">предоставлении иного межбюджетного трансферта, имеющего целевое назначение, из федерального бюджета бюджету субъекта Российской Федерации» Камчатскому краю в 2023 году предоставлен трансферт в объеме 405,5 млн рублей, за счет средств краевого бюджета предусмотрено 142,2 млн рублей. </w:t>
      </w:r>
      <w:r>
        <w:rPr>
          <w:color w:val="000000"/>
          <w:spacing w:val="0"/>
          <w:sz w:val="24"/>
        </w:rPr>
        <w:t>В настоящее время проведена корректировка проектной документации, получено положительное заключение государственной экспертизы, необходимо дополнительное финансирование для завершения строительства. Дополнительные средства доведены в соот</w:t>
      </w:r>
      <w:r>
        <w:rPr>
          <w:color w:val="000000"/>
          <w:sz w:val="24"/>
        </w:rPr>
        <w:t>ветствии с распоряжением Правительства Российской Федерации от 20.12.2023 № 3727-р «О внесении изменений в распределение субсидий бюджетам субъектов Российской Федерации на приведение в нормативное состояние автомобильных дорог и искусственных дорожных сооружений на 2023 год и на плановый период 2024 и 2025 годов и в распределение иных межбюджетных трансфертов бюджетам субъектов Российской Федерации на развитие инфраструктуры дорожного хозяйства на 2023 год, а также о внесении изменений в отдельные распоряжения Правительства Российской Федерации».</w:t>
      </w:r>
    </w:p>
    <w:p w14:paraId="8D070000">
      <w:pPr>
        <w:pStyle w:val="Style_2"/>
        <w:spacing w:after="0" w:before="0" w:line="240" w:lineRule="auto"/>
        <w:ind w:firstLine="709" w:left="0" w:right="0"/>
        <w:jc w:val="both"/>
        <w:rPr>
          <w:rFonts w:ascii="Times New Roman" w:hAnsi="Times New Roman"/>
          <w:color w:val="000000"/>
          <w:sz w:val="24"/>
        </w:rPr>
      </w:pPr>
      <w:r>
        <w:rPr>
          <w:color w:val="000000"/>
          <w:sz w:val="24"/>
        </w:rPr>
        <w:t xml:space="preserve">С целью  достижения заявленных объемов ввода в эксплуатацию после строительства автомобильных дорог общего пользования регионального (межмуниципального) значения в настоящее время проведена корректировка проектной документацией с выделением строительства очистных сооружений в отдельный пятый этап капитального строительства. </w:t>
      </w:r>
    </w:p>
    <w:p w14:paraId="8E070000">
      <w:pPr>
        <w:pStyle w:val="Style_2"/>
        <w:spacing w:after="0" w:before="0" w:line="240" w:lineRule="auto"/>
        <w:ind w:firstLine="709" w:left="0" w:right="0"/>
        <w:jc w:val="both"/>
        <w:rPr>
          <w:rFonts w:ascii="Times New Roman" w:hAnsi="Times New Roman"/>
          <w:color w:val="000000"/>
          <w:sz w:val="24"/>
        </w:rPr>
      </w:pPr>
      <w:r>
        <w:rPr>
          <w:color w:val="000000"/>
          <w:sz w:val="24"/>
        </w:rPr>
        <w:t xml:space="preserve">В 2022 году начато строительство автомобильной дороги общего пользования регионального значения Камчатского края «п. Термальный – туристический кластер «Три вулкана» (1-3 этапы). На данное мероприятие в 2023 году из федерального бюджета предоставлена субсидия в объеме 1 054 100,9 тыс. рублей, за счет средств краевого бюджета предусмотрено 16 919,3 тыс. рублей. Строительство объекта предусмотрено до октября 2025 года, средства федерального бюджета до 2024 года. В связи с высокой дотационностью бюджета Камчатского края необходимо предусмотреть средства федерального бюджета на 2025 год. </w:t>
      </w:r>
    </w:p>
    <w:p w14:paraId="8F070000">
      <w:pPr>
        <w:pStyle w:val="Style_2"/>
        <w:spacing w:after="0" w:before="0" w:line="240" w:lineRule="auto"/>
        <w:ind w:firstLine="709" w:left="0" w:right="0"/>
        <w:jc w:val="both"/>
        <w:rPr>
          <w:rFonts w:ascii="Times New Roman" w:hAnsi="Times New Roman"/>
          <w:color w:val="000000"/>
          <w:sz w:val="24"/>
        </w:rPr>
      </w:pPr>
      <w:r>
        <w:rPr>
          <w:color w:val="000000"/>
          <w:sz w:val="24"/>
        </w:rPr>
        <w:t>Так же, за счет бюджетных ассигнований, доведенных бюджету Камчатского края из федерального бюджета в виде бюджетного кредита на финансовое обеспечение реализации инфраструктурных проектов в период с 2022 по 2023 годы, выполнены работы по реконструкции двух участков автомобильной дороги общего пользования регионального значения «Петропавловск-Камчатский – Мильково 40 км – Пиначево с подъездом к п. Раздольный и к базе с/х Заречный». Заключено два государственных контракта на выполнение подрядных работ по реконструкции со сроком завершения 30.11.2023. Техническая готовность объекта – 100%. Данные контракты являются контрактами жизненного цикла, предусматривающие последующее содержание участков автомобильной дороги в период с 2023 по 2029 гг. В настоящее время проведена корректировка проектной документации, в результате которой произошло увеличение стоимости реконструкции обоих участков. Общая стоимость подрядных работ составляет 1 148,7 млн рублей, в том числе:</w:t>
      </w:r>
    </w:p>
    <w:p w14:paraId="90070000">
      <w:pPr>
        <w:pStyle w:val="Style_2"/>
        <w:spacing w:after="0" w:before="0" w:line="240" w:lineRule="auto"/>
        <w:ind w:firstLine="709" w:left="0" w:right="0"/>
        <w:jc w:val="both"/>
        <w:rPr>
          <w:rFonts w:ascii="Times New Roman" w:hAnsi="Times New Roman"/>
          <w:color w:val="000000"/>
          <w:sz w:val="24"/>
        </w:rPr>
      </w:pPr>
      <w:r>
        <w:rPr>
          <w:color w:val="000000"/>
          <w:sz w:val="24"/>
        </w:rPr>
        <w:t xml:space="preserve">–  </w:t>
      </w:r>
      <w:r>
        <w:rPr>
          <w:color w:val="000000"/>
          <w:sz w:val="24"/>
        </w:rPr>
        <w:t>в 2022 году – 300,0 млн рублей (ИБК – 300,0 млн рублей);</w:t>
      </w:r>
    </w:p>
    <w:p w14:paraId="91070000">
      <w:pPr>
        <w:pStyle w:val="Style_2"/>
        <w:spacing w:after="0" w:before="0" w:line="240" w:lineRule="auto"/>
        <w:ind w:firstLine="709" w:left="0" w:right="0"/>
        <w:jc w:val="both"/>
        <w:rPr>
          <w:rFonts w:ascii="Times New Roman" w:hAnsi="Times New Roman"/>
          <w:color w:val="000000"/>
          <w:sz w:val="24"/>
        </w:rPr>
      </w:pPr>
      <w:r>
        <w:rPr>
          <w:color w:val="000000"/>
          <w:sz w:val="24"/>
        </w:rPr>
        <w:t>– </w:t>
      </w:r>
      <w:r>
        <w:rPr>
          <w:color w:val="000000"/>
          <w:sz w:val="24"/>
        </w:rPr>
        <w:t>в 2023 году – 848,7 млн рублей (ИБК – 847,2 млн рублей).</w:t>
      </w:r>
    </w:p>
    <w:p w14:paraId="92070000">
      <w:pPr>
        <w:pStyle w:val="Style_2"/>
        <w:spacing w:after="0" w:before="0" w:line="240" w:lineRule="auto"/>
        <w:ind w:firstLine="709" w:left="0" w:right="0"/>
        <w:jc w:val="both"/>
        <w:rPr>
          <w:rFonts w:ascii="Times New Roman" w:hAnsi="Times New Roman"/>
          <w:color w:val="000000"/>
          <w:sz w:val="24"/>
        </w:rPr>
      </w:pPr>
      <w:r>
        <w:rPr>
          <w:color w:val="000000"/>
          <w:sz w:val="24"/>
        </w:rPr>
        <w:t>Длительная процедура согласования нормативно-правовых документов привела к срыву сроков ввода объектов.</w:t>
      </w:r>
    </w:p>
    <w:p w14:paraId="93070000">
      <w:pPr>
        <w:pStyle w:val="Style_2"/>
        <w:spacing w:after="0" w:before="0" w:line="240" w:lineRule="auto"/>
        <w:ind w:firstLine="709" w:left="0" w:right="0"/>
        <w:jc w:val="both"/>
        <w:rPr>
          <w:rFonts w:ascii="Times New Roman" w:hAnsi="Times New Roman"/>
          <w:color w:val="000000"/>
          <w:sz w:val="24"/>
        </w:rPr>
      </w:pPr>
      <w:r>
        <w:rPr>
          <w:i w:val="1"/>
          <w:color w:val="000000"/>
          <w:sz w:val="24"/>
          <w:u w:val="single"/>
        </w:rPr>
        <w:t>Предложения для решения указанной проблемы:</w:t>
      </w:r>
    </w:p>
    <w:p w14:paraId="94070000">
      <w:pPr>
        <w:pStyle w:val="Style_2"/>
        <w:spacing w:after="0" w:before="0" w:line="240" w:lineRule="auto"/>
        <w:ind w:firstLine="709" w:left="0" w:right="0"/>
        <w:jc w:val="both"/>
        <w:rPr>
          <w:rFonts w:ascii="Times New Roman" w:hAnsi="Times New Roman"/>
          <w:color w:val="000000"/>
          <w:sz w:val="24"/>
        </w:rPr>
      </w:pPr>
      <w:r>
        <w:rPr>
          <w:color w:val="000000"/>
          <w:sz w:val="24"/>
        </w:rPr>
        <w:t>В 2024 году с целью продолжения развития опорной дорожной сети Камчатского края предлагается дополнить государственную программу Российской Федерации «Развитие транспортной системы» следующими мероприятиями:</w:t>
      </w:r>
    </w:p>
    <w:p w14:paraId="95070000">
      <w:pPr>
        <w:pStyle w:val="Style_2"/>
        <w:spacing w:after="0" w:before="0" w:line="240" w:lineRule="auto"/>
        <w:ind w:firstLine="709" w:left="0" w:right="0"/>
        <w:jc w:val="both"/>
        <w:rPr>
          <w:rFonts w:ascii="Times New Roman" w:hAnsi="Times New Roman"/>
          <w:color w:val="000000"/>
          <w:sz w:val="24"/>
        </w:rPr>
      </w:pPr>
      <w:r>
        <w:rPr>
          <w:color w:val="000000"/>
          <w:sz w:val="24"/>
        </w:rPr>
        <w:t>1. Реконструкция автомобильной дороги Петропавловск-Камчатский – Мильково на участке км 12 – км 17 с подъездом к федеральной дороге (стоимость объекта – 3 624,9 млн рублей, мощность объекта – 9,75 км);</w:t>
      </w:r>
    </w:p>
    <w:p w14:paraId="96070000">
      <w:pPr>
        <w:pStyle w:val="Style_2"/>
        <w:spacing w:after="0" w:before="0" w:line="240" w:lineRule="auto"/>
        <w:ind w:firstLine="709" w:left="0" w:right="0"/>
        <w:jc w:val="both"/>
        <w:rPr>
          <w:rFonts w:ascii="Times New Roman" w:hAnsi="Times New Roman"/>
          <w:color w:val="000000"/>
          <w:sz w:val="24"/>
        </w:rPr>
      </w:pPr>
      <w:r>
        <w:rPr>
          <w:color w:val="000000"/>
          <w:sz w:val="24"/>
        </w:rPr>
        <w:t>2. Реконструкция автомобильной дороги подъезд к совхозу Петропавловский на участке км 0 – км 4 (стоимость строительства 893,7 млн рублей будет уточняться при определении срока реализации, мощность объекта 4,186 км);</w:t>
      </w:r>
    </w:p>
    <w:p w14:paraId="97070000">
      <w:pPr>
        <w:pStyle w:val="Style_2"/>
        <w:spacing w:after="0" w:before="0" w:line="240" w:lineRule="auto"/>
        <w:ind w:firstLine="709" w:left="0" w:right="0"/>
        <w:jc w:val="both"/>
        <w:rPr>
          <w:rFonts w:ascii="Times New Roman" w:hAnsi="Times New Roman"/>
          <w:color w:val="000000"/>
          <w:sz w:val="24"/>
        </w:rPr>
      </w:pPr>
      <w:r>
        <w:rPr>
          <w:color w:val="000000"/>
          <w:sz w:val="24"/>
        </w:rPr>
        <w:t>3. Реконструкция автомобильной дороги Начикинский совхоз – Усть-Большерецк – п. Октябрьский с подъездом к пристани Косоево – колхоз им. Октябрьской революции на участке км 5 – км 15, стоимость строительства</w:t>
      </w:r>
      <w:r>
        <w:rPr>
          <w:color w:val="000000"/>
          <w:spacing w:val="0"/>
          <w:sz w:val="24"/>
        </w:rPr>
        <w:t> </w:t>
      </w:r>
      <w:r>
        <w:rPr>
          <w:color w:val="000000"/>
          <w:sz w:val="24"/>
        </w:rPr>
        <w:t>–1 530,7 млн рублей (будет уточняться при определении срока реализации), в 2022 году получено положительное заключение госэкспертизы;</w:t>
      </w:r>
    </w:p>
    <w:p w14:paraId="98070000">
      <w:pPr>
        <w:pStyle w:val="Style_2"/>
        <w:spacing w:after="0" w:before="0" w:line="240" w:lineRule="auto"/>
        <w:ind w:firstLine="709" w:left="0" w:right="0"/>
        <w:jc w:val="both"/>
        <w:rPr>
          <w:rFonts w:ascii="Times New Roman" w:hAnsi="Times New Roman"/>
          <w:color w:val="000000"/>
          <w:sz w:val="24"/>
        </w:rPr>
      </w:pPr>
      <w:r>
        <w:rPr>
          <w:color w:val="000000"/>
          <w:sz w:val="24"/>
        </w:rPr>
        <w:t>4. Строительство автомобильной дороги Анавгай – Палана на участке км 17</w:t>
      </w:r>
      <w:r>
        <w:rPr>
          <w:color w:val="000000"/>
          <w:spacing w:val="0"/>
          <w:sz w:val="24"/>
        </w:rPr>
        <w:t> </w:t>
      </w:r>
      <w:r>
        <w:rPr>
          <w:color w:val="000000"/>
          <w:sz w:val="24"/>
        </w:rPr>
        <w:t>– км</w:t>
      </w:r>
      <w:r>
        <w:rPr>
          <w:color w:val="000000"/>
          <w:spacing w:val="0"/>
          <w:sz w:val="24"/>
        </w:rPr>
        <w:t> </w:t>
      </w:r>
      <w:r>
        <w:rPr>
          <w:color w:val="000000"/>
          <w:sz w:val="24"/>
        </w:rPr>
        <w:t>33 (стоимость строительства 371,9 млн рублей будет уточняться при определении срока реализации, мощность объекта 16,26 км);</w:t>
      </w:r>
    </w:p>
    <w:p w14:paraId="99070000">
      <w:pPr>
        <w:pStyle w:val="Style_2"/>
        <w:spacing w:after="0" w:before="0" w:line="240" w:lineRule="auto"/>
        <w:ind w:firstLine="709" w:left="0" w:right="0"/>
        <w:jc w:val="both"/>
        <w:rPr>
          <w:rFonts w:ascii="Times New Roman" w:hAnsi="Times New Roman"/>
          <w:color w:val="000000"/>
          <w:sz w:val="24"/>
        </w:rPr>
      </w:pPr>
      <w:r>
        <w:rPr>
          <w:color w:val="000000"/>
          <w:sz w:val="24"/>
        </w:rPr>
        <w:t>5. Строительство автомобильной дороги Анавгай – Палана на участке км 225 – км 231 (стоимость строительства 434,5 млн рублей будет уточняться при определении срока реализации, мощность объекта 6,74 км);</w:t>
      </w:r>
    </w:p>
    <w:p w14:paraId="9A070000">
      <w:pPr>
        <w:pStyle w:val="Style_2"/>
        <w:spacing w:after="0" w:before="0" w:line="240" w:lineRule="auto"/>
        <w:ind w:firstLine="709" w:left="0" w:right="0"/>
        <w:jc w:val="both"/>
        <w:rPr>
          <w:rFonts w:ascii="Times New Roman" w:hAnsi="Times New Roman"/>
          <w:color w:val="000000"/>
          <w:sz w:val="24"/>
        </w:rPr>
      </w:pPr>
      <w:r>
        <w:rPr>
          <w:color w:val="000000"/>
          <w:sz w:val="24"/>
        </w:rPr>
        <w:t>6. Строительство мостового перехода через р. Тигиль на 224 км автомобильной дороги Анавгай – Палана (стоимость строительства 1 467,0 млн рублей будет уточняться при определении срока реализации, мощность объекта 5,0 км);</w:t>
      </w:r>
    </w:p>
    <w:p w14:paraId="9B070000">
      <w:pPr>
        <w:pStyle w:val="Style_2"/>
        <w:spacing w:after="0" w:before="0" w:line="240" w:lineRule="auto"/>
        <w:ind w:firstLine="709" w:left="0" w:right="0"/>
        <w:jc w:val="both"/>
        <w:rPr>
          <w:rFonts w:ascii="Times New Roman" w:hAnsi="Times New Roman"/>
          <w:color w:val="000000"/>
          <w:sz w:val="24"/>
        </w:rPr>
      </w:pPr>
      <w:r>
        <w:rPr>
          <w:color w:val="000000"/>
          <w:sz w:val="24"/>
        </w:rPr>
        <w:t xml:space="preserve">7. Строительство объездной дороги от Петропавловского шоссе до жилого района «Северо-Восток. 1 этап – от Петропавловского шоссе до ул. Солнечной» (стоимость строительства 2 459,0 млн рублей). </w:t>
      </w:r>
    </w:p>
    <w:p w14:paraId="9C070000">
      <w:pPr>
        <w:pStyle w:val="Style_2"/>
        <w:spacing w:after="0" w:before="0" w:line="240" w:lineRule="auto"/>
        <w:ind w:firstLine="709" w:left="0" w:right="0"/>
        <w:jc w:val="both"/>
        <w:rPr>
          <w:rFonts w:ascii="Times New Roman" w:hAnsi="Times New Roman"/>
          <w:color w:val="000000"/>
          <w:sz w:val="24"/>
        </w:rPr>
      </w:pPr>
      <w:r>
        <w:rPr>
          <w:color w:val="000000"/>
          <w:sz w:val="24"/>
        </w:rPr>
        <w:t>Потребность Камчатского края в финансировании дорожного хозяйства на развитие Опорной сети за счет средств федерального бюджета в 2024-2026 годах составляет 4 626,0 млн рублей, в том числе:</w:t>
      </w:r>
    </w:p>
    <w:p w14:paraId="9D070000">
      <w:pPr>
        <w:pStyle w:val="Style_2"/>
        <w:spacing w:after="0" w:before="0" w:line="240" w:lineRule="auto"/>
        <w:ind w:firstLine="709" w:left="0" w:right="0"/>
        <w:jc w:val="both"/>
        <w:rPr>
          <w:rFonts w:ascii="Times New Roman" w:hAnsi="Times New Roman"/>
          <w:color w:val="000000"/>
          <w:sz w:val="24"/>
        </w:rPr>
      </w:pPr>
      <w:r>
        <w:rPr>
          <w:color w:val="000000"/>
          <w:sz w:val="24"/>
        </w:rPr>
        <w:t xml:space="preserve">– </w:t>
      </w:r>
      <w:r>
        <w:rPr>
          <w:color w:val="000000"/>
          <w:sz w:val="24"/>
        </w:rPr>
        <w:t>на 2024 год – 2 650,0 млн рублей;</w:t>
      </w:r>
    </w:p>
    <w:p w14:paraId="9E070000">
      <w:pPr>
        <w:pStyle w:val="Style_2"/>
        <w:spacing w:after="0" w:before="0" w:line="240" w:lineRule="auto"/>
        <w:ind w:firstLine="709" w:left="0" w:right="0"/>
        <w:jc w:val="both"/>
        <w:rPr>
          <w:rFonts w:ascii="Times New Roman" w:hAnsi="Times New Roman"/>
          <w:color w:val="000000"/>
          <w:sz w:val="24"/>
        </w:rPr>
      </w:pPr>
      <w:r>
        <w:rPr>
          <w:color w:val="000000"/>
          <w:sz w:val="24"/>
        </w:rPr>
        <w:t xml:space="preserve">– </w:t>
      </w:r>
      <w:r>
        <w:rPr>
          <w:color w:val="000000"/>
          <w:sz w:val="24"/>
        </w:rPr>
        <w:t>на 2025 год – 1 206,0 млн рублей;</w:t>
      </w:r>
    </w:p>
    <w:p w14:paraId="9F070000">
      <w:pPr>
        <w:pStyle w:val="Style_2"/>
        <w:spacing w:after="0" w:before="0" w:line="240" w:lineRule="auto"/>
        <w:ind w:firstLine="709" w:left="0" w:right="0"/>
        <w:jc w:val="both"/>
        <w:rPr>
          <w:rFonts w:ascii="Times New Roman" w:hAnsi="Times New Roman"/>
          <w:color w:val="000000"/>
          <w:sz w:val="24"/>
        </w:rPr>
      </w:pPr>
      <w:r>
        <w:rPr>
          <w:color w:val="000000"/>
          <w:sz w:val="24"/>
        </w:rPr>
        <w:t xml:space="preserve">– </w:t>
      </w:r>
      <w:r>
        <w:rPr>
          <w:color w:val="000000"/>
          <w:sz w:val="24"/>
        </w:rPr>
        <w:t>на 2026 год – 770,0 млн рублей.</w:t>
      </w:r>
    </w:p>
    <w:p w14:paraId="A0070000">
      <w:pPr>
        <w:pStyle w:val="Style_2"/>
        <w:spacing w:after="0" w:before="0" w:line="240" w:lineRule="auto"/>
        <w:ind w:firstLine="709" w:left="0" w:right="0"/>
        <w:jc w:val="both"/>
        <w:rPr>
          <w:rFonts w:ascii="Times New Roman" w:hAnsi="Times New Roman"/>
          <w:color w:val="000000"/>
          <w:sz w:val="24"/>
        </w:rPr>
      </w:pPr>
      <w:r>
        <w:rPr>
          <w:b w:val="1"/>
          <w:i w:val="1"/>
          <w:color w:val="000000"/>
          <w:sz w:val="24"/>
        </w:rPr>
        <w:t xml:space="preserve">4) Отсутствие нормативно-правового акта, регламентирующего предоставление субсидий бюджету Камчатского края на строительство и реконструкцию региональной сети дорог. </w:t>
      </w:r>
    </w:p>
    <w:p w14:paraId="A1070000">
      <w:pPr>
        <w:pStyle w:val="Style_2"/>
        <w:spacing w:after="0" w:before="0" w:line="240" w:lineRule="auto"/>
        <w:ind w:firstLine="709" w:left="0" w:right="0"/>
        <w:jc w:val="both"/>
        <w:rPr>
          <w:rFonts w:ascii="Times New Roman" w:hAnsi="Times New Roman"/>
          <w:color w:val="000000"/>
          <w:sz w:val="24"/>
        </w:rPr>
      </w:pPr>
      <w:r>
        <w:rPr>
          <w:color w:val="000000"/>
          <w:sz w:val="24"/>
        </w:rPr>
        <w:t>Наличие указанного акта необходимо в соответствии с постановлением Правительства Российской Федерации от 30.09.2014 № 999 «О формировании, предоставлении и распределении субсидий из федерального бюджета бюджетам субъектов Российской Федерации», в котором условия предоставления субсидий, критерии отбора субъектов Российской Федерации для предоставления субсидий и их распределения между субъектами Российской Федерации устанавливаются федеральными законами и (или) принятыми в соответствии с ними нормативными правовыми актами Правительства Российской Федерации. Кроме того, данное условие определено и в соответствии с частью 2 приложения № 4 к государственной программе Российской Федерации «Развитие транспортной системы», утвержденной постановлением Правительства Российской Федерации от 20.12.2017 № 1596.</w:t>
      </w:r>
    </w:p>
    <w:p w14:paraId="A2070000">
      <w:pPr>
        <w:pStyle w:val="Style_2"/>
        <w:spacing w:after="0" w:before="0" w:line="240" w:lineRule="auto"/>
        <w:ind w:firstLine="709" w:left="0" w:right="0"/>
        <w:jc w:val="both"/>
        <w:rPr>
          <w:rFonts w:ascii="Times New Roman" w:hAnsi="Times New Roman"/>
          <w:color w:val="000000"/>
          <w:sz w:val="24"/>
        </w:rPr>
      </w:pPr>
      <w:r>
        <w:rPr>
          <w:i w:val="1"/>
          <w:color w:val="000000"/>
          <w:sz w:val="24"/>
          <w:u w:val="single"/>
        </w:rPr>
        <w:t>Предложения для решения указанной проблемы:</w:t>
      </w:r>
    </w:p>
    <w:p w14:paraId="A3070000">
      <w:pPr>
        <w:pStyle w:val="Style_2"/>
        <w:spacing w:after="0" w:before="0" w:line="240" w:lineRule="auto"/>
        <w:ind w:firstLine="709" w:left="0" w:right="0"/>
        <w:jc w:val="both"/>
        <w:rPr>
          <w:rFonts w:ascii="Times New Roman" w:hAnsi="Times New Roman"/>
          <w:color w:val="000000"/>
          <w:sz w:val="24"/>
        </w:rPr>
      </w:pPr>
      <w:r>
        <w:rPr>
          <w:color w:val="000000"/>
          <w:sz w:val="24"/>
        </w:rPr>
        <w:t>Включение объектов строительства и реконструкции автомобильных дорог Камчатского края в государственную программу Российской Федерации «Развитие транспортной системы».</w:t>
      </w:r>
    </w:p>
    <w:p w14:paraId="A4070000">
      <w:pPr>
        <w:pStyle w:val="Style_2"/>
        <w:spacing w:after="0" w:before="0" w:line="240" w:lineRule="auto"/>
        <w:ind w:firstLine="709" w:left="0" w:right="0"/>
        <w:jc w:val="both"/>
        <w:rPr>
          <w:rFonts w:ascii="Times New Roman" w:hAnsi="Times New Roman"/>
          <w:color w:val="000000"/>
          <w:sz w:val="24"/>
        </w:rPr>
      </w:pPr>
      <w:r>
        <w:rPr>
          <w:b w:val="1"/>
          <w:i w:val="1"/>
          <w:color w:val="000000"/>
          <w:sz w:val="24"/>
        </w:rPr>
        <w:t>5) Недостаток средств на реконструкцию и модернизацию действующей системы водоотведения.</w:t>
      </w:r>
    </w:p>
    <w:p w14:paraId="A5070000">
      <w:pPr>
        <w:pStyle w:val="Style_2"/>
        <w:spacing w:after="0" w:before="0" w:line="240" w:lineRule="auto"/>
        <w:ind w:firstLine="709" w:left="0" w:right="0"/>
        <w:jc w:val="both"/>
        <w:rPr>
          <w:rFonts w:ascii="Times New Roman" w:hAnsi="Times New Roman"/>
          <w:color w:val="000000"/>
          <w:sz w:val="24"/>
        </w:rPr>
      </w:pPr>
      <w:r>
        <w:rPr>
          <w:color w:val="000000"/>
          <w:spacing w:val="0"/>
          <w:sz w:val="24"/>
        </w:rPr>
        <w:t>Несмотря на высокое качество природных вод, в некоторых районах Камчатского края питьевая вода, подаваемая потребителям, не в полном объеме соответствует санитарным нормам. Основные причины – отсутствие на системах водоснабжения достаточного набора очистных сооружений и обеззараживающих установок, высокий уровень износа водопроводных сетей.</w:t>
      </w:r>
    </w:p>
    <w:p w14:paraId="A6070000">
      <w:pPr>
        <w:pStyle w:val="Style_2"/>
        <w:spacing w:after="0" w:before="0" w:line="240" w:lineRule="auto"/>
        <w:ind w:firstLine="709" w:left="0" w:right="0"/>
        <w:jc w:val="both"/>
        <w:rPr>
          <w:rFonts w:ascii="Times New Roman" w:hAnsi="Times New Roman"/>
          <w:color w:val="000000"/>
          <w:sz w:val="24"/>
        </w:rPr>
      </w:pPr>
      <w:r>
        <w:rPr>
          <w:color w:val="000000"/>
          <w:sz w:val="24"/>
        </w:rPr>
        <w:t xml:space="preserve">В целом по краю доля пропущенных сточных вод через очистные сооружения и очищенных до нормативных значений, в общем объеме сточных вод, составляет 49%, большинство населенных пунктов Камчатского края не имеют канализационных очистных сооружений, во многих сельских населенных пунктах отсутствуют централизованные системы канализации. </w:t>
      </w:r>
    </w:p>
    <w:p w14:paraId="A7070000">
      <w:pPr>
        <w:pStyle w:val="Style_2"/>
        <w:spacing w:after="0" w:before="0" w:line="240" w:lineRule="auto"/>
        <w:ind w:firstLine="709" w:left="0" w:right="0"/>
        <w:jc w:val="both"/>
        <w:rPr>
          <w:rFonts w:ascii="Times New Roman" w:hAnsi="Times New Roman"/>
          <w:color w:val="000000"/>
          <w:sz w:val="24"/>
        </w:rPr>
      </w:pPr>
      <w:r>
        <w:rPr>
          <w:color w:val="000000"/>
          <w:sz w:val="24"/>
        </w:rPr>
        <w:t xml:space="preserve">Это обусловлено исторически сложившимися особенностями развития ряда городских и сельских поселений края, образованных либо в местах традиционного проживания коренного населения, либо в период развития государственной рыбной промышленности СССР, когда планированию и строительству объектов коммунального хозяйства не уделялось должного внимания. Построенные в 60–70-х годах прошлого века водозаборы, водопроводные очистные сооружения и сети имеют высокий амортизационный износ, достигающий по отдельным населенным пунктам 90–100%. </w:t>
      </w:r>
    </w:p>
    <w:p w14:paraId="A8070000">
      <w:pPr>
        <w:pStyle w:val="Style_2"/>
        <w:spacing w:after="0" w:before="0" w:line="240" w:lineRule="auto"/>
        <w:ind w:firstLine="709" w:left="0" w:right="0"/>
        <w:jc w:val="both"/>
        <w:rPr>
          <w:rFonts w:ascii="Times New Roman" w:hAnsi="Times New Roman"/>
          <w:color w:val="000000"/>
          <w:sz w:val="24"/>
        </w:rPr>
      </w:pPr>
      <w:r>
        <w:rPr>
          <w:color w:val="000000"/>
          <w:sz w:val="24"/>
        </w:rPr>
        <w:t>Наличие большого количества выгребов, которые в большинстве случаев не откачиваются и водопроницаемы, приводит к загрязнению водоносных горизонтов, нарушают экологическую обстановку в регионе.</w:t>
      </w:r>
    </w:p>
    <w:p w14:paraId="A9070000">
      <w:pPr>
        <w:pStyle w:val="Style_2"/>
        <w:spacing w:after="0" w:before="0" w:line="240" w:lineRule="auto"/>
        <w:ind w:firstLine="709" w:left="0" w:right="0"/>
        <w:jc w:val="both"/>
        <w:rPr>
          <w:rFonts w:ascii="Times New Roman" w:hAnsi="Times New Roman"/>
          <w:color w:val="000000"/>
          <w:sz w:val="24"/>
        </w:rPr>
      </w:pPr>
      <w:r>
        <w:rPr>
          <w:i w:val="1"/>
          <w:color w:val="000000"/>
          <w:sz w:val="24"/>
          <w:u w:val="single"/>
        </w:rPr>
        <w:t>Предложения для решения указанной проблемы:</w:t>
      </w:r>
    </w:p>
    <w:p w14:paraId="AA070000">
      <w:pPr>
        <w:pStyle w:val="Style_2"/>
        <w:spacing w:after="0" w:before="0" w:line="240" w:lineRule="auto"/>
        <w:ind w:firstLine="709" w:left="0" w:right="0"/>
        <w:jc w:val="both"/>
        <w:rPr>
          <w:rFonts w:ascii="Times New Roman" w:hAnsi="Times New Roman"/>
          <w:color w:val="000000"/>
          <w:sz w:val="24"/>
        </w:rPr>
      </w:pPr>
      <w:r>
        <w:rPr>
          <w:color w:val="000000"/>
          <w:sz w:val="24"/>
        </w:rPr>
        <w:t>Необходимо увеличение финансирования на сумму порядка 36 млрд рублей по всем видам бюджетов на реализацию мероприятий по строительству, реконструкции и модернизации систем водоотведения населенных пунктов Камчатского края.</w:t>
      </w:r>
    </w:p>
    <w:p w14:paraId="AB070000">
      <w:pPr>
        <w:pStyle w:val="Style_2"/>
        <w:spacing w:after="0" w:before="0" w:line="240" w:lineRule="auto"/>
        <w:ind w:firstLine="709" w:left="0" w:right="0"/>
        <w:jc w:val="both"/>
        <w:rPr>
          <w:rFonts w:ascii="Times New Roman" w:hAnsi="Times New Roman"/>
          <w:color w:val="000000"/>
          <w:sz w:val="24"/>
        </w:rPr>
      </w:pPr>
      <w:r>
        <w:rPr>
          <w:b w:val="1"/>
          <w:i w:val="1"/>
          <w:color w:val="000000"/>
          <w:sz w:val="24"/>
        </w:rPr>
        <w:t>6) Длительная процедура расширения границ ТОР.</w:t>
      </w:r>
    </w:p>
    <w:p w14:paraId="AC070000">
      <w:pPr>
        <w:pStyle w:val="Style_2"/>
        <w:spacing w:after="0" w:before="0" w:line="240" w:lineRule="auto"/>
        <w:ind w:firstLine="709" w:left="0" w:right="0"/>
        <w:jc w:val="both"/>
        <w:rPr>
          <w:rFonts w:ascii="Times New Roman" w:hAnsi="Times New Roman"/>
          <w:color w:val="000000"/>
          <w:sz w:val="24"/>
        </w:rPr>
      </w:pPr>
      <w:r>
        <w:rPr>
          <w:color w:val="000000"/>
          <w:sz w:val="24"/>
        </w:rPr>
        <w:t>Расширение границ ТОР «Камчатка» осуществляется путем внесения изменений в постановление Правительства Российской Федерации от 28.08.2015 № 899 «О</w:t>
      </w:r>
      <w:r>
        <w:rPr>
          <w:color w:val="000000"/>
          <w:spacing w:val="0"/>
          <w:sz w:val="24"/>
        </w:rPr>
        <w:t> </w:t>
      </w:r>
      <w:r>
        <w:rPr>
          <w:color w:val="000000"/>
          <w:sz w:val="24"/>
        </w:rPr>
        <w:t>создании территории опережающего «Камчатка». Учитывая необходимость согласования проекта постановления с рядом федеральных органов исполнительной власти, срок принятия документа может достигать одного года.</w:t>
      </w:r>
    </w:p>
    <w:p w14:paraId="AD070000">
      <w:pPr>
        <w:pStyle w:val="Style_2"/>
        <w:spacing w:after="0" w:before="0" w:line="240" w:lineRule="auto"/>
        <w:ind w:firstLine="709" w:left="0" w:right="0"/>
        <w:jc w:val="both"/>
        <w:rPr>
          <w:rFonts w:ascii="Times New Roman" w:hAnsi="Times New Roman"/>
          <w:color w:val="000000"/>
          <w:sz w:val="24"/>
        </w:rPr>
      </w:pPr>
      <w:r>
        <w:rPr>
          <w:i w:val="1"/>
          <w:color w:val="000000"/>
          <w:sz w:val="24"/>
          <w:u w:val="single"/>
        </w:rPr>
        <w:t>Предложения для решения указанной проблемы:</w:t>
      </w:r>
    </w:p>
    <w:p w14:paraId="AE070000">
      <w:pPr>
        <w:pStyle w:val="Style_2"/>
        <w:spacing w:after="0" w:before="0" w:line="240" w:lineRule="auto"/>
        <w:ind w:firstLine="709" w:left="0" w:right="0"/>
        <w:jc w:val="both"/>
        <w:rPr>
          <w:rFonts w:ascii="Times New Roman" w:hAnsi="Times New Roman"/>
          <w:color w:val="000000"/>
          <w:sz w:val="24"/>
        </w:rPr>
      </w:pPr>
      <w:r>
        <w:rPr>
          <w:color w:val="000000"/>
          <w:sz w:val="24"/>
        </w:rPr>
        <w:t>Требуется передать полномочия по определению границ территорий опережающего социально-экономического развития в Дальневосточном федеральном округе на уровень Министерства Российской Федерации по развитию Дальнего Востока и Арктики.</w:t>
      </w:r>
    </w:p>
    <w:p w14:paraId="AF070000">
      <w:pPr>
        <w:pStyle w:val="Style_2"/>
        <w:spacing w:after="0" w:before="0" w:line="240" w:lineRule="auto"/>
        <w:ind w:firstLine="709" w:left="0" w:right="0"/>
        <w:jc w:val="both"/>
        <w:rPr>
          <w:rFonts w:ascii="Times New Roman" w:hAnsi="Times New Roman"/>
          <w:color w:val="000000"/>
          <w:sz w:val="24"/>
        </w:rPr>
      </w:pPr>
      <w:r>
        <w:rPr>
          <w:b w:val="1"/>
          <w:i w:val="1"/>
          <w:color w:val="000000"/>
          <w:sz w:val="24"/>
        </w:rPr>
        <w:t>7) Отсутствие возможности участия региональных властей на стадии рассмотрения заявок потенциальных резидентов ТОР и СПВ.</w:t>
      </w:r>
    </w:p>
    <w:p w14:paraId="B0070000">
      <w:pPr>
        <w:pStyle w:val="Style_2"/>
        <w:spacing w:after="0" w:before="0" w:line="240" w:lineRule="auto"/>
        <w:ind w:firstLine="709" w:left="0" w:right="0"/>
        <w:jc w:val="both"/>
        <w:rPr>
          <w:rFonts w:ascii="Times New Roman" w:hAnsi="Times New Roman"/>
          <w:color w:val="000000"/>
          <w:sz w:val="24"/>
        </w:rPr>
      </w:pPr>
      <w:r>
        <w:rPr>
          <w:color w:val="000000"/>
          <w:sz w:val="24"/>
        </w:rPr>
        <w:t xml:space="preserve">Рассмотрение заявки на заключение соглашения об осуществлении деятельности и оценку бизнес-плана потенциальных резидентов осуществляет управляющая компания АО «КРДВ» без учета мнения региональных органов государственной власти. </w:t>
      </w:r>
    </w:p>
    <w:p w14:paraId="B1070000">
      <w:pPr>
        <w:pStyle w:val="Style_2"/>
        <w:spacing w:after="0" w:before="0" w:line="240" w:lineRule="auto"/>
        <w:ind w:firstLine="709" w:left="0" w:right="0"/>
        <w:jc w:val="both"/>
        <w:rPr>
          <w:rFonts w:ascii="Times New Roman" w:hAnsi="Times New Roman"/>
          <w:color w:val="000000"/>
          <w:sz w:val="24"/>
        </w:rPr>
      </w:pPr>
      <w:r>
        <w:rPr>
          <w:color w:val="000000"/>
          <w:sz w:val="24"/>
        </w:rPr>
        <w:t>Это приводит к случаям, когда реализация инвестиционных проектов не учитывает перспективу экономического развития субъекта Российской Федерации.</w:t>
      </w:r>
    </w:p>
    <w:p w14:paraId="B2070000">
      <w:pPr>
        <w:pStyle w:val="Style_2"/>
        <w:spacing w:after="0" w:before="0" w:line="240" w:lineRule="auto"/>
        <w:ind w:firstLine="709" w:left="0" w:right="0"/>
        <w:jc w:val="both"/>
        <w:rPr>
          <w:rFonts w:ascii="Times New Roman" w:hAnsi="Times New Roman"/>
          <w:color w:val="000000"/>
          <w:sz w:val="24"/>
        </w:rPr>
      </w:pPr>
      <w:r>
        <w:rPr>
          <w:i w:val="1"/>
          <w:color w:val="000000"/>
          <w:sz w:val="24"/>
          <w:u w:val="single"/>
        </w:rPr>
        <w:t>Предложения для решения указанной проблемы:</w:t>
      </w:r>
    </w:p>
    <w:p w14:paraId="B3070000">
      <w:pPr>
        <w:pStyle w:val="Style_2"/>
        <w:spacing w:after="0" w:before="0" w:line="240" w:lineRule="auto"/>
        <w:ind w:firstLine="709" w:left="0" w:right="0"/>
        <w:jc w:val="both"/>
        <w:rPr>
          <w:rFonts w:ascii="Times New Roman" w:hAnsi="Times New Roman"/>
          <w:color w:val="000000"/>
          <w:sz w:val="24"/>
        </w:rPr>
      </w:pPr>
      <w:r>
        <w:rPr>
          <w:color w:val="000000"/>
          <w:sz w:val="24"/>
        </w:rPr>
        <w:t>Необходимо внести изменения в Федеральный закон от 29.12.2014 № 473-ФЗ и Федеральный закон от 13.07.2015 № 212-ФЗ, предусмотрев участие региональных властей в оценке инвестиционных проектов потенциальных резидентов.</w:t>
      </w:r>
    </w:p>
    <w:p w14:paraId="B4070000">
      <w:pPr>
        <w:pStyle w:val="Style_2"/>
        <w:spacing w:after="0" w:before="0" w:line="240" w:lineRule="auto"/>
        <w:ind w:firstLine="709" w:left="0" w:right="0"/>
        <w:jc w:val="both"/>
        <w:rPr>
          <w:rFonts w:ascii="Times New Roman" w:hAnsi="Times New Roman"/>
          <w:color w:val="000000"/>
          <w:sz w:val="24"/>
        </w:rPr>
      </w:pPr>
      <w:r>
        <w:rPr>
          <w:b w:val="1"/>
          <w:color w:val="000000"/>
          <w:sz w:val="24"/>
        </w:rPr>
        <w:t>8</w:t>
      </w:r>
      <w:r>
        <w:rPr>
          <w:b w:val="1"/>
          <w:i w:val="1"/>
          <w:color w:val="000000"/>
          <w:sz w:val="24"/>
        </w:rPr>
        <w:t>) Отсутствие возможности проведения анализа социально-экономических последствий создания (изменения границ) ТОР, СПВ и оценки динамики изменения доходов бюджета Камчатского края в связи с функционированием особых правовых режимов.</w:t>
      </w:r>
    </w:p>
    <w:p w14:paraId="B5070000">
      <w:pPr>
        <w:pStyle w:val="Style_2"/>
        <w:spacing w:after="0" w:before="0" w:line="240" w:lineRule="auto"/>
        <w:ind w:firstLine="709" w:left="0" w:right="0"/>
        <w:jc w:val="both"/>
        <w:rPr>
          <w:rFonts w:ascii="Times New Roman" w:hAnsi="Times New Roman"/>
          <w:color w:val="000000"/>
          <w:sz w:val="24"/>
        </w:rPr>
      </w:pPr>
      <w:r>
        <w:rPr>
          <w:i w:val="1"/>
          <w:color w:val="000000"/>
          <w:sz w:val="24"/>
          <w:u w:val="single"/>
        </w:rPr>
        <w:t>Предложения для решения указанной проблемы:</w:t>
      </w:r>
    </w:p>
    <w:p w14:paraId="B6070000">
      <w:pPr>
        <w:pStyle w:val="Style_2"/>
        <w:spacing w:after="0" w:before="0" w:line="240" w:lineRule="auto"/>
        <w:ind w:firstLine="709" w:left="0" w:right="0"/>
        <w:jc w:val="both"/>
        <w:rPr>
          <w:rFonts w:ascii="Times New Roman" w:hAnsi="Times New Roman"/>
          <w:color w:val="000000"/>
          <w:sz w:val="24"/>
        </w:rPr>
      </w:pPr>
      <w:r>
        <w:rPr>
          <w:color w:val="000000"/>
          <w:sz w:val="24"/>
        </w:rPr>
        <w:t>Необходимо внести изменения в Федеральный план статистических работ в части разработки и включения в него новых форм статистической отчетности по резидентам ТОР и СПВ в разбивке по регионам.</w:t>
      </w:r>
    </w:p>
    <w:p w14:paraId="B7070000">
      <w:pPr>
        <w:pStyle w:val="Style_2"/>
        <w:spacing w:after="0" w:before="0" w:line="240" w:lineRule="auto"/>
        <w:ind w:firstLine="709" w:left="0" w:right="0"/>
        <w:jc w:val="both"/>
        <w:rPr>
          <w:rFonts w:ascii="Times New Roman" w:hAnsi="Times New Roman"/>
          <w:color w:val="000000"/>
          <w:sz w:val="24"/>
        </w:rPr>
      </w:pPr>
      <w:r>
        <w:rPr>
          <w:b w:val="1"/>
          <w:i w:val="1"/>
          <w:color w:val="000000"/>
          <w:sz w:val="24"/>
        </w:rPr>
        <w:t>9) Отсутствие порядка вырубки насаждений на землях, переведенных из состава лесного фонда в земли особо охраняемых территорий и объектов.</w:t>
      </w:r>
    </w:p>
    <w:p w14:paraId="B8070000">
      <w:pPr>
        <w:pStyle w:val="Style_2"/>
        <w:spacing w:after="0" w:before="0" w:line="240" w:lineRule="auto"/>
        <w:ind w:firstLine="709" w:left="0" w:right="0"/>
        <w:jc w:val="both"/>
        <w:rPr>
          <w:rFonts w:ascii="Times New Roman" w:hAnsi="Times New Roman"/>
          <w:color w:val="000000"/>
          <w:sz w:val="24"/>
        </w:rPr>
      </w:pPr>
      <w:r>
        <w:rPr>
          <w:color w:val="000000"/>
          <w:sz w:val="24"/>
        </w:rPr>
        <w:t>На землях лесного фонда невозможна полноценная реализация инвестиционных проектов (отсутствие возможности осуществлять вырубку лесных насаждений и возводить объекты капитального строительства). На территории Камчатского края часть земельных участков переведена из категории лесного фонда в земли особо охраняемых территорий и объектов для размещения объектов рекреационного назначения в соответствии с порядком, предусмотренным постановлением Правительства Российской Федерации от 28.01.2006 № 48 «О составе и порядке подготовки документации о переводе земель лесного фонда в земли иных категорий».</w:t>
      </w:r>
    </w:p>
    <w:p w14:paraId="B9070000">
      <w:pPr>
        <w:pStyle w:val="Style_2"/>
        <w:spacing w:after="0" w:before="0" w:line="240" w:lineRule="auto"/>
        <w:ind w:firstLine="709" w:left="0" w:right="0"/>
        <w:jc w:val="both"/>
        <w:rPr>
          <w:rFonts w:ascii="Times New Roman" w:hAnsi="Times New Roman"/>
          <w:color w:val="000000"/>
          <w:sz w:val="24"/>
        </w:rPr>
      </w:pPr>
      <w:r>
        <w:rPr>
          <w:color w:val="000000"/>
          <w:sz w:val="24"/>
        </w:rPr>
        <w:t>Собственником таких земель является Российская Федерация в лице Территориального управления Росимущества по Камчатскому краю.</w:t>
      </w:r>
    </w:p>
    <w:p w14:paraId="BA070000">
      <w:pPr>
        <w:pStyle w:val="Style_2"/>
        <w:spacing w:after="0" w:before="0" w:line="240" w:lineRule="auto"/>
        <w:ind w:firstLine="709" w:left="0" w:right="0"/>
        <w:jc w:val="both"/>
        <w:rPr>
          <w:rFonts w:ascii="Times New Roman" w:hAnsi="Times New Roman"/>
          <w:color w:val="000000"/>
          <w:sz w:val="24"/>
        </w:rPr>
      </w:pPr>
      <w:r>
        <w:rPr>
          <w:color w:val="000000"/>
          <w:sz w:val="24"/>
        </w:rPr>
        <w:t>Отсутствует нормативно-правовой акт, который бы регулировал Порядок вырубки лесных насаждений на таких земельных участках.</w:t>
      </w:r>
    </w:p>
    <w:p w14:paraId="BB070000">
      <w:pPr>
        <w:pStyle w:val="Style_2"/>
        <w:spacing w:after="0" w:before="0" w:line="240" w:lineRule="auto"/>
        <w:ind w:firstLine="709" w:left="0" w:right="0"/>
        <w:jc w:val="both"/>
        <w:rPr>
          <w:rFonts w:ascii="Times New Roman" w:hAnsi="Times New Roman"/>
          <w:color w:val="000000"/>
          <w:sz w:val="24"/>
        </w:rPr>
      </w:pPr>
      <w:r>
        <w:rPr>
          <w:i w:val="1"/>
          <w:color w:val="000000"/>
          <w:sz w:val="24"/>
          <w:u w:val="single"/>
        </w:rPr>
        <w:t>Предложения для решения указанной проблемы:</w:t>
      </w:r>
    </w:p>
    <w:p w14:paraId="BC070000">
      <w:pPr>
        <w:pStyle w:val="Style_2"/>
        <w:spacing w:after="0" w:before="0" w:line="240" w:lineRule="auto"/>
        <w:ind w:firstLine="709" w:left="0" w:right="0"/>
        <w:jc w:val="both"/>
        <w:rPr>
          <w:rFonts w:ascii="Times New Roman" w:hAnsi="Times New Roman"/>
          <w:color w:val="000000"/>
          <w:sz w:val="24"/>
        </w:rPr>
      </w:pPr>
      <w:r>
        <w:rPr>
          <w:color w:val="000000"/>
          <w:sz w:val="24"/>
        </w:rPr>
        <w:t>Требуется разработка на федеральном уровне порядка вырубки лесных насаждений на землях особо охраняемых территорий и объектов.</w:t>
      </w:r>
    </w:p>
    <w:p w14:paraId="BD070000">
      <w:pPr>
        <w:pStyle w:val="Style_2"/>
        <w:spacing w:after="0" w:before="0" w:line="240" w:lineRule="auto"/>
        <w:ind w:firstLine="709" w:left="0" w:right="0"/>
        <w:jc w:val="both"/>
        <w:rPr>
          <w:rFonts w:ascii="Times New Roman" w:hAnsi="Times New Roman"/>
          <w:color w:val="000000"/>
          <w:sz w:val="24"/>
        </w:rPr>
      </w:pPr>
      <w:r>
        <w:rPr>
          <w:b w:val="1"/>
          <w:i w:val="1"/>
          <w:color w:val="000000"/>
          <w:sz w:val="24"/>
        </w:rPr>
        <w:t xml:space="preserve">10) </w:t>
      </w:r>
      <w:bookmarkStart w:id="11" w:name="__DdeLink__4413_801775373"/>
      <w:r>
        <w:rPr>
          <w:b w:val="1"/>
          <w:i w:val="1"/>
          <w:color w:val="000000"/>
          <w:sz w:val="24"/>
        </w:rPr>
        <w:t>Дополнительные расходы инвесторов на проведение обязательных мероприятий по лесовосстановлению</w:t>
      </w:r>
      <w:bookmarkEnd w:id="11"/>
      <w:r>
        <w:rPr>
          <w:b w:val="1"/>
          <w:i w:val="1"/>
          <w:color w:val="000000"/>
          <w:sz w:val="24"/>
        </w:rPr>
        <w:t>.</w:t>
      </w:r>
    </w:p>
    <w:p w14:paraId="BE070000">
      <w:pPr>
        <w:pStyle w:val="Style_2"/>
        <w:spacing w:after="0" w:before="0" w:line="240" w:lineRule="auto"/>
        <w:ind w:firstLine="709" w:left="0" w:right="0"/>
        <w:jc w:val="both"/>
        <w:rPr>
          <w:rFonts w:ascii="Times New Roman" w:hAnsi="Times New Roman"/>
          <w:color w:val="000000"/>
          <w:sz w:val="24"/>
        </w:rPr>
      </w:pPr>
      <w:r>
        <w:rPr>
          <w:color w:val="000000"/>
          <w:sz w:val="24"/>
        </w:rPr>
        <w:t xml:space="preserve">После осуществления рубки лесных насаждений или перевода земель лесного фонда в земли особо охраняемых территорий и объектов, заинтересованные лица обязаны обеспечить лесовосстановление или лесоразведение на площади, равной площади лесных земель, находящихся на таком земельном участке, исключаемом из состава земель лесного фонда. </w:t>
      </w:r>
    </w:p>
    <w:p w14:paraId="BF070000">
      <w:pPr>
        <w:pStyle w:val="Style_2"/>
        <w:spacing w:after="0" w:before="0" w:line="240" w:lineRule="auto"/>
        <w:ind w:firstLine="709" w:left="0" w:right="0"/>
        <w:jc w:val="both"/>
        <w:rPr>
          <w:rFonts w:ascii="Times New Roman" w:hAnsi="Times New Roman"/>
          <w:color w:val="000000"/>
          <w:sz w:val="24"/>
        </w:rPr>
      </w:pPr>
      <w:r>
        <w:rPr>
          <w:color w:val="000000"/>
          <w:sz w:val="24"/>
        </w:rPr>
        <w:t>В связи с этим, для осуществления на таких территориях рекреационной деятельности на резидентов ТОР возложена обязанность за свой счет проводить работы, включающие в себя разработку проекта лесовосстановления, закупку семян, посадку саженцев, сеянцев основных лесных древесных пород, выращенных в лесных питомниках, а также агротехнический уход за лесными растениями основных лесных древесных пород в течение трех лет с момента посадки. Данные мероприятия приводят к значительному увеличению расходов инвесторов. Причем, площадь застройки земельного участка зачастую существенно меньше площади земельного участка, переведенного из состава земель лесного фонда.</w:t>
      </w:r>
    </w:p>
    <w:p w14:paraId="C0070000">
      <w:pPr>
        <w:pStyle w:val="Style_2"/>
        <w:spacing w:after="0" w:before="0" w:line="240" w:lineRule="auto"/>
        <w:ind w:firstLine="709" w:left="0" w:right="0"/>
        <w:jc w:val="both"/>
        <w:rPr>
          <w:rFonts w:ascii="Times New Roman" w:hAnsi="Times New Roman"/>
          <w:color w:val="000000"/>
          <w:sz w:val="24"/>
        </w:rPr>
      </w:pPr>
      <w:r>
        <w:rPr>
          <w:i w:val="1"/>
          <w:color w:val="000000"/>
          <w:sz w:val="24"/>
          <w:u w:val="single"/>
        </w:rPr>
        <w:t>Предложения для решения указанной проблемы:</w:t>
      </w:r>
    </w:p>
    <w:p w14:paraId="C1070000">
      <w:pPr>
        <w:pStyle w:val="Style_2"/>
        <w:spacing w:after="0" w:before="0" w:line="240" w:lineRule="auto"/>
        <w:ind w:firstLine="709" w:left="0" w:right="0"/>
        <w:jc w:val="both"/>
        <w:rPr>
          <w:rFonts w:ascii="Times New Roman" w:hAnsi="Times New Roman"/>
          <w:color w:val="000000"/>
          <w:sz w:val="24"/>
        </w:rPr>
      </w:pPr>
      <w:bookmarkStart w:id="12" w:name="__DdeLink__4416_801775373"/>
      <w:r>
        <w:rPr>
          <w:color w:val="000000"/>
          <w:spacing w:val="0"/>
          <w:sz w:val="24"/>
        </w:rPr>
        <w:t>Рассмотрет</w:t>
      </w:r>
      <w:r>
        <w:rPr>
          <w:color w:val="000000"/>
          <w:sz w:val="24"/>
        </w:rPr>
        <w:t>ь возможность расчета площади на лесовосстановление, равной площади застройки земельного участка, либо предусмотреть освобождение резидентов ТОР, реализующих инвестиционные проекты на землях особо охраняемых территорий и объектов, от обязанности по лесовосстановлению</w:t>
      </w:r>
      <w:bookmarkEnd w:id="12"/>
      <w:r>
        <w:rPr>
          <w:color w:val="000000"/>
          <w:sz w:val="24"/>
        </w:rPr>
        <w:t>.</w:t>
      </w:r>
    </w:p>
    <w:p w14:paraId="C2070000">
      <w:pPr>
        <w:pStyle w:val="Style_2"/>
        <w:spacing w:after="0" w:before="0" w:line="240" w:lineRule="auto"/>
        <w:ind w:firstLine="709" w:left="0" w:right="0"/>
        <w:jc w:val="both"/>
        <w:rPr>
          <w:rFonts w:ascii="Times New Roman" w:hAnsi="Times New Roman"/>
          <w:color w:val="000000"/>
          <w:sz w:val="24"/>
        </w:rPr>
      </w:pPr>
      <w:r>
        <w:rPr>
          <w:b w:val="1"/>
          <w:i w:val="1"/>
          <w:color w:val="000000"/>
          <w:sz w:val="24"/>
        </w:rPr>
        <w:t>11)</w:t>
      </w:r>
      <w:r>
        <w:rPr>
          <w:color w:val="000000"/>
          <w:sz w:val="24"/>
        </w:rPr>
        <w:t xml:space="preserve"> </w:t>
      </w:r>
      <w:r>
        <w:rPr>
          <w:b w:val="1"/>
          <w:i w:val="1"/>
          <w:color w:val="000000"/>
          <w:sz w:val="24"/>
        </w:rPr>
        <w:t>Изменение концепции развития преференциального режима СПВ.</w:t>
      </w:r>
      <w:r>
        <w:rPr>
          <w:color w:val="000000"/>
          <w:sz w:val="24"/>
        </w:rPr>
        <w:t xml:space="preserve"> </w:t>
      </w:r>
    </w:p>
    <w:p w14:paraId="C3070000">
      <w:pPr>
        <w:pStyle w:val="Style_2"/>
        <w:widowControl w:val="1"/>
        <w:spacing w:after="0" w:before="0" w:line="240" w:lineRule="auto"/>
        <w:ind w:firstLine="709" w:left="0" w:right="0"/>
        <w:jc w:val="both"/>
        <w:rPr>
          <w:rFonts w:ascii="Times New Roman" w:hAnsi="Times New Roman"/>
          <w:color w:val="000000"/>
          <w:sz w:val="24"/>
        </w:rPr>
      </w:pPr>
      <w:r>
        <w:rPr>
          <w:color w:val="000000"/>
          <w:spacing w:val="0"/>
          <w:sz w:val="24"/>
        </w:rPr>
        <w:t xml:space="preserve">Учитывая внесенные 26.10.2020 изменения в земельное законодательство, исключающие возможность предоставления земельного участка резиденту СПВ без проведения торгов, обозначилось явное снижение инвестиций и интереса потенциальных резидентов. </w:t>
      </w:r>
    </w:p>
    <w:p w14:paraId="C4070000">
      <w:pPr>
        <w:pStyle w:val="Style_2"/>
        <w:widowControl w:val="1"/>
        <w:spacing w:after="0" w:before="0" w:line="240" w:lineRule="auto"/>
        <w:ind w:firstLine="709" w:left="0" w:right="0"/>
        <w:jc w:val="both"/>
        <w:rPr>
          <w:rFonts w:ascii="Times New Roman" w:hAnsi="Times New Roman"/>
          <w:color w:val="000000"/>
          <w:sz w:val="24"/>
        </w:rPr>
      </w:pPr>
      <w:bookmarkStart w:id="13" w:name="__DdeLink__4419_801775373"/>
      <w:r>
        <w:rPr>
          <w:color w:val="000000"/>
          <w:spacing w:val="0"/>
          <w:sz w:val="24"/>
        </w:rPr>
        <w:t>Период стагнации и последующего снижения инвестиций преференциального режима СПВ обусловлен отсутствием возможности использования новых территорий для потенциальных резидентов СПВ (территория СПВ ограничена Петропавловск-Камчатским городским округом)</w:t>
      </w:r>
      <w:bookmarkEnd w:id="13"/>
      <w:r>
        <w:rPr>
          <w:color w:val="000000"/>
          <w:spacing w:val="0"/>
          <w:sz w:val="24"/>
        </w:rPr>
        <w:t>.</w:t>
      </w:r>
    </w:p>
    <w:p w14:paraId="C5070000">
      <w:pPr>
        <w:pStyle w:val="Style_2"/>
        <w:spacing w:after="0" w:before="0" w:line="240" w:lineRule="auto"/>
        <w:ind w:firstLine="709" w:left="0" w:right="0"/>
        <w:jc w:val="both"/>
        <w:rPr>
          <w:rFonts w:ascii="Times New Roman" w:hAnsi="Times New Roman"/>
          <w:color w:val="000000"/>
          <w:sz w:val="24"/>
        </w:rPr>
      </w:pPr>
      <w:r>
        <w:rPr>
          <w:i w:val="1"/>
          <w:color w:val="000000"/>
          <w:spacing w:val="1"/>
          <w:sz w:val="24"/>
          <w:u w:val="single"/>
        </w:rPr>
        <w:t>Предложения для решения указанной проблемы:</w:t>
      </w:r>
    </w:p>
    <w:p w14:paraId="C6070000">
      <w:pPr>
        <w:pStyle w:val="Style_2"/>
        <w:spacing w:after="0" w:before="0" w:line="240" w:lineRule="auto"/>
        <w:ind w:firstLine="709" w:left="0" w:right="0"/>
        <w:jc w:val="both"/>
        <w:rPr>
          <w:rFonts w:ascii="Times New Roman" w:hAnsi="Times New Roman"/>
          <w:color w:val="000000"/>
          <w:sz w:val="24"/>
        </w:rPr>
      </w:pPr>
      <w:bookmarkStart w:id="14" w:name="__DdeLink__4421_801775373"/>
      <w:r>
        <w:rPr>
          <w:color w:val="000000"/>
          <w:sz w:val="24"/>
        </w:rPr>
        <w:t>Предлагается рассмотреть возможность внесения изменения в земельное законодательство, предусматривающее льготное предоставление земельных участков резиденту СПВ, с проведением дополнительной процедуры отбора заявляемых инвестиционных проектов, либо предусмотреть расширение границ преференциального режима СПВ на территорию Елизовского муниципального района и/или иные муниципальные образования Камчатского края</w:t>
      </w:r>
      <w:bookmarkEnd w:id="14"/>
      <w:r>
        <w:rPr>
          <w:color w:val="000000"/>
          <w:sz w:val="24"/>
        </w:rPr>
        <w:t>.</w:t>
      </w:r>
    </w:p>
    <w:sectPr>
      <w:headerReference r:id="rId1" w:type="default"/>
      <w:type w:val="nextPage"/>
      <w:pgSz w:h="16838" w:orient="portrait" w:w="11906"/>
      <w:pgMar w:bottom="1134" w:footer="0" w:gutter="0" w:header="426" w:left="1134" w:right="567" w:top="985"/>
      <w:pgNumType w:fmt="decimal" w:start="9"/>
    </w:sectPr>
  </w:body>
</w:document>
</file>

<file path=word/fontTable.xml><?xml version="1.0" encoding="utf-8"?>
<w:fonts xmlns:w="http://schemas.openxmlformats.org/wordprocessingml/2006/main">
  <w:font w:name="Cambria">
    <w:panose1 w:val="02040503050406030204"/>
    <w:charset w:val="00"/>
    <w:family w:val="auto"/>
    <w:pitch w:val="variable"/>
    <w:sig w:csb0="0000019F" w:csb1="00000000" w:usb0="E00002FF" w:usb1="400004FF" w:usb2="00000000" w:usb3="00000000"/>
  </w:font>
  <w:font w:name="ＭＳ 明朝">
    <w:panose1 w:val="00000000000000000000"/>
    <w:charset w:val="80"/>
    <w:family w:val="roman"/>
    <w:notTrueType/>
    <w:pitch w:val="fixed"/>
    <w:sig w:csb0="00020000" w:csb1="00000000" w:usb0="00000001" w:usb1="08070000" w:usb2="00000010" w:usb3="00000000"/>
  </w:font>
  <w:font w:name="Times New Roman">
    <w:panose1 w:val="02020603050405020304"/>
    <w:charset w:val="00"/>
    <w:family w:val="auto"/>
    <w:pitch w:val="variable"/>
    <w:sig w:csb0="00000001" w:csb1="00000000" w:usb0="00000003" w:usb1="00000000" w:usb2="00000000" w:usb3="00000000"/>
  </w:font>
  <w:font w:name="Calibri">
    <w:panose1 w:val="020F0502020204030204"/>
    <w:charset w:val="00"/>
    <w:family w:val="auto"/>
    <w:pitch w:val="variable"/>
    <w:sig w:csb0="0000019F" w:csb1="00000000" w:usb0="E10002FF" w:usb1="4000ACFF" w:usb2="00000009" w:usb3="00000000"/>
  </w:font>
  <w:font w:name="ＭＳ ゴシック">
    <w:panose1 w:val="00000000000000000000"/>
    <w:charset w:val="80"/>
    <w:family w:val="modern"/>
    <w:notTrueType/>
    <w:pitch w:val="fixed"/>
    <w:sig w:csb0="00020000" w:csb1="00000000" w:usb0="00000001" w:usb1="08070000" w:usb2="00000010" w:usb3="00000000"/>
  </w:font>
  <w:font w:name="Consolas">
    <w:panose1 w:val="020B0609020204030204"/>
    <w:charset w:val="00"/>
    <w:family w:val="auto"/>
    <w:pitch w:val="variable"/>
    <w:sig w:csb0="0000019F" w:csb1="00000000" w:usb0="E10002FF" w:usb1="4000FCFF" w:usb2="00000009" w:usb3="00000000"/>
  </w:font>
  <w:font w:name="Arial">
    <w:panose1 w:val="020B0604020202020204"/>
    <w:charset w:val="00"/>
    <w:family w:val="auto"/>
    <w:pitch w:val="variable"/>
    <w:sig w:csb0="00000001" w:csb1="00000000" w:usb0="00000003" w:usb1="00000000" w:usb2="00000000" w:usb3="00000000"/>
  </w:font>
</w:fonts>
</file>

<file path=word/header1.xml><?xml version="1.0" encoding="utf-8"?>
<w:hd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p>
    <w:pPr>
      <w:framePr w:hAnchor="margin" w:vAnchor="text" w:wrap="around" w:xAlign="left" w:y="1"/>
    </w:pPr>
    <w:r>
      <w:fldChar w:fldCharType="begin"/>
    </w:r>
    <w:r>
      <w:instrText xml:space="preserve">PAGE </w:instrText>
    </w:r>
    <w:r>
      <w:fldChar w:fldCharType="separate"/>
    </w:r>
    <w:r>
      <w:fldChar w:fldCharType="end"/>
    </w:r>
  </w:p>
  <w:p w14:paraId="01000000">
    <w:pPr>
      <w:pStyle w:val="Style_1"/>
      <w:ind/>
      <w:jc w:val="center"/>
      <w:rPr>
        <w:sz w:val="24"/>
      </w:rPr>
    </w:pPr>
    <w:r>
      <w:rPr>
        <w:sz w:val="24"/>
      </w:rPr>
      <mc:AlternateContent>
        <mc:Choice Requires="wps">
          <w:drawing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wp:anchor allowOverlap="true" behindDoc="true" distB="0" distL="0" distR="0" distT="0" layoutInCell="true" locked="false" relativeHeight="251658240" simplePos="false">
              <wp:simplePos x="0" y="0"/>
              <wp:positionH relativeFrom="margin">
                <wp:align>center</wp:align>
              </wp:positionH>
              <wp:positionV relativeFrom="paragraph">
                <wp:posOffset>635</wp:posOffset>
              </wp:positionV>
              <wp:extent cx="153035" cy="173990"/>
              <wp:wrapSquare distB="0" distL="0" distR="0" distT="0" wrapText="bothSides"/>
              <wp:docPr hidden="false" id="1" name="Picture 1"/>
              <a:graphic>
                <a:graphicData uri="http://schemas.microsoft.com/office/word/2010/wordprocessingShape">
                  <wps:wsp>
                    <wps:cNvSpPr txBox="false"/>
                    <wps:spPr>
                      <a:xfrm flipH="false" flipV="false" rot="0">
                        <a:off x="0" y="0"/>
                        <a:ext cx="153035" cy="173990"/>
                      </a:xfrm>
                      <a:prstGeom prst="rect">
                        <a:avLst/>
                      </a:prstGeom>
                      <a:noFill/>
                      <a:ln w="0">
                        <a:noFill/>
                      </a:ln>
                    </wps:spPr>
                    <wps:txbx>
                      <w:txbxContent>
                        <w:p w14:paraId="02000000">
                          <w:pPr>
                            <w:pStyle w:val="Style_2"/>
                          </w:pPr>
                        </w:p>
                      </w:txbxContent>
                    </wps:txbx>
                    <wps:bodyPr anchor="t" bIns="0" lIns="0" rIns="0" tIns="0">
                      <a:spAutoFit/>
                    </wps:bodyPr>
                  </wps:wsp>
                </a:graphicData>
              </a:graphic>
            </wp:anchor>
          </w:drawing>
        </mc:Choice>
        <mc:Fallback>
          <w:pic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Fallback>
      </mc:AlternateContent>
    </w:r>
  </w:p>
</w:hdr>
</file>

<file path=word/numbering.xml><?xml version="1.0" encoding="utf-8"?>
<w:numbering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abstractNum w:abstractNumId="0">
    <w:lvl w:ilvl="0">
      <w:start w:val="1"/>
      <w:numFmt w:val="bullet"/>
      <w:lvlText w:val=""/>
      <w:lvlJc w:val="left"/>
      <w:pPr>
        <w:tabs>
          <w:tab w:leader="none" w:pos="0" w:val="left"/>
        </w:tabs>
        <w:ind w:hanging="360" w:left="1429"/>
      </w:pPr>
      <w:rPr>
        <w:rFonts w:ascii="Symbol" w:hAnsi="Symbol"/>
      </w:rPr>
    </w:lvl>
    <w:lvl w:ilvl="1">
      <w:start w:val="1"/>
      <w:numFmt w:val="bullet"/>
      <w:lvlText w:val="o"/>
      <w:lvlJc w:val="left"/>
      <w:pPr>
        <w:tabs>
          <w:tab w:leader="none" w:pos="0" w:val="left"/>
        </w:tabs>
        <w:ind w:hanging="360" w:left="2149"/>
      </w:pPr>
      <w:rPr>
        <w:rFonts w:ascii="Courier New" w:hAnsi="Courier New"/>
      </w:rPr>
    </w:lvl>
    <w:lvl w:ilvl="2">
      <w:start w:val="1"/>
      <w:numFmt w:val="bullet"/>
      <w:lvlText w:val=""/>
      <w:lvlJc w:val="left"/>
      <w:pPr>
        <w:tabs>
          <w:tab w:leader="none" w:pos="0" w:val="left"/>
        </w:tabs>
        <w:ind w:hanging="360" w:left="2869"/>
      </w:pPr>
      <w:rPr>
        <w:rFonts w:ascii="Wingdings" w:hAnsi="Wingdings"/>
      </w:rPr>
    </w:lvl>
    <w:lvl w:ilvl="3">
      <w:start w:val="1"/>
      <w:numFmt w:val="bullet"/>
      <w:lvlText w:val=""/>
      <w:lvlJc w:val="left"/>
      <w:pPr>
        <w:tabs>
          <w:tab w:leader="none" w:pos="0" w:val="left"/>
        </w:tabs>
        <w:ind w:hanging="360" w:left="3589"/>
      </w:pPr>
      <w:rPr>
        <w:rFonts w:ascii="Symbol" w:hAnsi="Symbol"/>
      </w:rPr>
    </w:lvl>
    <w:lvl w:ilvl="4">
      <w:start w:val="1"/>
      <w:numFmt w:val="bullet"/>
      <w:lvlText w:val="o"/>
      <w:lvlJc w:val="left"/>
      <w:pPr>
        <w:tabs>
          <w:tab w:leader="none" w:pos="0" w:val="left"/>
        </w:tabs>
        <w:ind w:hanging="360" w:left="4309"/>
      </w:pPr>
      <w:rPr>
        <w:rFonts w:ascii="Courier New" w:hAnsi="Courier New"/>
      </w:rPr>
    </w:lvl>
    <w:lvl w:ilvl="5">
      <w:start w:val="1"/>
      <w:numFmt w:val="bullet"/>
      <w:lvlText w:val=""/>
      <w:lvlJc w:val="left"/>
      <w:pPr>
        <w:tabs>
          <w:tab w:leader="none" w:pos="0" w:val="left"/>
        </w:tabs>
        <w:ind w:hanging="360" w:left="5029"/>
      </w:pPr>
      <w:rPr>
        <w:rFonts w:ascii="Wingdings" w:hAnsi="Wingdings"/>
      </w:rPr>
    </w:lvl>
    <w:lvl w:ilvl="6">
      <w:start w:val="1"/>
      <w:numFmt w:val="bullet"/>
      <w:lvlText w:val=""/>
      <w:lvlJc w:val="left"/>
      <w:pPr>
        <w:tabs>
          <w:tab w:leader="none" w:pos="0" w:val="left"/>
        </w:tabs>
        <w:ind w:hanging="360" w:left="5749"/>
      </w:pPr>
      <w:rPr>
        <w:rFonts w:ascii="Symbol" w:hAnsi="Symbol"/>
      </w:rPr>
    </w:lvl>
    <w:lvl w:ilvl="7">
      <w:start w:val="1"/>
      <w:numFmt w:val="bullet"/>
      <w:lvlText w:val="o"/>
      <w:lvlJc w:val="left"/>
      <w:pPr>
        <w:tabs>
          <w:tab w:leader="none" w:pos="0" w:val="left"/>
        </w:tabs>
        <w:ind w:hanging="360" w:left="6469"/>
      </w:pPr>
      <w:rPr>
        <w:rFonts w:ascii="Courier New" w:hAnsi="Courier New"/>
      </w:rPr>
    </w:lvl>
    <w:lvl w:ilvl="8">
      <w:start w:val="1"/>
      <w:numFmt w:val="bullet"/>
      <w:lvlText w:val=""/>
      <w:lvlJc w:val="left"/>
      <w:pPr>
        <w:tabs>
          <w:tab w:leader="none" w:pos="0" w:val="left"/>
        </w:tabs>
        <w:ind w:hanging="360" w:left="7189"/>
      </w:pPr>
      <w:rPr>
        <w:rFonts w:ascii="Wingdings" w:hAnsi="Wingdings"/>
      </w:rPr>
    </w:lvl>
  </w:abstractNum>
  <w:abstractNum w:abstractNumId="1">
    <w:lvl w:ilvl="0">
      <w:start w:val="1"/>
      <w:numFmt w:val="bullet"/>
      <w:lvlText w:val="-"/>
      <w:lvlJc w:val="left"/>
      <w:pPr>
        <w:tabs>
          <w:tab w:leader="none" w:pos="0" w:val="left"/>
        </w:tabs>
        <w:ind w:hanging="360" w:left="1429"/>
      </w:pPr>
      <w:rPr>
        <w:rFonts w:ascii="Symbol" w:hAnsi="Symbol"/>
      </w:rPr>
    </w:lvl>
    <w:lvl w:ilvl="1">
      <w:start w:val="1"/>
      <w:numFmt w:val="bullet"/>
      <w:lvlText w:val="o"/>
      <w:lvlJc w:val="left"/>
      <w:pPr>
        <w:tabs>
          <w:tab w:leader="none" w:pos="0" w:val="left"/>
        </w:tabs>
        <w:ind w:hanging="360" w:left="2149"/>
      </w:pPr>
      <w:rPr>
        <w:rFonts w:ascii="Courier New" w:hAnsi="Courier New"/>
      </w:rPr>
    </w:lvl>
    <w:lvl w:ilvl="2">
      <w:start w:val="1"/>
      <w:numFmt w:val="bullet"/>
      <w:lvlText w:val=""/>
      <w:lvlJc w:val="left"/>
      <w:pPr>
        <w:tabs>
          <w:tab w:leader="none" w:pos="0" w:val="left"/>
        </w:tabs>
        <w:ind w:hanging="360" w:left="2869"/>
      </w:pPr>
      <w:rPr>
        <w:rFonts w:ascii="Wingdings" w:hAnsi="Wingdings"/>
      </w:rPr>
    </w:lvl>
    <w:lvl w:ilvl="3">
      <w:start w:val="1"/>
      <w:numFmt w:val="bullet"/>
      <w:lvlText w:val=""/>
      <w:lvlJc w:val="left"/>
      <w:pPr>
        <w:tabs>
          <w:tab w:leader="none" w:pos="0" w:val="left"/>
        </w:tabs>
        <w:ind w:hanging="360" w:left="3589"/>
      </w:pPr>
      <w:rPr>
        <w:rFonts w:ascii="Symbol" w:hAnsi="Symbol"/>
      </w:rPr>
    </w:lvl>
    <w:lvl w:ilvl="4">
      <w:start w:val="1"/>
      <w:numFmt w:val="bullet"/>
      <w:lvlText w:val="o"/>
      <w:lvlJc w:val="left"/>
      <w:pPr>
        <w:tabs>
          <w:tab w:leader="none" w:pos="0" w:val="left"/>
        </w:tabs>
        <w:ind w:hanging="360" w:left="4309"/>
      </w:pPr>
      <w:rPr>
        <w:rFonts w:ascii="Courier New" w:hAnsi="Courier New"/>
      </w:rPr>
    </w:lvl>
    <w:lvl w:ilvl="5">
      <w:start w:val="1"/>
      <w:numFmt w:val="bullet"/>
      <w:lvlText w:val=""/>
      <w:lvlJc w:val="left"/>
      <w:pPr>
        <w:tabs>
          <w:tab w:leader="none" w:pos="0" w:val="left"/>
        </w:tabs>
        <w:ind w:hanging="360" w:left="5029"/>
      </w:pPr>
      <w:rPr>
        <w:rFonts w:ascii="Wingdings" w:hAnsi="Wingdings"/>
      </w:rPr>
    </w:lvl>
    <w:lvl w:ilvl="6">
      <w:start w:val="1"/>
      <w:numFmt w:val="bullet"/>
      <w:lvlText w:val=""/>
      <w:lvlJc w:val="left"/>
      <w:pPr>
        <w:tabs>
          <w:tab w:leader="none" w:pos="0" w:val="left"/>
        </w:tabs>
        <w:ind w:hanging="360" w:left="5749"/>
      </w:pPr>
      <w:rPr>
        <w:rFonts w:ascii="Symbol" w:hAnsi="Symbol"/>
      </w:rPr>
    </w:lvl>
    <w:lvl w:ilvl="7">
      <w:start w:val="1"/>
      <w:numFmt w:val="bullet"/>
      <w:lvlText w:val="o"/>
      <w:lvlJc w:val="left"/>
      <w:pPr>
        <w:tabs>
          <w:tab w:leader="none" w:pos="0" w:val="left"/>
        </w:tabs>
        <w:ind w:hanging="360" w:left="6469"/>
      </w:pPr>
      <w:rPr>
        <w:rFonts w:ascii="Courier New" w:hAnsi="Courier New"/>
      </w:rPr>
    </w:lvl>
    <w:lvl w:ilvl="8">
      <w:start w:val="1"/>
      <w:numFmt w:val="bullet"/>
      <w:lvlText w:val=""/>
      <w:lvlJc w:val="left"/>
      <w:pPr>
        <w:tabs>
          <w:tab w:leader="none" w:pos="0" w:val="left"/>
        </w:tabs>
        <w:ind w:hanging="360" w:left="7189"/>
      </w:pPr>
      <w:rPr>
        <w:rFonts w:ascii="Wingdings" w:hAnsi="Wingdings"/>
      </w:rPr>
    </w:lvl>
  </w:abstractNum>
  <w:abstractNum w:abstractNumId="2">
    <w:lvl w:ilvl="0">
      <w:start w:val="1"/>
      <w:numFmt w:val="bullet"/>
      <w:lvlText w:val=""/>
      <w:lvlJc w:val="left"/>
      <w:pPr>
        <w:tabs>
          <w:tab w:leader="none" w:pos="0" w:val="left"/>
        </w:tabs>
        <w:ind w:hanging="360" w:left="502"/>
      </w:pPr>
      <w:rPr>
        <w:rFonts w:ascii="Symbol" w:hAnsi="Symbol"/>
      </w:rPr>
    </w:lvl>
    <w:lvl w:ilvl="1">
      <w:start w:val="1"/>
      <w:numFmt w:val="bullet"/>
      <w:lvlText w:val="o"/>
      <w:lvlJc w:val="left"/>
      <w:pPr>
        <w:tabs>
          <w:tab w:leader="none" w:pos="0" w:val="left"/>
        </w:tabs>
        <w:ind w:hanging="360" w:left="1222"/>
      </w:pPr>
      <w:rPr>
        <w:rFonts w:ascii="Courier New" w:hAnsi="Courier New"/>
      </w:rPr>
    </w:lvl>
    <w:lvl w:ilvl="2">
      <w:start w:val="1"/>
      <w:numFmt w:val="bullet"/>
      <w:lvlText w:val=""/>
      <w:lvlJc w:val="left"/>
      <w:pPr>
        <w:tabs>
          <w:tab w:leader="none" w:pos="0" w:val="left"/>
        </w:tabs>
        <w:ind w:hanging="360" w:left="1942"/>
      </w:pPr>
      <w:rPr>
        <w:rFonts w:ascii="Wingdings" w:hAnsi="Wingdings"/>
      </w:rPr>
    </w:lvl>
    <w:lvl w:ilvl="3">
      <w:start w:val="1"/>
      <w:numFmt w:val="bullet"/>
      <w:lvlText w:val=""/>
      <w:lvlJc w:val="left"/>
      <w:pPr>
        <w:tabs>
          <w:tab w:leader="none" w:pos="0" w:val="left"/>
        </w:tabs>
        <w:ind w:hanging="360" w:left="2662"/>
      </w:pPr>
      <w:rPr>
        <w:rFonts w:ascii="Symbol" w:hAnsi="Symbol"/>
      </w:rPr>
    </w:lvl>
    <w:lvl w:ilvl="4">
      <w:start w:val="1"/>
      <w:numFmt w:val="bullet"/>
      <w:lvlText w:val="o"/>
      <w:lvlJc w:val="left"/>
      <w:pPr>
        <w:tabs>
          <w:tab w:leader="none" w:pos="0" w:val="left"/>
        </w:tabs>
        <w:ind w:hanging="360" w:left="3382"/>
      </w:pPr>
      <w:rPr>
        <w:rFonts w:ascii="Courier New" w:hAnsi="Courier New"/>
      </w:rPr>
    </w:lvl>
    <w:lvl w:ilvl="5">
      <w:start w:val="1"/>
      <w:numFmt w:val="bullet"/>
      <w:lvlText w:val=""/>
      <w:lvlJc w:val="left"/>
      <w:pPr>
        <w:tabs>
          <w:tab w:leader="none" w:pos="0" w:val="left"/>
        </w:tabs>
        <w:ind w:hanging="360" w:left="4102"/>
      </w:pPr>
      <w:rPr>
        <w:rFonts w:ascii="Wingdings" w:hAnsi="Wingdings"/>
      </w:rPr>
    </w:lvl>
    <w:lvl w:ilvl="6">
      <w:start w:val="1"/>
      <w:numFmt w:val="bullet"/>
      <w:lvlText w:val=""/>
      <w:lvlJc w:val="left"/>
      <w:pPr>
        <w:tabs>
          <w:tab w:leader="none" w:pos="0" w:val="left"/>
        </w:tabs>
        <w:ind w:hanging="360" w:left="4822"/>
      </w:pPr>
      <w:rPr>
        <w:rFonts w:ascii="Symbol" w:hAnsi="Symbol"/>
      </w:rPr>
    </w:lvl>
    <w:lvl w:ilvl="7">
      <w:start w:val="1"/>
      <w:numFmt w:val="bullet"/>
      <w:lvlText w:val="o"/>
      <w:lvlJc w:val="left"/>
      <w:pPr>
        <w:tabs>
          <w:tab w:leader="none" w:pos="0" w:val="left"/>
        </w:tabs>
        <w:ind w:hanging="360" w:left="5542"/>
      </w:pPr>
      <w:rPr>
        <w:rFonts w:ascii="Courier New" w:hAnsi="Courier New"/>
      </w:rPr>
    </w:lvl>
    <w:lvl w:ilvl="8">
      <w:start w:val="1"/>
      <w:numFmt w:val="bullet"/>
      <w:lvlText w:val=""/>
      <w:lvlJc w:val="left"/>
      <w:pPr>
        <w:tabs>
          <w:tab w:leader="none" w:pos="0" w:val="left"/>
        </w:tabs>
        <w:ind w:hanging="360" w:left="6262"/>
      </w:pPr>
      <w:rPr>
        <w:rFonts w:ascii="Wingdings" w:hAnsi="Wingdings"/>
      </w:rPr>
    </w:lvl>
  </w:abstractNum>
  <w:abstractNum w:abstractNumId="3">
    <w:lvl w:ilvl="0">
      <w:start w:val="1"/>
      <w:numFmt w:val="bullet"/>
      <w:lvlText w:val="-"/>
      <w:lvlJc w:val="left"/>
      <w:pPr>
        <w:tabs>
          <w:tab w:leader="none" w:pos="0" w:val="left"/>
        </w:tabs>
        <w:ind w:hanging="360" w:left="1429"/>
      </w:pPr>
      <w:rPr>
        <w:rFonts w:ascii="Symbol" w:hAnsi="Symbol"/>
      </w:rPr>
    </w:lvl>
    <w:lvl w:ilvl="1">
      <w:start w:val="1"/>
      <w:numFmt w:val="bullet"/>
      <w:lvlText w:val="o"/>
      <w:lvlJc w:val="left"/>
      <w:pPr>
        <w:tabs>
          <w:tab w:leader="none" w:pos="0" w:val="left"/>
        </w:tabs>
        <w:ind w:hanging="360" w:left="2149"/>
      </w:pPr>
      <w:rPr>
        <w:rFonts w:ascii="Courier New" w:hAnsi="Courier New"/>
      </w:rPr>
    </w:lvl>
    <w:lvl w:ilvl="2">
      <w:start w:val="1"/>
      <w:numFmt w:val="bullet"/>
      <w:lvlText w:val=""/>
      <w:lvlJc w:val="left"/>
      <w:pPr>
        <w:tabs>
          <w:tab w:leader="none" w:pos="0" w:val="left"/>
        </w:tabs>
        <w:ind w:hanging="360" w:left="2869"/>
      </w:pPr>
      <w:rPr>
        <w:rFonts w:ascii="Wingdings" w:hAnsi="Wingdings"/>
      </w:rPr>
    </w:lvl>
    <w:lvl w:ilvl="3">
      <w:start w:val="1"/>
      <w:numFmt w:val="bullet"/>
      <w:lvlText w:val=""/>
      <w:lvlJc w:val="left"/>
      <w:pPr>
        <w:tabs>
          <w:tab w:leader="none" w:pos="0" w:val="left"/>
        </w:tabs>
        <w:ind w:hanging="360" w:left="3589"/>
      </w:pPr>
      <w:rPr>
        <w:rFonts w:ascii="Symbol" w:hAnsi="Symbol"/>
      </w:rPr>
    </w:lvl>
    <w:lvl w:ilvl="4">
      <w:start w:val="1"/>
      <w:numFmt w:val="bullet"/>
      <w:lvlText w:val="o"/>
      <w:lvlJc w:val="left"/>
      <w:pPr>
        <w:tabs>
          <w:tab w:leader="none" w:pos="0" w:val="left"/>
        </w:tabs>
        <w:ind w:hanging="360" w:left="4309"/>
      </w:pPr>
      <w:rPr>
        <w:rFonts w:ascii="Courier New" w:hAnsi="Courier New"/>
      </w:rPr>
    </w:lvl>
    <w:lvl w:ilvl="5">
      <w:start w:val="1"/>
      <w:numFmt w:val="bullet"/>
      <w:lvlText w:val=""/>
      <w:lvlJc w:val="left"/>
      <w:pPr>
        <w:tabs>
          <w:tab w:leader="none" w:pos="0" w:val="left"/>
        </w:tabs>
        <w:ind w:hanging="360" w:left="5029"/>
      </w:pPr>
      <w:rPr>
        <w:rFonts w:ascii="Wingdings" w:hAnsi="Wingdings"/>
      </w:rPr>
    </w:lvl>
    <w:lvl w:ilvl="6">
      <w:start w:val="1"/>
      <w:numFmt w:val="bullet"/>
      <w:lvlText w:val=""/>
      <w:lvlJc w:val="left"/>
      <w:pPr>
        <w:tabs>
          <w:tab w:leader="none" w:pos="0" w:val="left"/>
        </w:tabs>
        <w:ind w:hanging="360" w:left="5749"/>
      </w:pPr>
      <w:rPr>
        <w:rFonts w:ascii="Symbol" w:hAnsi="Symbol"/>
      </w:rPr>
    </w:lvl>
    <w:lvl w:ilvl="7">
      <w:start w:val="1"/>
      <w:numFmt w:val="bullet"/>
      <w:lvlText w:val="o"/>
      <w:lvlJc w:val="left"/>
      <w:pPr>
        <w:tabs>
          <w:tab w:leader="none" w:pos="0" w:val="left"/>
        </w:tabs>
        <w:ind w:hanging="360" w:left="6469"/>
      </w:pPr>
      <w:rPr>
        <w:rFonts w:ascii="Courier New" w:hAnsi="Courier New"/>
      </w:rPr>
    </w:lvl>
    <w:lvl w:ilvl="8">
      <w:start w:val="1"/>
      <w:numFmt w:val="bullet"/>
      <w:lvlText w:val=""/>
      <w:lvlJc w:val="left"/>
      <w:pPr>
        <w:tabs>
          <w:tab w:leader="none" w:pos="0" w:val="left"/>
        </w:tabs>
        <w:ind w:hanging="360" w:left="7189"/>
      </w:pPr>
      <w:rPr>
        <w:rFonts w:ascii="Wingdings" w:hAnsi="Wingdings"/>
      </w:rPr>
    </w:lvl>
  </w:abstractNum>
  <w:abstractNum w:abstractNumId="4">
    <w:lvl w:ilvl="0">
      <w:start w:val="1"/>
      <w:numFmt w:val="bullet"/>
      <w:lvlText w:val="-"/>
      <w:lvlJc w:val="left"/>
      <w:pPr>
        <w:tabs>
          <w:tab w:leader="none" w:pos="0" w:val="left"/>
        </w:tabs>
        <w:ind w:hanging="360" w:left="1429"/>
      </w:pPr>
      <w:rPr>
        <w:rFonts w:ascii="Symbol" w:hAnsi="Symbol"/>
      </w:rPr>
    </w:lvl>
    <w:lvl w:ilvl="1">
      <w:start w:val="1"/>
      <w:numFmt w:val="bullet"/>
      <w:lvlText w:val="o"/>
      <w:lvlJc w:val="left"/>
      <w:pPr>
        <w:tabs>
          <w:tab w:leader="none" w:pos="0" w:val="left"/>
        </w:tabs>
        <w:ind w:hanging="360" w:left="2149"/>
      </w:pPr>
      <w:rPr>
        <w:rFonts w:ascii="Courier New" w:hAnsi="Courier New"/>
      </w:rPr>
    </w:lvl>
    <w:lvl w:ilvl="2">
      <w:start w:val="1"/>
      <w:numFmt w:val="bullet"/>
      <w:lvlText w:val=""/>
      <w:lvlJc w:val="left"/>
      <w:pPr>
        <w:tabs>
          <w:tab w:leader="none" w:pos="0" w:val="left"/>
        </w:tabs>
        <w:ind w:hanging="360" w:left="2869"/>
      </w:pPr>
      <w:rPr>
        <w:rFonts w:ascii="Wingdings" w:hAnsi="Wingdings"/>
      </w:rPr>
    </w:lvl>
    <w:lvl w:ilvl="3">
      <w:start w:val="1"/>
      <w:numFmt w:val="bullet"/>
      <w:lvlText w:val=""/>
      <w:lvlJc w:val="left"/>
      <w:pPr>
        <w:tabs>
          <w:tab w:leader="none" w:pos="0" w:val="left"/>
        </w:tabs>
        <w:ind w:hanging="360" w:left="3589"/>
      </w:pPr>
      <w:rPr>
        <w:rFonts w:ascii="Symbol" w:hAnsi="Symbol"/>
      </w:rPr>
    </w:lvl>
    <w:lvl w:ilvl="4">
      <w:start w:val="1"/>
      <w:numFmt w:val="bullet"/>
      <w:lvlText w:val="o"/>
      <w:lvlJc w:val="left"/>
      <w:pPr>
        <w:tabs>
          <w:tab w:leader="none" w:pos="0" w:val="left"/>
        </w:tabs>
        <w:ind w:hanging="360" w:left="4309"/>
      </w:pPr>
      <w:rPr>
        <w:rFonts w:ascii="Courier New" w:hAnsi="Courier New"/>
      </w:rPr>
    </w:lvl>
    <w:lvl w:ilvl="5">
      <w:start w:val="1"/>
      <w:numFmt w:val="bullet"/>
      <w:lvlText w:val=""/>
      <w:lvlJc w:val="left"/>
      <w:pPr>
        <w:tabs>
          <w:tab w:leader="none" w:pos="0" w:val="left"/>
        </w:tabs>
        <w:ind w:hanging="360" w:left="5029"/>
      </w:pPr>
      <w:rPr>
        <w:rFonts w:ascii="Wingdings" w:hAnsi="Wingdings"/>
      </w:rPr>
    </w:lvl>
    <w:lvl w:ilvl="6">
      <w:start w:val="1"/>
      <w:numFmt w:val="bullet"/>
      <w:lvlText w:val=""/>
      <w:lvlJc w:val="left"/>
      <w:pPr>
        <w:tabs>
          <w:tab w:leader="none" w:pos="0" w:val="left"/>
        </w:tabs>
        <w:ind w:hanging="360" w:left="5749"/>
      </w:pPr>
      <w:rPr>
        <w:rFonts w:ascii="Symbol" w:hAnsi="Symbol"/>
      </w:rPr>
    </w:lvl>
    <w:lvl w:ilvl="7">
      <w:start w:val="1"/>
      <w:numFmt w:val="bullet"/>
      <w:lvlText w:val="o"/>
      <w:lvlJc w:val="left"/>
      <w:pPr>
        <w:tabs>
          <w:tab w:leader="none" w:pos="0" w:val="left"/>
        </w:tabs>
        <w:ind w:hanging="360" w:left="6469"/>
      </w:pPr>
      <w:rPr>
        <w:rFonts w:ascii="Courier New" w:hAnsi="Courier New"/>
      </w:rPr>
    </w:lvl>
    <w:lvl w:ilvl="8">
      <w:start w:val="1"/>
      <w:numFmt w:val="bullet"/>
      <w:lvlText w:val=""/>
      <w:lvlJc w:val="left"/>
      <w:pPr>
        <w:tabs>
          <w:tab w:leader="none" w:pos="0" w:val="left"/>
        </w:tabs>
        <w:ind w:hanging="360" w:left="7189"/>
      </w:pPr>
      <w:rPr>
        <w:rFonts w:ascii="Wingdings" w:hAnsi="Wingdings"/>
      </w:r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defaultTabStop w:val="708"/>
  <w:compat>
    <w:compatSetting w:name="compatibilityMode" w:uri="http://schemas.microsoft.com/office/word" w:val="15"/>
  </w:compat>
  <w:clrSchemeMapping w:accent1="accent1" w:accent2="accent2" w:accent3="accent3" w:accent4="accent4" w:accent5="accent5" w:accent6="accent6" w:bg1="light1" w:bg2="light2" w:followedHyperlink="followedHyperlink" w:hyperlink="hyperlink" w:t1="dark1" w:t2="dark2"/>
</w:settings>
</file>

<file path=word/styles.xml><?xml version="1.0" encoding="utf-8"?>
<w:style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docDefaults>
    <w:rPrDefault>
      <w:rPr>
        <w:rFonts w:ascii="Times New Roman" w:hAnsi="Times New Roman"/>
        <w:color w:val="000000"/>
        <w:spacing w:val="0"/>
        <w:sz w:val="20"/>
      </w:rPr>
    </w:rPrDefault>
    <w:pPrDefault>
      <w:pPr>
        <w:spacing w:after="0" w:before="0" w:line="240" w:lineRule="auto"/>
        <w:ind w:firstLine="0" w:left="0" w:right="0"/>
        <w:jc w:val="left"/>
      </w:pPr>
    </w:pPrDefault>
  </w:docDefaults>
  <w:latentStyles w:count="24"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semiHidden="0" w:uiPriority="9" w:unhideWhenUsed="0"/>
    <w:lsdException w:name="heading 3" w:qFormat="1" w:semiHidden="0" w:uiPriority="9" w:unhideWhenUsed="0"/>
    <w:lsdException w:name="heading 4" w:qFormat="1" w:semiHidden="0" w:uiPriority="9" w:unhideWhenUsed="0"/>
    <w:lsdException w:name="heading 5" w:qFormat="1" w:semiHidden="0" w:uiPriority="9" w:unhideWhenUsed="0"/>
    <w:lsdException w:name="heading 6" w:qFormat="1" w:semiHidden="0" w:uiPriority="9" w:unhideWhenUsed="0"/>
    <w:lsdException w:name="heading 7" w:qFormat="1" w:semiHidden="0" w:uiPriority="9" w:unhideWhenUsed="0"/>
    <w:lsdException w:name="heading 8" w:qFormat="1" w:semiHidden="1" w:uiPriority="9" w:unhideWhenUsed="1"/>
    <w:lsdException w:name="heading 9" w:qFormat="1" w:semiHidden="1" w:uiPriority="9" w:unhideWhenUsed="1"/>
    <w:lsdException w:name="Title" w:qFormat="1" w:semiHidden="0" w:uiPriority="10" w:unhideWhenUsed="0"/>
    <w:lsdException w:name="Subtitle" w:qFormat="1" w:semiHidden="0" w:uiPriority="11" w:unhideWhenUsed="0"/>
    <w:lsdException w:name="Header and Footer" w:qFormat="0" w:semiHidden="0" w:unhideWhenUsed="0"/>
    <w:lsdException w:name="Footnote" w:qFormat="0" w:semiHidden="0" w:unhideWhenUsed="0"/>
    <w:lsdException w:name="toc 1" w:qFormat="0" w:semiHidden="0" w:uiPriority="39" w:unhideWhenUsed="0"/>
    <w:lsdException w:name="toc 2" w:qFormat="0" w:semiHidden="0" w:uiPriority="39" w:unhideWhenUsed="0"/>
    <w:lsdException w:name="toc 3" w:qFormat="0" w:semiHidden="0" w:uiPriority="39" w:unhideWhenUsed="0"/>
    <w:lsdException w:name="toc 4" w:qFormat="0" w:semiHidden="0" w:uiPriority="39" w:unhideWhenUsed="0"/>
    <w:lsdException w:name="toc 5" w:qFormat="0" w:semiHidden="0" w:uiPriority="39" w:unhideWhenUsed="0"/>
    <w:lsdException w:name="toc 6" w:qFormat="0" w:semiHidden="0" w:uiPriority="39" w:unhideWhenUsed="0"/>
    <w:lsdException w:name="toc 7" w:qFormat="0" w:semiHidden="0" w:uiPriority="39" w:unhideWhenUsed="0"/>
    <w:lsdException w:name="toc 8" w:qFormat="0" w:semiHidden="0" w:uiPriority="39" w:unhideWhenUsed="0"/>
    <w:lsdException w:name="toc 9" w:qFormat="0" w:semiHidden="0" w:uiPriority="39" w:unhideWhenUsed="0"/>
    <w:lsdException w:name="Hyperlink" w:qFormat="0" w:semiHidden="0" w:unhideWhenUsed="0"/>
  </w:latentStyles>
  <w:style w:default="1" w:styleId="Style_2" w:type="paragraph">
    <w:name w:val="Normal"/>
    <w:link w:val="Style_2_ch"/>
    <w:uiPriority w:val="0"/>
    <w:qFormat/>
    <w:pPr>
      <w:widowControl w:val="1"/>
      <w:spacing w:after="0" w:before="0" w:line="240" w:lineRule="auto"/>
      <w:ind w:firstLine="0" w:left="0" w:right="0"/>
      <w:jc w:val="left"/>
    </w:pPr>
    <w:rPr>
      <w:rFonts w:ascii="Times New Roman" w:hAnsi="Times New Roman"/>
      <w:color w:val="000000"/>
      <w:spacing w:val="0"/>
      <w:sz w:val="24"/>
    </w:rPr>
  </w:style>
  <w:style w:default="1" w:styleId="Style_2_ch" w:type="character">
    <w:name w:val="Normal"/>
    <w:link w:val="Style_2"/>
    <w:rPr>
      <w:rFonts w:ascii="Times New Roman" w:hAnsi="Times New Roman"/>
      <w:color w:val="000000"/>
      <w:spacing w:val="0"/>
      <w:sz w:val="24"/>
    </w:rPr>
  </w:style>
  <w:style w:styleId="Style_8" w:type="paragraph">
    <w:name w:val="Contents 11"/>
    <w:link w:val="Style_8_ch"/>
    <w:rPr>
      <w:rFonts w:ascii="XO Thames" w:hAnsi="XO Thames"/>
      <w:b w:val="1"/>
      <w:color w:val="000000"/>
      <w:spacing w:val="0"/>
      <w:sz w:val="28"/>
    </w:rPr>
  </w:style>
  <w:style w:styleId="Style_8_ch" w:type="character">
    <w:name w:val="Contents 11"/>
    <w:link w:val="Style_8"/>
    <w:rPr>
      <w:rFonts w:ascii="XO Thames" w:hAnsi="XO Thames"/>
      <w:b w:val="1"/>
      <w:color w:val="000000"/>
      <w:spacing w:val="0"/>
      <w:sz w:val="28"/>
    </w:rPr>
  </w:style>
  <w:style w:styleId="Style_9" w:type="paragraph">
    <w:name w:val="toc 2"/>
    <w:next w:val="Style_2"/>
    <w:link w:val="Style_9_ch"/>
    <w:uiPriority w:val="39"/>
    <w:pPr>
      <w:widowControl w:val="1"/>
      <w:spacing w:after="0" w:before="0" w:line="240" w:lineRule="auto"/>
      <w:ind w:firstLine="0" w:left="200" w:right="0"/>
      <w:jc w:val="left"/>
    </w:pPr>
    <w:rPr>
      <w:rFonts w:ascii="XO Thames" w:hAnsi="XO Thames"/>
      <w:color w:val="000000"/>
      <w:spacing w:val="0"/>
      <w:sz w:val="28"/>
    </w:rPr>
  </w:style>
  <w:style w:styleId="Style_9_ch" w:type="character">
    <w:name w:val="toc 2"/>
    <w:link w:val="Style_9"/>
    <w:rPr>
      <w:rFonts w:ascii="XO Thames" w:hAnsi="XO Thames"/>
      <w:color w:val="000000"/>
      <w:spacing w:val="0"/>
      <w:sz w:val="28"/>
    </w:rPr>
  </w:style>
  <w:style w:styleId="Style_10" w:type="paragraph">
    <w:name w:val="Heading 21"/>
    <w:link w:val="Style_10_ch"/>
    <w:rPr>
      <w:b w:val="1"/>
      <w:sz w:val="26"/>
    </w:rPr>
  </w:style>
  <w:style w:styleId="Style_10_ch" w:type="character">
    <w:name w:val="Heading 21"/>
    <w:link w:val="Style_10"/>
    <w:rPr>
      <w:b w:val="1"/>
      <w:sz w:val="26"/>
    </w:rPr>
  </w:style>
  <w:style w:styleId="Style_11" w:type="paragraph">
    <w:name w:val="Содержимое врезки1"/>
    <w:basedOn w:val="Style_2"/>
    <w:link w:val="Style_11_ch"/>
  </w:style>
  <w:style w:styleId="Style_11_ch" w:type="character">
    <w:name w:val="Содержимое врезки1"/>
    <w:basedOn w:val="Style_2_ch"/>
    <w:link w:val="Style_11"/>
  </w:style>
  <w:style w:styleId="Style_12" w:type="paragraph">
    <w:name w:val="No Spacing1"/>
    <w:link w:val="Style_12_ch"/>
    <w:pPr>
      <w:widowControl w:val="1"/>
      <w:spacing w:after="0" w:before="0" w:line="240" w:lineRule="auto"/>
      <w:ind w:firstLine="0" w:left="0" w:right="0"/>
      <w:jc w:val="left"/>
    </w:pPr>
    <w:rPr>
      <w:rFonts w:ascii="Calibri" w:hAnsi="Calibri"/>
      <w:color w:val="000000"/>
      <w:spacing w:val="0"/>
      <w:sz w:val="22"/>
    </w:rPr>
  </w:style>
  <w:style w:styleId="Style_12_ch" w:type="character">
    <w:name w:val="No Spacing1"/>
    <w:link w:val="Style_12"/>
    <w:rPr>
      <w:rFonts w:ascii="Calibri" w:hAnsi="Calibri"/>
      <w:color w:val="000000"/>
      <w:spacing w:val="0"/>
      <w:sz w:val="22"/>
    </w:rPr>
  </w:style>
  <w:style w:styleId="Style_13" w:type="paragraph">
    <w:name w:val="index heading1"/>
    <w:basedOn w:val="Style_2"/>
    <w:link w:val="Style_13_ch"/>
  </w:style>
  <w:style w:styleId="Style_13_ch" w:type="character">
    <w:name w:val="index heading1"/>
    <w:basedOn w:val="Style_2_ch"/>
    <w:link w:val="Style_13"/>
  </w:style>
  <w:style w:styleId="Style_14" w:type="paragraph">
    <w:name w:val="toc 4"/>
    <w:next w:val="Style_2"/>
    <w:link w:val="Style_14_ch"/>
    <w:uiPriority w:val="39"/>
    <w:pPr>
      <w:widowControl w:val="1"/>
      <w:spacing w:after="0" w:before="0" w:line="240" w:lineRule="auto"/>
      <w:ind w:firstLine="0" w:left="600" w:right="0"/>
      <w:jc w:val="left"/>
    </w:pPr>
    <w:rPr>
      <w:rFonts w:ascii="XO Thames" w:hAnsi="XO Thames"/>
      <w:color w:val="000000"/>
      <w:spacing w:val="0"/>
      <w:sz w:val="28"/>
    </w:rPr>
  </w:style>
  <w:style w:styleId="Style_14_ch" w:type="character">
    <w:name w:val="toc 4"/>
    <w:link w:val="Style_14"/>
    <w:rPr>
      <w:rFonts w:ascii="XO Thames" w:hAnsi="XO Thames"/>
      <w:color w:val="000000"/>
      <w:spacing w:val="0"/>
      <w:sz w:val="28"/>
    </w:rPr>
  </w:style>
  <w:style w:styleId="Style_15" w:type="paragraph">
    <w:name w:val="Указатель11"/>
    <w:basedOn w:val="Style_2"/>
    <w:link w:val="Style_15_ch"/>
  </w:style>
  <w:style w:styleId="Style_15_ch" w:type="character">
    <w:name w:val="Указатель11"/>
    <w:basedOn w:val="Style_2_ch"/>
    <w:link w:val="Style_15"/>
  </w:style>
  <w:style w:styleId="Style_16" w:type="paragraph">
    <w:name w:val="Title1"/>
    <w:link w:val="Style_16_ch"/>
    <w:rPr>
      <w:rFonts w:ascii="XO Thames" w:hAnsi="XO Thames"/>
      <w:b w:val="1"/>
      <w:caps w:val="1"/>
      <w:color w:val="000000"/>
      <w:sz w:val="40"/>
    </w:rPr>
  </w:style>
  <w:style w:styleId="Style_16_ch" w:type="character">
    <w:name w:val="Title1"/>
    <w:link w:val="Style_16"/>
    <w:rPr>
      <w:rFonts w:ascii="XO Thames" w:hAnsi="XO Thames"/>
      <w:b w:val="1"/>
      <w:caps w:val="1"/>
      <w:color w:val="000000"/>
      <w:sz w:val="40"/>
    </w:rPr>
  </w:style>
  <w:style w:styleId="Style_17" w:type="paragraph">
    <w:name w:val="Contents 12"/>
    <w:link w:val="Style_17_ch"/>
    <w:pPr>
      <w:widowControl w:val="1"/>
      <w:spacing w:after="0" w:before="0" w:line="240" w:lineRule="auto"/>
      <w:ind w:firstLine="0" w:left="0" w:right="0"/>
      <w:jc w:val="left"/>
    </w:pPr>
    <w:rPr>
      <w:rFonts w:ascii="XO Thames" w:hAnsi="XO Thames"/>
      <w:b w:val="1"/>
      <w:color w:val="000000"/>
      <w:spacing w:val="0"/>
      <w:sz w:val="28"/>
    </w:rPr>
  </w:style>
  <w:style w:styleId="Style_17_ch" w:type="character">
    <w:name w:val="Contents 12"/>
    <w:link w:val="Style_17"/>
    <w:rPr>
      <w:rFonts w:ascii="XO Thames" w:hAnsi="XO Thames"/>
      <w:b w:val="1"/>
      <w:color w:val="000000"/>
      <w:spacing w:val="0"/>
      <w:sz w:val="28"/>
    </w:rPr>
  </w:style>
  <w:style w:styleId="Style_18" w:type="paragraph">
    <w:name w:val="ConsPlusCell1"/>
    <w:link w:val="Style_18_ch"/>
    <w:pPr>
      <w:widowControl w:val="0"/>
      <w:spacing w:after="0" w:before="0" w:line="240" w:lineRule="auto"/>
      <w:ind w:firstLine="0" w:left="0" w:right="0"/>
      <w:jc w:val="left"/>
    </w:pPr>
    <w:rPr>
      <w:rFonts w:ascii="Calibri" w:hAnsi="Calibri"/>
      <w:color w:val="000000"/>
      <w:spacing w:val="0"/>
      <w:sz w:val="22"/>
    </w:rPr>
  </w:style>
  <w:style w:styleId="Style_18_ch" w:type="character">
    <w:name w:val="ConsPlusCell1"/>
    <w:link w:val="Style_18"/>
    <w:rPr>
      <w:rFonts w:ascii="Calibri" w:hAnsi="Calibri"/>
      <w:color w:val="000000"/>
      <w:spacing w:val="0"/>
      <w:sz w:val="22"/>
    </w:rPr>
  </w:style>
  <w:style w:styleId="Style_19" w:type="paragraph">
    <w:name w:val="heading 7"/>
    <w:next w:val="Style_2"/>
    <w:link w:val="Style_19_ch"/>
    <w:uiPriority w:val="9"/>
    <w:qFormat/>
    <w:pPr>
      <w:widowControl w:val="1"/>
      <w:spacing w:after="0" w:before="0" w:line="240" w:lineRule="auto"/>
      <w:ind w:firstLine="0" w:left="0" w:right="0"/>
      <w:jc w:val="left"/>
      <w:outlineLvl w:val="6"/>
    </w:pPr>
    <w:rPr>
      <w:rFonts w:ascii="Times New Roman" w:hAnsi="Times New Roman"/>
      <w:color w:val="000000"/>
      <w:spacing w:val="0"/>
      <w:sz w:val="20"/>
    </w:rPr>
  </w:style>
  <w:style w:styleId="Style_19_ch" w:type="character">
    <w:name w:val="heading 7"/>
    <w:link w:val="Style_19"/>
    <w:rPr>
      <w:rFonts w:ascii="Times New Roman" w:hAnsi="Times New Roman"/>
      <w:color w:val="000000"/>
      <w:spacing w:val="0"/>
      <w:sz w:val="20"/>
    </w:rPr>
  </w:style>
  <w:style w:styleId="Style_20" w:type="paragraph">
    <w:name w:val="Содержимое врезки3"/>
    <w:basedOn w:val="Style_2"/>
    <w:link w:val="Style_20_ch"/>
  </w:style>
  <w:style w:styleId="Style_20_ch" w:type="character">
    <w:name w:val="Содержимое врезки3"/>
    <w:basedOn w:val="Style_2_ch"/>
    <w:link w:val="Style_20"/>
  </w:style>
  <w:style w:styleId="Style_21" w:type="paragraph">
    <w:name w:val="mb51"/>
    <w:basedOn w:val="Style_2"/>
    <w:link w:val="Style_21_ch"/>
    <w:pPr>
      <w:spacing w:afterAutospacing="on" w:beforeAutospacing="on"/>
      <w:ind/>
    </w:pPr>
  </w:style>
  <w:style w:styleId="Style_21_ch" w:type="character">
    <w:name w:val="mb51"/>
    <w:basedOn w:val="Style_2_ch"/>
    <w:link w:val="Style_21"/>
  </w:style>
  <w:style w:styleId="Style_22" w:type="paragraph">
    <w:name w:val="Колонтитул3"/>
    <w:basedOn w:val="Style_2"/>
    <w:link w:val="Style_22_ch"/>
  </w:style>
  <w:style w:styleId="Style_22_ch" w:type="character">
    <w:name w:val="Колонтитул3"/>
    <w:basedOn w:val="Style_2_ch"/>
    <w:link w:val="Style_22"/>
  </w:style>
  <w:style w:styleId="Style_23" w:type="paragraph">
    <w:name w:val="toc 6"/>
    <w:next w:val="Style_2"/>
    <w:link w:val="Style_23_ch"/>
    <w:uiPriority w:val="39"/>
    <w:pPr>
      <w:widowControl w:val="1"/>
      <w:spacing w:after="0" w:before="0" w:line="240" w:lineRule="auto"/>
      <w:ind w:firstLine="0" w:left="1000" w:right="0"/>
      <w:jc w:val="left"/>
    </w:pPr>
    <w:rPr>
      <w:rFonts w:ascii="XO Thames" w:hAnsi="XO Thames"/>
      <w:color w:val="000000"/>
      <w:spacing w:val="0"/>
      <w:sz w:val="28"/>
    </w:rPr>
  </w:style>
  <w:style w:styleId="Style_23_ch" w:type="character">
    <w:name w:val="toc 6"/>
    <w:link w:val="Style_23"/>
    <w:rPr>
      <w:rFonts w:ascii="XO Thames" w:hAnsi="XO Thames"/>
      <w:color w:val="000000"/>
      <w:spacing w:val="0"/>
      <w:sz w:val="28"/>
    </w:rPr>
  </w:style>
  <w:style w:styleId="Style_24" w:type="paragraph">
    <w:name w:val="toc 7"/>
    <w:next w:val="Style_2"/>
    <w:link w:val="Style_24_ch"/>
    <w:uiPriority w:val="39"/>
    <w:pPr>
      <w:widowControl w:val="1"/>
      <w:spacing w:after="0" w:before="0" w:line="240" w:lineRule="auto"/>
      <w:ind w:firstLine="0" w:left="1200" w:right="0"/>
      <w:jc w:val="left"/>
    </w:pPr>
    <w:rPr>
      <w:rFonts w:ascii="XO Thames" w:hAnsi="XO Thames"/>
      <w:color w:val="000000"/>
      <w:spacing w:val="0"/>
      <w:sz w:val="28"/>
    </w:rPr>
  </w:style>
  <w:style w:styleId="Style_24_ch" w:type="character">
    <w:name w:val="toc 7"/>
    <w:link w:val="Style_24"/>
    <w:rPr>
      <w:rFonts w:ascii="XO Thames" w:hAnsi="XO Thames"/>
      <w:color w:val="000000"/>
      <w:spacing w:val="0"/>
      <w:sz w:val="28"/>
    </w:rPr>
  </w:style>
  <w:style w:styleId="Style_25" w:type="paragraph">
    <w:name w:val="w1"/>
    <w:link w:val="Style_25_ch"/>
    <w:pPr>
      <w:widowControl w:val="1"/>
      <w:spacing w:after="0" w:before="0" w:line="240" w:lineRule="auto"/>
      <w:ind w:firstLine="0" w:left="0" w:right="0"/>
      <w:jc w:val="left"/>
    </w:pPr>
    <w:rPr>
      <w:rFonts w:ascii="Times New Roman" w:hAnsi="Times New Roman"/>
      <w:color w:val="000000"/>
      <w:spacing w:val="0"/>
      <w:sz w:val="20"/>
    </w:rPr>
  </w:style>
  <w:style w:styleId="Style_25_ch" w:type="character">
    <w:name w:val="w1"/>
    <w:link w:val="Style_25"/>
    <w:rPr>
      <w:rFonts w:ascii="Times New Roman" w:hAnsi="Times New Roman"/>
      <w:color w:val="000000"/>
      <w:spacing w:val="0"/>
      <w:sz w:val="20"/>
    </w:rPr>
  </w:style>
  <w:style w:styleId="Style_26" w:type="paragraph">
    <w:name w:val="Содержимое врезки7"/>
    <w:basedOn w:val="Style_2"/>
    <w:link w:val="Style_26_ch"/>
  </w:style>
  <w:style w:styleId="Style_26_ch" w:type="character">
    <w:name w:val="Содержимое врезки7"/>
    <w:basedOn w:val="Style_2_ch"/>
    <w:link w:val="Style_26"/>
  </w:style>
  <w:style w:styleId="Style_27" w:type="paragraph">
    <w:name w:val="Заголовок11111111"/>
    <w:basedOn w:val="Style_2"/>
    <w:next w:val="Style_3"/>
    <w:link w:val="Style_27_ch"/>
    <w:pPr>
      <w:keepNext w:val="1"/>
      <w:spacing w:after="120" w:before="240"/>
      <w:ind/>
    </w:pPr>
    <w:rPr>
      <w:rFonts w:ascii="Open Sans" w:hAnsi="Open Sans"/>
      <w:sz w:val="28"/>
    </w:rPr>
  </w:style>
  <w:style w:styleId="Style_27_ch" w:type="character">
    <w:name w:val="Заголовок11111111"/>
    <w:basedOn w:val="Style_2_ch"/>
    <w:link w:val="Style_27"/>
    <w:rPr>
      <w:rFonts w:ascii="Open Sans" w:hAnsi="Open Sans"/>
      <w:sz w:val="28"/>
    </w:rPr>
  </w:style>
  <w:style w:styleId="Style_28" w:type="paragraph">
    <w:name w:val="Указатель1"/>
    <w:basedOn w:val="Style_2"/>
    <w:link w:val="Style_28_ch"/>
  </w:style>
  <w:style w:styleId="Style_28_ch" w:type="character">
    <w:name w:val="Указатель1"/>
    <w:basedOn w:val="Style_2_ch"/>
    <w:link w:val="Style_28"/>
  </w:style>
  <w:style w:styleId="Style_29" w:type="paragraph">
    <w:name w:val="Содержимое врезки5"/>
    <w:basedOn w:val="Style_2"/>
    <w:link w:val="Style_29_ch"/>
  </w:style>
  <w:style w:styleId="Style_29_ch" w:type="character">
    <w:name w:val="Содержимое врезки5"/>
    <w:basedOn w:val="Style_2_ch"/>
    <w:link w:val="Style_29"/>
  </w:style>
  <w:style w:styleId="Style_30" w:type="paragraph">
    <w:name w:val="Указатель111111111"/>
    <w:basedOn w:val="Style_2"/>
    <w:link w:val="Style_30_ch"/>
  </w:style>
  <w:style w:styleId="Style_30_ch" w:type="character">
    <w:name w:val="Указатель111111111"/>
    <w:basedOn w:val="Style_2_ch"/>
    <w:link w:val="Style_30"/>
  </w:style>
  <w:style w:styleId="Style_31" w:type="paragraph">
    <w:name w:val="heading 3"/>
    <w:next w:val="Style_2"/>
    <w:link w:val="Style_31_ch"/>
    <w:uiPriority w:val="9"/>
    <w:qFormat/>
    <w:pPr>
      <w:widowControl w:val="1"/>
      <w:spacing w:after="0" w:before="0" w:line="240" w:lineRule="auto"/>
      <w:ind w:firstLine="0" w:left="0" w:right="0"/>
      <w:jc w:val="left"/>
      <w:outlineLvl w:val="2"/>
    </w:pPr>
    <w:rPr>
      <w:rFonts w:ascii="Times New Roman" w:hAnsi="Times New Roman"/>
      <w:b w:val="1"/>
      <w:color w:val="000000"/>
      <w:spacing w:val="0"/>
      <w:sz w:val="28"/>
    </w:rPr>
  </w:style>
  <w:style w:styleId="Style_31_ch" w:type="character">
    <w:name w:val="heading 3"/>
    <w:link w:val="Style_31"/>
    <w:rPr>
      <w:rFonts w:ascii="Times New Roman" w:hAnsi="Times New Roman"/>
      <w:b w:val="1"/>
      <w:color w:val="000000"/>
      <w:spacing w:val="0"/>
      <w:sz w:val="28"/>
    </w:rPr>
  </w:style>
  <w:style w:styleId="Style_32" w:type="paragraph">
    <w:name w:val="Заголовок 411"/>
    <w:link w:val="Style_32_ch"/>
    <w:pPr>
      <w:widowControl w:val="1"/>
      <w:spacing w:after="0" w:before="0" w:line="240" w:lineRule="auto"/>
      <w:ind w:firstLine="0" w:left="0" w:right="0"/>
      <w:jc w:val="left"/>
    </w:pPr>
    <w:rPr>
      <w:rFonts w:ascii="Times New Roman" w:hAnsi="Times New Roman"/>
      <w:color w:val="000000"/>
      <w:spacing w:val="0"/>
      <w:sz w:val="28"/>
    </w:rPr>
  </w:style>
  <w:style w:styleId="Style_32_ch" w:type="character">
    <w:name w:val="Заголовок 411"/>
    <w:link w:val="Style_32"/>
    <w:rPr>
      <w:rFonts w:ascii="Times New Roman" w:hAnsi="Times New Roman"/>
      <w:color w:val="000000"/>
      <w:spacing w:val="0"/>
      <w:sz w:val="28"/>
    </w:rPr>
  </w:style>
  <w:style w:styleId="Style_33" w:type="paragraph">
    <w:name w:val="Contents 91"/>
    <w:link w:val="Style_33_ch"/>
    <w:rPr>
      <w:rFonts w:ascii="XO Thames" w:hAnsi="XO Thames"/>
      <w:color w:val="000000"/>
      <w:spacing w:val="0"/>
      <w:sz w:val="28"/>
    </w:rPr>
  </w:style>
  <w:style w:styleId="Style_33_ch" w:type="character">
    <w:name w:val="Contents 91"/>
    <w:link w:val="Style_33"/>
    <w:rPr>
      <w:rFonts w:ascii="XO Thames" w:hAnsi="XO Thames"/>
      <w:color w:val="000000"/>
      <w:spacing w:val="0"/>
      <w:sz w:val="28"/>
    </w:rPr>
  </w:style>
  <w:style w:styleId="Style_34" w:type="paragraph">
    <w:name w:val="Heading 11"/>
    <w:link w:val="Style_34_ch"/>
    <w:rPr>
      <w:rFonts w:ascii="Arial" w:hAnsi="Arial"/>
      <w:b w:val="1"/>
      <w:sz w:val="32"/>
    </w:rPr>
  </w:style>
  <w:style w:styleId="Style_34_ch" w:type="character">
    <w:name w:val="Heading 11"/>
    <w:link w:val="Style_34"/>
    <w:rPr>
      <w:rFonts w:ascii="Arial" w:hAnsi="Arial"/>
      <w:b w:val="1"/>
      <w:sz w:val="32"/>
    </w:rPr>
  </w:style>
  <w:style w:styleId="Style_35" w:type="paragraph">
    <w:name w:val="Колонтитул2"/>
    <w:basedOn w:val="Style_2"/>
    <w:link w:val="Style_35_ch"/>
  </w:style>
  <w:style w:styleId="Style_35_ch" w:type="character">
    <w:name w:val="Колонтитул2"/>
    <w:basedOn w:val="Style_2_ch"/>
    <w:link w:val="Style_35"/>
  </w:style>
  <w:style w:styleId="Style_36" w:type="paragraph">
    <w:name w:val="Комментарий1"/>
    <w:basedOn w:val="Style_2"/>
    <w:next w:val="Style_2"/>
    <w:link w:val="Style_36_ch"/>
    <w:pPr>
      <w:widowControl w:val="0"/>
      <w:ind w:firstLine="0" w:left="170" w:right="0"/>
      <w:jc w:val="both"/>
    </w:pPr>
    <w:rPr>
      <w:rFonts w:ascii="Arial" w:hAnsi="Arial"/>
      <w:i w:val="1"/>
      <w:color w:val="800080"/>
    </w:rPr>
  </w:style>
  <w:style w:styleId="Style_36_ch" w:type="character">
    <w:name w:val="Комментарий1"/>
    <w:basedOn w:val="Style_2_ch"/>
    <w:link w:val="Style_36"/>
    <w:rPr>
      <w:rFonts w:ascii="Arial" w:hAnsi="Arial"/>
      <w:i w:val="1"/>
      <w:color w:val="800080"/>
    </w:rPr>
  </w:style>
  <w:style w:styleId="Style_37" w:type="paragraph">
    <w:name w:val="Основной шрифт абзаца11"/>
    <w:link w:val="Style_37_ch"/>
    <w:pPr>
      <w:widowControl w:val="1"/>
      <w:spacing w:after="0" w:before="0" w:line="240" w:lineRule="auto"/>
      <w:ind w:firstLine="0" w:left="0" w:right="0"/>
      <w:jc w:val="left"/>
    </w:pPr>
    <w:rPr>
      <w:rFonts w:ascii="Times New Roman" w:hAnsi="Times New Roman"/>
      <w:color w:val="000000"/>
      <w:spacing w:val="0"/>
      <w:sz w:val="20"/>
    </w:rPr>
  </w:style>
  <w:style w:styleId="Style_37_ch" w:type="character">
    <w:name w:val="Основной шрифт абзаца11"/>
    <w:link w:val="Style_37"/>
    <w:rPr>
      <w:rFonts w:ascii="Times New Roman" w:hAnsi="Times New Roman"/>
      <w:color w:val="000000"/>
      <w:spacing w:val="0"/>
      <w:sz w:val="20"/>
    </w:rPr>
  </w:style>
  <w:style w:styleId="Style_38" w:type="paragraph">
    <w:name w:val="Body Text 21"/>
    <w:basedOn w:val="Style_2"/>
    <w:link w:val="Style_38_ch"/>
    <w:pPr>
      <w:ind/>
      <w:jc w:val="both"/>
    </w:pPr>
    <w:rPr>
      <w:b w:val="1"/>
      <w:sz w:val="26"/>
    </w:rPr>
  </w:style>
  <w:style w:styleId="Style_38_ch" w:type="character">
    <w:name w:val="Body Text 21"/>
    <w:basedOn w:val="Style_2_ch"/>
    <w:link w:val="Style_38"/>
    <w:rPr>
      <w:b w:val="1"/>
      <w:sz w:val="26"/>
    </w:rPr>
  </w:style>
  <w:style w:styleId="Style_39" w:type="paragraph">
    <w:name w:val="Знак11"/>
    <w:basedOn w:val="Style_2"/>
    <w:link w:val="Style_39_ch"/>
    <w:pPr>
      <w:spacing w:after="160" w:before="0" w:line="240" w:lineRule="exact"/>
      <w:ind/>
    </w:pPr>
    <w:rPr>
      <w:rFonts w:ascii="Verdana" w:hAnsi="Verdana"/>
      <w:sz w:val="20"/>
    </w:rPr>
  </w:style>
  <w:style w:styleId="Style_39_ch" w:type="character">
    <w:name w:val="Знак11"/>
    <w:basedOn w:val="Style_2_ch"/>
    <w:link w:val="Style_39"/>
    <w:rPr>
      <w:rFonts w:ascii="Verdana" w:hAnsi="Verdana"/>
      <w:sz w:val="20"/>
    </w:rPr>
  </w:style>
  <w:style w:styleId="Style_40" w:type="paragraph">
    <w:name w:val="List Paragraph3"/>
    <w:basedOn w:val="Style_2"/>
    <w:link w:val="Style_40_ch"/>
    <w:pPr>
      <w:spacing w:after="0" w:before="0"/>
      <w:ind w:firstLine="0" w:left="720"/>
      <w:contextualSpacing w:val="1"/>
    </w:pPr>
  </w:style>
  <w:style w:styleId="Style_40_ch" w:type="character">
    <w:name w:val="List Paragraph3"/>
    <w:basedOn w:val="Style_2_ch"/>
    <w:link w:val="Style_40"/>
  </w:style>
  <w:style w:styleId="Style_41" w:type="paragraph">
    <w:name w:val="Footer1"/>
    <w:link w:val="Style_41_ch"/>
  </w:style>
  <w:style w:styleId="Style_41_ch" w:type="character">
    <w:name w:val="Footer1"/>
    <w:link w:val="Style_41"/>
  </w:style>
  <w:style w:styleId="Style_42" w:type="paragraph">
    <w:name w:val="Contents 92"/>
    <w:link w:val="Style_42_ch"/>
    <w:pPr>
      <w:widowControl w:val="1"/>
      <w:spacing w:after="0" w:before="0" w:line="240" w:lineRule="auto"/>
      <w:ind w:firstLine="0" w:left="0" w:right="0"/>
      <w:jc w:val="left"/>
    </w:pPr>
    <w:rPr>
      <w:rFonts w:ascii="XO Thames" w:hAnsi="XO Thames"/>
      <w:color w:val="000000"/>
      <w:spacing w:val="0"/>
      <w:sz w:val="28"/>
    </w:rPr>
  </w:style>
  <w:style w:styleId="Style_42_ch" w:type="character">
    <w:name w:val="Contents 92"/>
    <w:link w:val="Style_42"/>
    <w:rPr>
      <w:rFonts w:ascii="XO Thames" w:hAnsi="XO Thames"/>
      <w:color w:val="000000"/>
      <w:spacing w:val="0"/>
      <w:sz w:val="28"/>
    </w:rPr>
  </w:style>
  <w:style w:styleId="Style_43" w:type="paragraph">
    <w:name w:val="Верхний колонтитул11"/>
    <w:link w:val="Style_43_ch"/>
    <w:pPr>
      <w:widowControl w:val="1"/>
      <w:spacing w:after="0" w:before="0" w:line="240" w:lineRule="auto"/>
      <w:ind w:firstLine="0" w:left="0" w:right="0"/>
      <w:jc w:val="left"/>
    </w:pPr>
    <w:rPr>
      <w:rFonts w:ascii="Times New Roman" w:hAnsi="Times New Roman"/>
      <w:color w:val="000000"/>
      <w:spacing w:val="0"/>
      <w:sz w:val="20"/>
    </w:rPr>
  </w:style>
  <w:style w:styleId="Style_43_ch" w:type="character">
    <w:name w:val="Верхний колонтитул11"/>
    <w:link w:val="Style_43"/>
    <w:rPr>
      <w:rFonts w:ascii="Times New Roman" w:hAnsi="Times New Roman"/>
      <w:color w:val="000000"/>
      <w:spacing w:val="0"/>
      <w:sz w:val="20"/>
    </w:rPr>
  </w:style>
  <w:style w:styleId="Style_44" w:type="paragraph">
    <w:name w:val="Колонтитул1"/>
    <w:link w:val="Style_44_ch"/>
    <w:pPr>
      <w:widowControl w:val="1"/>
      <w:spacing w:after="0" w:before="0" w:line="240" w:lineRule="auto"/>
      <w:ind w:firstLine="0" w:left="0" w:right="0"/>
      <w:jc w:val="left"/>
    </w:pPr>
    <w:rPr>
      <w:rFonts w:ascii="XO Thames" w:hAnsi="XO Thames"/>
      <w:color w:val="000000"/>
      <w:spacing w:val="0"/>
      <w:sz w:val="20"/>
    </w:rPr>
  </w:style>
  <w:style w:styleId="Style_44_ch" w:type="character">
    <w:name w:val="Колонтитул1"/>
    <w:link w:val="Style_44"/>
    <w:rPr>
      <w:rFonts w:ascii="XO Thames" w:hAnsi="XO Thames"/>
      <w:color w:val="000000"/>
      <w:spacing w:val="0"/>
      <w:sz w:val="20"/>
    </w:rPr>
  </w:style>
  <w:style w:styleId="Style_45" w:type="paragraph">
    <w:name w:val="Default Paragraph Font1"/>
    <w:link w:val="Style_45_ch"/>
    <w:pPr>
      <w:widowControl w:val="1"/>
      <w:spacing w:after="0" w:before="0" w:line="240" w:lineRule="auto"/>
      <w:ind w:firstLine="0" w:left="0" w:right="0"/>
      <w:jc w:val="left"/>
    </w:pPr>
    <w:rPr>
      <w:rFonts w:ascii="Times New Roman" w:hAnsi="Times New Roman"/>
      <w:color w:val="000000"/>
      <w:spacing w:val="0"/>
      <w:sz w:val="20"/>
    </w:rPr>
  </w:style>
  <w:style w:styleId="Style_45_ch" w:type="character">
    <w:name w:val="Default Paragraph Font1"/>
    <w:link w:val="Style_45"/>
    <w:rPr>
      <w:rFonts w:ascii="Times New Roman" w:hAnsi="Times New Roman"/>
      <w:color w:val="000000"/>
      <w:spacing w:val="0"/>
      <w:sz w:val="20"/>
    </w:rPr>
  </w:style>
  <w:style w:styleId="Style_46" w:type="paragraph">
    <w:name w:val="Contents 62"/>
    <w:link w:val="Style_46_ch"/>
    <w:pPr>
      <w:widowControl w:val="1"/>
      <w:spacing w:after="0" w:before="0" w:line="240" w:lineRule="auto"/>
      <w:ind w:firstLine="0" w:left="0" w:right="0"/>
      <w:jc w:val="left"/>
    </w:pPr>
    <w:rPr>
      <w:rFonts w:ascii="XO Thames" w:hAnsi="XO Thames"/>
      <w:color w:val="000000"/>
      <w:spacing w:val="0"/>
      <w:sz w:val="28"/>
    </w:rPr>
  </w:style>
  <w:style w:styleId="Style_46_ch" w:type="character">
    <w:name w:val="Contents 62"/>
    <w:link w:val="Style_46"/>
    <w:rPr>
      <w:rFonts w:ascii="XO Thames" w:hAnsi="XO Thames"/>
      <w:color w:val="000000"/>
      <w:spacing w:val="0"/>
      <w:sz w:val="28"/>
    </w:rPr>
  </w:style>
  <w:style w:styleId="Style_47" w:type="paragraph">
    <w:name w:val="Contents 42"/>
    <w:link w:val="Style_47_ch"/>
    <w:pPr>
      <w:widowControl w:val="1"/>
      <w:spacing w:after="0" w:before="0" w:line="240" w:lineRule="auto"/>
      <w:ind w:firstLine="0" w:left="0" w:right="0"/>
      <w:jc w:val="left"/>
    </w:pPr>
    <w:rPr>
      <w:rFonts w:ascii="XO Thames" w:hAnsi="XO Thames"/>
      <w:color w:val="000000"/>
      <w:spacing w:val="0"/>
      <w:sz w:val="28"/>
    </w:rPr>
  </w:style>
  <w:style w:styleId="Style_47_ch" w:type="character">
    <w:name w:val="Contents 42"/>
    <w:link w:val="Style_47"/>
    <w:rPr>
      <w:rFonts w:ascii="XO Thames" w:hAnsi="XO Thames"/>
      <w:color w:val="000000"/>
      <w:spacing w:val="0"/>
      <w:sz w:val="28"/>
    </w:rPr>
  </w:style>
  <w:style w:styleId="Style_48" w:type="paragraph">
    <w:name w:val="Строгий11"/>
    <w:link w:val="Style_48_ch"/>
    <w:pPr>
      <w:widowControl w:val="1"/>
      <w:spacing w:after="0" w:before="0" w:line="240" w:lineRule="auto"/>
      <w:ind w:firstLine="0" w:left="0" w:right="0"/>
      <w:jc w:val="left"/>
    </w:pPr>
    <w:rPr>
      <w:rFonts w:ascii="Times New Roman" w:hAnsi="Times New Roman"/>
      <w:b w:val="1"/>
      <w:color w:val="000000"/>
      <w:spacing w:val="0"/>
      <w:sz w:val="20"/>
    </w:rPr>
  </w:style>
  <w:style w:styleId="Style_48_ch" w:type="character">
    <w:name w:val="Строгий11"/>
    <w:link w:val="Style_48"/>
    <w:rPr>
      <w:rFonts w:ascii="Times New Roman" w:hAnsi="Times New Roman"/>
      <w:b w:val="1"/>
      <w:color w:val="000000"/>
      <w:spacing w:val="0"/>
      <w:sz w:val="20"/>
    </w:rPr>
  </w:style>
  <w:style w:styleId="Style_49" w:type="paragraph">
    <w:name w:val="Text body indent1"/>
    <w:link w:val="Style_49_ch"/>
    <w:rPr>
      <w:sz w:val="26"/>
    </w:rPr>
  </w:style>
  <w:style w:styleId="Style_49_ch" w:type="character">
    <w:name w:val="Text body indent1"/>
    <w:link w:val="Style_49"/>
    <w:rPr>
      <w:sz w:val="26"/>
    </w:rPr>
  </w:style>
  <w:style w:styleId="Style_50" w:type="paragraph">
    <w:name w:val="Название11"/>
    <w:link w:val="Style_50_ch"/>
    <w:pPr>
      <w:widowControl w:val="1"/>
      <w:spacing w:after="0" w:before="0" w:line="240" w:lineRule="auto"/>
      <w:ind w:firstLine="0" w:left="0" w:right="0"/>
      <w:jc w:val="left"/>
    </w:pPr>
    <w:rPr>
      <w:rFonts w:ascii="XO Thames" w:hAnsi="XO Thames"/>
      <w:b w:val="1"/>
      <w:caps w:val="1"/>
      <w:color w:val="000000"/>
      <w:spacing w:val="0"/>
      <w:sz w:val="40"/>
    </w:rPr>
  </w:style>
  <w:style w:styleId="Style_50_ch" w:type="character">
    <w:name w:val="Название11"/>
    <w:link w:val="Style_50"/>
    <w:rPr>
      <w:rFonts w:ascii="XO Thames" w:hAnsi="XO Thames"/>
      <w:b w:val="1"/>
      <w:caps w:val="1"/>
      <w:color w:val="000000"/>
      <w:spacing w:val="0"/>
      <w:sz w:val="40"/>
    </w:rPr>
  </w:style>
  <w:style w:styleId="Style_51" w:type="paragraph">
    <w:name w:val="ConsPlusTitle1"/>
    <w:link w:val="Style_51_ch"/>
    <w:pPr>
      <w:widowControl w:val="0"/>
      <w:spacing w:after="0" w:before="0" w:line="240" w:lineRule="auto"/>
      <w:ind w:firstLine="0" w:left="0" w:right="0"/>
      <w:jc w:val="left"/>
    </w:pPr>
    <w:rPr>
      <w:rFonts w:ascii="Calibri" w:hAnsi="Calibri"/>
      <w:b w:val="1"/>
      <w:color w:val="000000"/>
      <w:spacing w:val="0"/>
      <w:sz w:val="22"/>
    </w:rPr>
  </w:style>
  <w:style w:styleId="Style_51_ch" w:type="character">
    <w:name w:val="ConsPlusTitle1"/>
    <w:link w:val="Style_51"/>
    <w:rPr>
      <w:rFonts w:ascii="Calibri" w:hAnsi="Calibri"/>
      <w:b w:val="1"/>
      <w:color w:val="000000"/>
      <w:spacing w:val="0"/>
      <w:sz w:val="22"/>
    </w:rPr>
  </w:style>
  <w:style w:styleId="Style_52" w:type="paragraph">
    <w:name w:val="Contents 6"/>
    <w:link w:val="Style_52_ch"/>
    <w:rPr>
      <w:rFonts w:ascii="XO Thames" w:hAnsi="XO Thames"/>
      <w:color w:val="000000"/>
      <w:spacing w:val="0"/>
      <w:sz w:val="28"/>
    </w:rPr>
  </w:style>
  <w:style w:styleId="Style_52_ch" w:type="character">
    <w:name w:val="Contents 6"/>
    <w:link w:val="Style_52"/>
    <w:rPr>
      <w:rFonts w:ascii="XO Thames" w:hAnsi="XO Thames"/>
      <w:color w:val="000000"/>
      <w:spacing w:val="0"/>
      <w:sz w:val="28"/>
    </w:rPr>
  </w:style>
  <w:style w:styleId="Style_53" w:type="paragraph">
    <w:name w:val="Internet link2"/>
    <w:link w:val="Style_53_ch"/>
    <w:pPr>
      <w:widowControl w:val="1"/>
      <w:spacing w:after="0" w:before="0" w:line="240" w:lineRule="auto"/>
      <w:ind w:firstLine="0" w:left="0" w:right="0"/>
      <w:jc w:val="left"/>
    </w:pPr>
    <w:rPr>
      <w:rFonts w:ascii="Times New Roman" w:hAnsi="Times New Roman"/>
      <w:color w:val="0000FF"/>
      <w:spacing w:val="0"/>
      <w:sz w:val="20"/>
      <w:u w:val="single"/>
    </w:rPr>
  </w:style>
  <w:style w:styleId="Style_53_ch" w:type="character">
    <w:name w:val="Internet link2"/>
    <w:link w:val="Style_53"/>
    <w:rPr>
      <w:rFonts w:ascii="Times New Roman" w:hAnsi="Times New Roman"/>
      <w:color w:val="0000FF"/>
      <w:spacing w:val="0"/>
      <w:sz w:val="20"/>
      <w:u w:val="single"/>
    </w:rPr>
  </w:style>
  <w:style w:styleId="Style_54" w:type="paragraph">
    <w:name w:val="Contents 2"/>
    <w:link w:val="Style_54_ch"/>
    <w:rPr>
      <w:rFonts w:ascii="XO Thames" w:hAnsi="XO Thames"/>
      <w:color w:val="000000"/>
      <w:spacing w:val="0"/>
      <w:sz w:val="28"/>
    </w:rPr>
  </w:style>
  <w:style w:styleId="Style_54_ch" w:type="character">
    <w:name w:val="Contents 2"/>
    <w:link w:val="Style_54"/>
    <w:rPr>
      <w:rFonts w:ascii="XO Thames" w:hAnsi="XO Thames"/>
      <w:color w:val="000000"/>
      <w:spacing w:val="0"/>
      <w:sz w:val="28"/>
    </w:rPr>
  </w:style>
  <w:style w:styleId="Style_55" w:type="paragraph">
    <w:name w:val="Заголовок 311"/>
    <w:link w:val="Style_55_ch"/>
    <w:pPr>
      <w:widowControl w:val="1"/>
      <w:spacing w:after="0" w:before="0" w:line="240" w:lineRule="auto"/>
      <w:ind w:firstLine="0" w:left="0" w:right="0"/>
      <w:jc w:val="left"/>
    </w:pPr>
    <w:rPr>
      <w:rFonts w:ascii="Times New Roman" w:hAnsi="Times New Roman"/>
      <w:b w:val="1"/>
      <w:color w:val="000000"/>
      <w:spacing w:val="0"/>
      <w:sz w:val="28"/>
    </w:rPr>
  </w:style>
  <w:style w:styleId="Style_55_ch" w:type="character">
    <w:name w:val="Заголовок 311"/>
    <w:link w:val="Style_55"/>
    <w:rPr>
      <w:rFonts w:ascii="Times New Roman" w:hAnsi="Times New Roman"/>
      <w:b w:val="1"/>
      <w:color w:val="000000"/>
      <w:spacing w:val="0"/>
      <w:sz w:val="28"/>
    </w:rPr>
  </w:style>
  <w:style w:styleId="Style_56" w:type="paragraph">
    <w:name w:val="Заголовок 211"/>
    <w:link w:val="Style_56_ch"/>
    <w:pPr>
      <w:widowControl w:val="1"/>
      <w:spacing w:after="0" w:before="0" w:line="240" w:lineRule="auto"/>
      <w:ind w:firstLine="0" w:left="0" w:right="0"/>
      <w:jc w:val="left"/>
    </w:pPr>
    <w:rPr>
      <w:rFonts w:ascii="Times New Roman" w:hAnsi="Times New Roman"/>
      <w:b w:val="1"/>
      <w:color w:val="000000"/>
      <w:spacing w:val="0"/>
      <w:sz w:val="26"/>
    </w:rPr>
  </w:style>
  <w:style w:styleId="Style_56_ch" w:type="character">
    <w:name w:val="Заголовок 211"/>
    <w:link w:val="Style_56"/>
    <w:rPr>
      <w:rFonts w:ascii="Times New Roman" w:hAnsi="Times New Roman"/>
      <w:b w:val="1"/>
      <w:color w:val="000000"/>
      <w:spacing w:val="0"/>
      <w:sz w:val="26"/>
    </w:rPr>
  </w:style>
  <w:style w:styleId="Style_57" w:type="paragraph">
    <w:name w:val="Caption2"/>
    <w:link w:val="Style_57_ch"/>
    <w:rPr>
      <w:i w:val="1"/>
      <w:sz w:val="24"/>
    </w:rPr>
  </w:style>
  <w:style w:styleId="Style_57_ch" w:type="character">
    <w:name w:val="Caption2"/>
    <w:link w:val="Style_57"/>
    <w:rPr>
      <w:i w:val="1"/>
      <w:sz w:val="24"/>
    </w:rPr>
  </w:style>
  <w:style w:styleId="Style_58" w:type="paragraph">
    <w:name w:val="Footer"/>
    <w:link w:val="Style_58_ch"/>
    <w:pPr>
      <w:widowControl w:val="1"/>
      <w:spacing w:after="0" w:before="0" w:line="240" w:lineRule="auto"/>
      <w:ind w:firstLine="0" w:left="0" w:right="0"/>
      <w:jc w:val="left"/>
    </w:pPr>
    <w:rPr>
      <w:rFonts w:ascii="Times New Roman" w:hAnsi="Times New Roman"/>
      <w:color w:val="000000"/>
      <w:spacing w:val="0"/>
      <w:sz w:val="20"/>
    </w:rPr>
  </w:style>
  <w:style w:styleId="Style_58_ch" w:type="character">
    <w:name w:val="Footer"/>
    <w:link w:val="Style_58"/>
    <w:rPr>
      <w:rFonts w:ascii="Times New Roman" w:hAnsi="Times New Roman"/>
      <w:color w:val="000000"/>
      <w:spacing w:val="0"/>
      <w:sz w:val="20"/>
    </w:rPr>
  </w:style>
  <w:style w:styleId="Style_59" w:type="paragraph">
    <w:name w:val="Содержимое врезки4"/>
    <w:basedOn w:val="Style_2"/>
    <w:link w:val="Style_59_ch"/>
  </w:style>
  <w:style w:styleId="Style_59_ch" w:type="character">
    <w:name w:val="Содержимое врезки4"/>
    <w:basedOn w:val="Style_2_ch"/>
    <w:link w:val="Style_59"/>
  </w:style>
  <w:style w:styleId="Style_60" w:type="paragraph">
    <w:name w:val="Указатель11111111"/>
    <w:basedOn w:val="Style_2"/>
    <w:link w:val="Style_60_ch"/>
  </w:style>
  <w:style w:styleId="Style_60_ch" w:type="character">
    <w:name w:val="Указатель11111111"/>
    <w:basedOn w:val="Style_2_ch"/>
    <w:link w:val="Style_60"/>
  </w:style>
  <w:style w:styleId="Style_61" w:type="paragraph">
    <w:name w:val="Знак Знак Знак Знак11"/>
    <w:basedOn w:val="Style_2"/>
    <w:link w:val="Style_61_ch"/>
    <w:pPr>
      <w:spacing w:after="160" w:before="0" w:line="240" w:lineRule="exact"/>
      <w:ind/>
    </w:pPr>
    <w:rPr>
      <w:rFonts w:ascii="Verdana" w:hAnsi="Verdana"/>
      <w:sz w:val="20"/>
    </w:rPr>
  </w:style>
  <w:style w:styleId="Style_61_ch" w:type="character">
    <w:name w:val="Знак Знак Знак Знак11"/>
    <w:basedOn w:val="Style_2_ch"/>
    <w:link w:val="Style_61"/>
    <w:rPr>
      <w:rFonts w:ascii="Verdana" w:hAnsi="Verdana"/>
      <w:sz w:val="20"/>
    </w:rPr>
  </w:style>
  <w:style w:styleId="Style_62" w:type="paragraph">
    <w:name w:val="Heading 71"/>
    <w:link w:val="Style_62_ch"/>
  </w:style>
  <w:style w:styleId="Style_62_ch" w:type="character">
    <w:name w:val="Heading 71"/>
    <w:link w:val="Style_62"/>
  </w:style>
  <w:style w:styleId="Style_63" w:type="paragraph">
    <w:name w:val="Знак2"/>
    <w:basedOn w:val="Style_2"/>
    <w:link w:val="Style_63_ch"/>
    <w:pPr>
      <w:spacing w:after="160" w:before="0" w:line="240" w:lineRule="exact"/>
      <w:ind/>
    </w:pPr>
    <w:rPr>
      <w:rFonts w:ascii="Verdana" w:hAnsi="Verdana"/>
      <w:sz w:val="20"/>
    </w:rPr>
  </w:style>
  <w:style w:styleId="Style_63_ch" w:type="character">
    <w:name w:val="Знак2"/>
    <w:basedOn w:val="Style_2_ch"/>
    <w:link w:val="Style_63"/>
    <w:rPr>
      <w:rFonts w:ascii="Verdana" w:hAnsi="Verdana"/>
      <w:sz w:val="20"/>
    </w:rPr>
  </w:style>
  <w:style w:styleId="Style_64" w:type="paragraph">
    <w:name w:val="Body Text Indent 31"/>
    <w:basedOn w:val="Style_2"/>
    <w:link w:val="Style_64_ch"/>
    <w:pPr>
      <w:ind w:firstLine="764" w:left="-764" w:right="0"/>
    </w:pPr>
  </w:style>
  <w:style w:styleId="Style_64_ch" w:type="character">
    <w:name w:val="Body Text Indent 31"/>
    <w:basedOn w:val="Style_2_ch"/>
    <w:link w:val="Style_64"/>
  </w:style>
  <w:style w:styleId="Style_65" w:type="paragraph">
    <w:name w:val="Emphasis"/>
    <w:link w:val="Style_65_ch"/>
    <w:rPr>
      <w:rFonts w:ascii="Times New Roman" w:hAnsi="Times New Roman"/>
      <w:i w:val="1"/>
      <w:color w:val="000000"/>
      <w:spacing w:val="0"/>
      <w:sz w:val="20"/>
    </w:rPr>
  </w:style>
  <w:style w:styleId="Style_65_ch" w:type="character">
    <w:name w:val="Emphasis"/>
    <w:link w:val="Style_65"/>
    <w:rPr>
      <w:rFonts w:ascii="Times New Roman" w:hAnsi="Times New Roman"/>
      <w:i w:val="1"/>
      <w:color w:val="000000"/>
      <w:spacing w:val="0"/>
      <w:sz w:val="20"/>
    </w:rPr>
  </w:style>
  <w:style w:styleId="Style_66" w:type="paragraph">
    <w:name w:val="Основной текст11"/>
    <w:basedOn w:val="Style_2"/>
    <w:link w:val="Style_66_ch"/>
    <w:pPr>
      <w:spacing w:after="240" w:before="0" w:line="318" w:lineRule="exact"/>
      <w:ind/>
      <w:jc w:val="both"/>
    </w:pPr>
    <w:rPr>
      <w:sz w:val="27"/>
    </w:rPr>
  </w:style>
  <w:style w:styleId="Style_66_ch" w:type="character">
    <w:name w:val="Основной текст11"/>
    <w:basedOn w:val="Style_2_ch"/>
    <w:link w:val="Style_66"/>
    <w:rPr>
      <w:sz w:val="27"/>
    </w:rPr>
  </w:style>
  <w:style w:styleId="Style_67" w:type="paragraph">
    <w:name w:val="Выделение11"/>
    <w:link w:val="Style_67_ch"/>
    <w:pPr>
      <w:widowControl w:val="1"/>
      <w:spacing w:after="0" w:before="0" w:line="240" w:lineRule="auto"/>
      <w:ind w:firstLine="0" w:left="0" w:right="0"/>
      <w:jc w:val="left"/>
    </w:pPr>
    <w:rPr>
      <w:rFonts w:ascii="Times New Roman" w:hAnsi="Times New Roman"/>
      <w:i w:val="1"/>
      <w:color w:val="000000"/>
      <w:spacing w:val="0"/>
      <w:sz w:val="20"/>
    </w:rPr>
  </w:style>
  <w:style w:styleId="Style_67_ch" w:type="character">
    <w:name w:val="Выделение11"/>
    <w:link w:val="Style_67"/>
    <w:rPr>
      <w:rFonts w:ascii="Times New Roman" w:hAnsi="Times New Roman"/>
      <w:i w:val="1"/>
      <w:color w:val="000000"/>
      <w:spacing w:val="0"/>
      <w:sz w:val="20"/>
    </w:rPr>
  </w:style>
  <w:style w:styleId="Style_68" w:type="paragraph">
    <w:name w:val="Header1"/>
    <w:link w:val="Style_68_ch"/>
  </w:style>
  <w:style w:styleId="Style_68_ch" w:type="character">
    <w:name w:val="Header1"/>
    <w:link w:val="Style_68"/>
  </w:style>
  <w:style w:styleId="Style_69" w:type="paragraph">
    <w:name w:val="Колонтитул5"/>
    <w:basedOn w:val="Style_2"/>
    <w:link w:val="Style_69_ch"/>
  </w:style>
  <w:style w:styleId="Style_69_ch" w:type="character">
    <w:name w:val="Колонтитул5"/>
    <w:basedOn w:val="Style_2_ch"/>
    <w:link w:val="Style_69"/>
  </w:style>
  <w:style w:styleId="Style_70" w:type="paragraph">
    <w:name w:val="toc 3"/>
    <w:next w:val="Style_2"/>
    <w:link w:val="Style_70_ch"/>
    <w:uiPriority w:val="39"/>
    <w:pPr>
      <w:widowControl w:val="1"/>
      <w:spacing w:after="0" w:before="0" w:line="240" w:lineRule="auto"/>
      <w:ind w:firstLine="0" w:left="400" w:right="0"/>
      <w:jc w:val="left"/>
    </w:pPr>
    <w:rPr>
      <w:rFonts w:ascii="XO Thames" w:hAnsi="XO Thames"/>
      <w:color w:val="000000"/>
      <w:spacing w:val="0"/>
      <w:sz w:val="28"/>
    </w:rPr>
  </w:style>
  <w:style w:styleId="Style_70_ch" w:type="character">
    <w:name w:val="toc 3"/>
    <w:link w:val="Style_70"/>
    <w:rPr>
      <w:rFonts w:ascii="XO Thames" w:hAnsi="XO Thames"/>
      <w:color w:val="000000"/>
      <w:spacing w:val="0"/>
      <w:sz w:val="28"/>
    </w:rPr>
  </w:style>
  <w:style w:styleId="Style_71" w:type="paragraph">
    <w:name w:val="Знак Знак3 Знак Знак Знак1"/>
    <w:basedOn w:val="Style_2"/>
    <w:link w:val="Style_71_ch"/>
    <w:pPr>
      <w:spacing w:after="160" w:before="0" w:line="240" w:lineRule="exact"/>
      <w:ind/>
    </w:pPr>
    <w:rPr>
      <w:rFonts w:ascii="Verdana" w:hAnsi="Verdana"/>
      <w:sz w:val="20"/>
    </w:rPr>
  </w:style>
  <w:style w:styleId="Style_71_ch" w:type="character">
    <w:name w:val="Знак Знак3 Знак Знак Знак1"/>
    <w:basedOn w:val="Style_2_ch"/>
    <w:link w:val="Style_71"/>
    <w:rPr>
      <w:rFonts w:ascii="Verdana" w:hAnsi="Verdana"/>
      <w:sz w:val="20"/>
    </w:rPr>
  </w:style>
  <w:style w:styleId="Style_72" w:type="paragraph">
    <w:name w:val="Заголовок1111111"/>
    <w:basedOn w:val="Style_2"/>
    <w:next w:val="Style_3"/>
    <w:link w:val="Style_72_ch"/>
    <w:pPr>
      <w:keepNext w:val="1"/>
      <w:spacing w:after="120" w:before="240"/>
      <w:ind/>
    </w:pPr>
    <w:rPr>
      <w:rFonts w:ascii="Open Sans" w:hAnsi="Open Sans"/>
      <w:sz w:val="28"/>
    </w:rPr>
  </w:style>
  <w:style w:styleId="Style_72_ch" w:type="character">
    <w:name w:val="Заголовок1111111"/>
    <w:basedOn w:val="Style_2_ch"/>
    <w:link w:val="Style_72"/>
    <w:rPr>
      <w:rFonts w:ascii="Open Sans" w:hAnsi="Open Sans"/>
      <w:sz w:val="28"/>
    </w:rPr>
  </w:style>
  <w:style w:styleId="Style_73" w:type="paragraph">
    <w:name w:val="Заголовок 111"/>
    <w:link w:val="Style_73_ch"/>
    <w:pPr>
      <w:widowControl w:val="1"/>
      <w:spacing w:after="0" w:before="0" w:line="240" w:lineRule="auto"/>
      <w:ind w:firstLine="0" w:left="0" w:right="0"/>
      <w:jc w:val="left"/>
    </w:pPr>
    <w:rPr>
      <w:rFonts w:ascii="Arial" w:hAnsi="Arial"/>
      <w:b w:val="1"/>
      <w:color w:val="000000"/>
      <w:spacing w:val="0"/>
      <w:sz w:val="32"/>
    </w:rPr>
  </w:style>
  <w:style w:styleId="Style_73_ch" w:type="character">
    <w:name w:val="Заголовок 111"/>
    <w:link w:val="Style_73"/>
    <w:rPr>
      <w:rFonts w:ascii="Arial" w:hAnsi="Arial"/>
      <w:b w:val="1"/>
      <w:color w:val="000000"/>
      <w:spacing w:val="0"/>
      <w:sz w:val="32"/>
    </w:rPr>
  </w:style>
  <w:style w:styleId="Style_3" w:type="paragraph">
    <w:name w:val="Body Text"/>
    <w:basedOn w:val="Style_2"/>
    <w:link w:val="Style_3_ch"/>
    <w:pPr>
      <w:ind/>
      <w:jc w:val="both"/>
    </w:pPr>
    <w:rPr>
      <w:sz w:val="32"/>
    </w:rPr>
  </w:style>
  <w:style w:styleId="Style_3_ch" w:type="character">
    <w:name w:val="Body Text"/>
    <w:basedOn w:val="Style_2_ch"/>
    <w:link w:val="Style_3"/>
    <w:rPr>
      <w:sz w:val="32"/>
    </w:rPr>
  </w:style>
  <w:style w:styleId="Style_74" w:type="paragraph">
    <w:name w:val="Колонтитул9"/>
    <w:basedOn w:val="Style_2"/>
    <w:link w:val="Style_74_ch"/>
  </w:style>
  <w:style w:styleId="Style_74_ch" w:type="character">
    <w:name w:val="Колонтитул9"/>
    <w:basedOn w:val="Style_2_ch"/>
    <w:link w:val="Style_74"/>
  </w:style>
  <w:style w:styleId="Style_75" w:type="paragraph">
    <w:name w:val="Заголовок11"/>
    <w:basedOn w:val="Style_2"/>
    <w:next w:val="Style_3"/>
    <w:link w:val="Style_75_ch"/>
    <w:pPr>
      <w:keepNext w:val="1"/>
      <w:spacing w:after="120" w:before="240"/>
      <w:ind/>
    </w:pPr>
    <w:rPr>
      <w:rFonts w:ascii="Open Sans" w:hAnsi="Open Sans"/>
      <w:sz w:val="28"/>
    </w:rPr>
  </w:style>
  <w:style w:styleId="Style_75_ch" w:type="character">
    <w:name w:val="Заголовок11"/>
    <w:basedOn w:val="Style_2_ch"/>
    <w:link w:val="Style_75"/>
    <w:rPr>
      <w:rFonts w:ascii="Open Sans" w:hAnsi="Open Sans"/>
      <w:sz w:val="28"/>
    </w:rPr>
  </w:style>
  <w:style w:styleId="Style_76" w:type="paragraph">
    <w:name w:val="Подзаголовок11"/>
    <w:link w:val="Style_76_ch"/>
    <w:pPr>
      <w:widowControl w:val="1"/>
      <w:spacing w:after="0" w:before="0" w:line="240" w:lineRule="auto"/>
      <w:ind w:firstLine="0" w:left="0" w:right="0"/>
      <w:jc w:val="left"/>
    </w:pPr>
    <w:rPr>
      <w:rFonts w:ascii="XO Thames" w:hAnsi="XO Thames"/>
      <w:i w:val="1"/>
      <w:color w:val="000000"/>
      <w:spacing w:val="0"/>
      <w:sz w:val="24"/>
    </w:rPr>
  </w:style>
  <w:style w:styleId="Style_76_ch" w:type="character">
    <w:name w:val="Подзаголовок11"/>
    <w:link w:val="Style_76"/>
    <w:rPr>
      <w:rFonts w:ascii="XO Thames" w:hAnsi="XO Thames"/>
      <w:i w:val="1"/>
      <w:color w:val="000000"/>
      <w:spacing w:val="0"/>
      <w:sz w:val="24"/>
    </w:rPr>
  </w:style>
  <w:style w:styleId="Style_4" w:type="paragraph">
    <w:name w:val="ConsPlusNormal1"/>
    <w:link w:val="Style_4_ch"/>
    <w:pPr>
      <w:widowControl w:val="0"/>
      <w:spacing w:after="0" w:before="0" w:line="240" w:lineRule="auto"/>
      <w:ind w:firstLine="720" w:left="0" w:right="0"/>
      <w:jc w:val="left"/>
    </w:pPr>
    <w:rPr>
      <w:rFonts w:ascii="Arial" w:hAnsi="Arial"/>
      <w:color w:val="000000"/>
      <w:spacing w:val="0"/>
      <w:sz w:val="20"/>
    </w:rPr>
  </w:style>
  <w:style w:styleId="Style_4_ch" w:type="character">
    <w:name w:val="ConsPlusNormal1"/>
    <w:link w:val="Style_4"/>
    <w:rPr>
      <w:rFonts w:ascii="Arial" w:hAnsi="Arial"/>
      <w:color w:val="000000"/>
      <w:spacing w:val="0"/>
      <w:sz w:val="20"/>
    </w:rPr>
  </w:style>
  <w:style w:styleId="Style_77" w:type="paragraph">
    <w:name w:val="Содержимое врезки2"/>
    <w:basedOn w:val="Style_2"/>
    <w:link w:val="Style_77_ch"/>
  </w:style>
  <w:style w:styleId="Style_77_ch" w:type="character">
    <w:name w:val="Содержимое врезки2"/>
    <w:basedOn w:val="Style_2_ch"/>
    <w:link w:val="Style_77"/>
  </w:style>
  <w:style w:styleId="Style_78" w:type="paragraph">
    <w:name w:val="Нижний колонтитул11"/>
    <w:link w:val="Style_78_ch"/>
    <w:pPr>
      <w:widowControl w:val="1"/>
      <w:spacing w:after="0" w:before="0" w:line="240" w:lineRule="auto"/>
      <w:ind w:firstLine="0" w:left="0" w:right="0"/>
      <w:jc w:val="left"/>
    </w:pPr>
    <w:rPr>
      <w:rFonts w:ascii="Times New Roman" w:hAnsi="Times New Roman"/>
      <w:color w:val="000000"/>
      <w:spacing w:val="0"/>
      <w:sz w:val="20"/>
    </w:rPr>
  </w:style>
  <w:style w:styleId="Style_78_ch" w:type="character">
    <w:name w:val="Нижний колонтитул11"/>
    <w:link w:val="Style_78"/>
    <w:rPr>
      <w:rFonts w:ascii="Times New Roman" w:hAnsi="Times New Roman"/>
      <w:color w:val="000000"/>
      <w:spacing w:val="0"/>
      <w:sz w:val="20"/>
    </w:rPr>
  </w:style>
  <w:style w:styleId="Style_79" w:type="paragraph">
    <w:name w:val="List1"/>
    <w:basedOn w:val="Style_80"/>
    <w:link w:val="Style_79_ch"/>
  </w:style>
  <w:style w:styleId="Style_79_ch" w:type="character">
    <w:name w:val="List1"/>
    <w:basedOn w:val="Style_80_ch"/>
    <w:link w:val="Style_79"/>
  </w:style>
  <w:style w:styleId="Style_81" w:type="paragraph">
    <w:name w:val="Body Text Indent"/>
    <w:basedOn w:val="Style_2"/>
    <w:link w:val="Style_81_ch"/>
    <w:pPr>
      <w:ind w:firstLine="540" w:left="0" w:right="0"/>
      <w:jc w:val="both"/>
    </w:pPr>
    <w:rPr>
      <w:sz w:val="26"/>
    </w:rPr>
  </w:style>
  <w:style w:styleId="Style_81_ch" w:type="character">
    <w:name w:val="Body Text Indent"/>
    <w:basedOn w:val="Style_2_ch"/>
    <w:link w:val="Style_81"/>
    <w:rPr>
      <w:sz w:val="26"/>
    </w:rPr>
  </w:style>
  <w:style w:styleId="Style_82" w:type="paragraph">
    <w:name w:val="Основной текст41"/>
    <w:link w:val="Style_82_ch"/>
    <w:pPr>
      <w:widowControl w:val="1"/>
      <w:spacing w:after="0" w:before="0" w:line="240" w:lineRule="auto"/>
      <w:ind w:firstLine="0" w:left="0" w:right="0"/>
      <w:jc w:val="left"/>
    </w:pPr>
    <w:rPr>
      <w:rFonts w:ascii="Times New Roman" w:hAnsi="Times New Roman"/>
      <w:color w:val="000000"/>
      <w:spacing w:val="0"/>
      <w:sz w:val="26"/>
      <w:highlight w:val="white"/>
    </w:rPr>
  </w:style>
  <w:style w:styleId="Style_82_ch" w:type="character">
    <w:name w:val="Основной текст41"/>
    <w:link w:val="Style_82"/>
    <w:rPr>
      <w:rFonts w:ascii="Times New Roman" w:hAnsi="Times New Roman"/>
      <w:color w:val="000000"/>
      <w:spacing w:val="0"/>
      <w:sz w:val="26"/>
      <w:highlight w:val="white"/>
    </w:rPr>
  </w:style>
  <w:style w:styleId="Style_83" w:type="paragraph">
    <w:name w:val="Основной текст51"/>
    <w:link w:val="Style_83_ch"/>
    <w:pPr>
      <w:widowControl w:val="1"/>
      <w:spacing w:after="0" w:before="0" w:line="240" w:lineRule="auto"/>
      <w:ind w:firstLine="0" w:left="0" w:right="0"/>
      <w:jc w:val="left"/>
    </w:pPr>
    <w:rPr>
      <w:rFonts w:ascii="Times New Roman" w:hAnsi="Times New Roman"/>
      <w:color w:val="000000"/>
      <w:spacing w:val="0"/>
      <w:sz w:val="26"/>
      <w:highlight w:val="white"/>
    </w:rPr>
  </w:style>
  <w:style w:styleId="Style_83_ch" w:type="character">
    <w:name w:val="Основной текст51"/>
    <w:link w:val="Style_83"/>
    <w:rPr>
      <w:rFonts w:ascii="Times New Roman" w:hAnsi="Times New Roman"/>
      <w:color w:val="000000"/>
      <w:spacing w:val="0"/>
      <w:sz w:val="26"/>
      <w:highlight w:val="white"/>
    </w:rPr>
  </w:style>
  <w:style w:styleId="Style_84" w:type="paragraph">
    <w:name w:val="heading 5"/>
    <w:next w:val="Style_2"/>
    <w:link w:val="Style_84_ch"/>
    <w:uiPriority w:val="9"/>
    <w:qFormat/>
    <w:pPr>
      <w:widowControl w:val="1"/>
      <w:spacing w:after="0" w:before="0" w:line="240" w:lineRule="auto"/>
      <w:ind w:firstLine="0" w:left="0" w:right="0"/>
      <w:jc w:val="left"/>
      <w:outlineLvl w:val="4"/>
    </w:pPr>
    <w:rPr>
      <w:rFonts w:ascii="Times New Roman" w:hAnsi="Times New Roman"/>
      <w:b w:val="1"/>
      <w:color w:val="000000"/>
      <w:spacing w:val="0"/>
      <w:sz w:val="36"/>
    </w:rPr>
  </w:style>
  <w:style w:styleId="Style_84_ch" w:type="character">
    <w:name w:val="heading 5"/>
    <w:link w:val="Style_84"/>
    <w:rPr>
      <w:rFonts w:ascii="Times New Roman" w:hAnsi="Times New Roman"/>
      <w:b w:val="1"/>
      <w:color w:val="000000"/>
      <w:spacing w:val="0"/>
      <w:sz w:val="36"/>
    </w:rPr>
  </w:style>
  <w:style w:styleId="Style_85" w:type="paragraph">
    <w:name w:val="Contents 52"/>
    <w:link w:val="Style_85_ch"/>
    <w:pPr>
      <w:widowControl w:val="1"/>
      <w:spacing w:after="0" w:before="0" w:line="240" w:lineRule="auto"/>
      <w:ind w:firstLine="0" w:left="0" w:right="0"/>
      <w:jc w:val="left"/>
    </w:pPr>
    <w:rPr>
      <w:rFonts w:ascii="XO Thames" w:hAnsi="XO Thames"/>
      <w:color w:val="000000"/>
      <w:spacing w:val="0"/>
      <w:sz w:val="28"/>
    </w:rPr>
  </w:style>
  <w:style w:styleId="Style_85_ch" w:type="character">
    <w:name w:val="Contents 52"/>
    <w:link w:val="Style_85"/>
    <w:rPr>
      <w:rFonts w:ascii="XO Thames" w:hAnsi="XO Thames"/>
      <w:color w:val="000000"/>
      <w:spacing w:val="0"/>
      <w:sz w:val="28"/>
    </w:rPr>
  </w:style>
  <w:style w:styleId="Style_86" w:type="paragraph">
    <w:name w:val="Указатель11111"/>
    <w:basedOn w:val="Style_2"/>
    <w:link w:val="Style_86_ch"/>
  </w:style>
  <w:style w:styleId="Style_86_ch" w:type="character">
    <w:name w:val="Указатель11111"/>
    <w:basedOn w:val="Style_2_ch"/>
    <w:link w:val="Style_86"/>
  </w:style>
  <w:style w:styleId="Style_87" w:type="paragraph">
    <w:name w:val="Heading 41"/>
    <w:link w:val="Style_87_ch"/>
    <w:rPr>
      <w:sz w:val="28"/>
    </w:rPr>
  </w:style>
  <w:style w:styleId="Style_87_ch" w:type="character">
    <w:name w:val="Heading 41"/>
    <w:link w:val="Style_87"/>
    <w:rPr>
      <w:sz w:val="28"/>
    </w:rPr>
  </w:style>
  <w:style w:styleId="Style_88" w:type="paragraph">
    <w:name w:val="FollowedHyperlink"/>
    <w:link w:val="Style_88_ch"/>
    <w:rPr>
      <w:color w:val="800000"/>
      <w:u w:val="single"/>
    </w:rPr>
  </w:style>
  <w:style w:styleId="Style_88_ch" w:type="character">
    <w:name w:val="FollowedHyperlink"/>
    <w:link w:val="Style_88"/>
    <w:rPr>
      <w:color w:val="800000"/>
      <w:u w:val="single"/>
    </w:rPr>
  </w:style>
  <w:style w:styleId="Style_89" w:type="paragraph">
    <w:name w:val="Contents 32"/>
    <w:link w:val="Style_89_ch"/>
    <w:pPr>
      <w:widowControl w:val="1"/>
      <w:spacing w:after="0" w:before="0" w:line="240" w:lineRule="auto"/>
      <w:ind w:firstLine="0" w:left="0" w:right="0"/>
      <w:jc w:val="left"/>
    </w:pPr>
    <w:rPr>
      <w:rFonts w:ascii="XO Thames" w:hAnsi="XO Thames"/>
      <w:color w:val="000000"/>
      <w:spacing w:val="0"/>
      <w:sz w:val="28"/>
    </w:rPr>
  </w:style>
  <w:style w:styleId="Style_89_ch" w:type="character">
    <w:name w:val="Contents 32"/>
    <w:link w:val="Style_89"/>
    <w:rPr>
      <w:rFonts w:ascii="XO Thames" w:hAnsi="XO Thames"/>
      <w:color w:val="000000"/>
      <w:spacing w:val="0"/>
      <w:sz w:val="28"/>
    </w:rPr>
  </w:style>
  <w:style w:styleId="Style_1" w:type="paragraph">
    <w:name w:val="Header"/>
    <w:link w:val="Style_1_ch"/>
    <w:pPr>
      <w:widowControl w:val="1"/>
      <w:spacing w:after="0" w:before="0" w:line="240" w:lineRule="auto"/>
      <w:ind w:firstLine="0" w:left="0" w:right="0"/>
      <w:jc w:val="left"/>
    </w:pPr>
    <w:rPr>
      <w:rFonts w:ascii="Times New Roman" w:hAnsi="Times New Roman"/>
      <w:color w:val="000000"/>
      <w:spacing w:val="0"/>
      <w:sz w:val="20"/>
    </w:rPr>
  </w:style>
  <w:style w:styleId="Style_1_ch" w:type="character">
    <w:name w:val="Header"/>
    <w:link w:val="Style_1"/>
    <w:rPr>
      <w:rFonts w:ascii="Times New Roman" w:hAnsi="Times New Roman"/>
      <w:color w:val="000000"/>
      <w:spacing w:val="0"/>
      <w:sz w:val="20"/>
    </w:rPr>
  </w:style>
  <w:style w:styleId="Style_90" w:type="paragraph">
    <w:name w:val="heading 1"/>
    <w:basedOn w:val="Style_2"/>
    <w:next w:val="Style_2"/>
    <w:link w:val="Style_90_ch"/>
    <w:uiPriority w:val="9"/>
    <w:qFormat/>
    <w:pPr>
      <w:keepNext w:val="1"/>
      <w:spacing w:after="60" w:before="240"/>
      <w:ind/>
      <w:outlineLvl w:val="0"/>
    </w:pPr>
    <w:rPr>
      <w:rFonts w:ascii="Arial" w:hAnsi="Arial"/>
      <w:b w:val="1"/>
      <w:sz w:val="32"/>
    </w:rPr>
  </w:style>
  <w:style w:styleId="Style_90_ch" w:type="character">
    <w:name w:val="heading 1"/>
    <w:basedOn w:val="Style_2_ch"/>
    <w:link w:val="Style_90"/>
    <w:rPr>
      <w:rFonts w:ascii="Arial" w:hAnsi="Arial"/>
      <w:b w:val="1"/>
      <w:sz w:val="32"/>
    </w:rPr>
  </w:style>
  <w:style w:styleId="Style_91" w:type="paragraph">
    <w:name w:val="Номер страницы11"/>
    <w:basedOn w:val="Style_37"/>
    <w:link w:val="Style_91_ch"/>
  </w:style>
  <w:style w:styleId="Style_91_ch" w:type="character">
    <w:name w:val="Номер страницы11"/>
    <w:basedOn w:val="Style_37_ch"/>
    <w:link w:val="Style_91"/>
  </w:style>
  <w:style w:styleId="Style_92" w:type="paragraph">
    <w:name w:val="Balloon Text1"/>
    <w:basedOn w:val="Style_2"/>
    <w:link w:val="Style_92_ch"/>
    <w:rPr>
      <w:rFonts w:ascii="Tahoma" w:hAnsi="Tahoma"/>
      <w:sz w:val="16"/>
    </w:rPr>
  </w:style>
  <w:style w:styleId="Style_92_ch" w:type="character">
    <w:name w:val="Balloon Text1"/>
    <w:basedOn w:val="Style_2_ch"/>
    <w:link w:val="Style_92"/>
    <w:rPr>
      <w:rFonts w:ascii="Tahoma" w:hAnsi="Tahoma"/>
      <w:sz w:val="16"/>
    </w:rPr>
  </w:style>
  <w:style w:styleId="Style_93" w:type="paragraph">
    <w:name w:val="Hyperlink"/>
    <w:link w:val="Style_93_ch"/>
    <w:rPr>
      <w:color w:val="0000FF"/>
      <w:u w:val="single"/>
    </w:rPr>
  </w:style>
  <w:style w:styleId="Style_93_ch" w:type="character">
    <w:name w:val="Hyperlink"/>
    <w:link w:val="Style_93"/>
    <w:rPr>
      <w:color w:val="0000FF"/>
      <w:u w:val="single"/>
    </w:rPr>
  </w:style>
  <w:style w:styleId="Style_94" w:type="paragraph">
    <w:name w:val="Footnote"/>
    <w:link w:val="Style_94_ch"/>
    <w:pPr>
      <w:ind w:firstLine="851" w:left="0"/>
      <w:jc w:val="both"/>
    </w:pPr>
    <w:rPr>
      <w:rFonts w:ascii="XO Thames" w:hAnsi="XO Thames"/>
      <w:sz w:val="22"/>
    </w:rPr>
  </w:style>
  <w:style w:styleId="Style_94_ch" w:type="character">
    <w:name w:val="Footnote"/>
    <w:link w:val="Style_94"/>
    <w:rPr>
      <w:rFonts w:ascii="XO Thames" w:hAnsi="XO Thames"/>
      <w:sz w:val="22"/>
    </w:rPr>
  </w:style>
  <w:style w:styleId="Style_95" w:type="paragraph">
    <w:name w:val="Указатель111"/>
    <w:basedOn w:val="Style_2"/>
    <w:link w:val="Style_95_ch"/>
  </w:style>
  <w:style w:styleId="Style_95_ch" w:type="character">
    <w:name w:val="Указатель111"/>
    <w:basedOn w:val="Style_2_ch"/>
    <w:link w:val="Style_95"/>
  </w:style>
  <w:style w:styleId="Style_96" w:type="paragraph">
    <w:name w:val="Знак Знак Знак Знак Знак Знак Знак Знак Знак Знак Знак Знак Знак Знак Знак Знак Знак Знак1"/>
    <w:basedOn w:val="Style_2"/>
    <w:link w:val="Style_96_ch"/>
    <w:pPr>
      <w:widowControl w:val="0"/>
      <w:spacing w:after="160" w:before="0" w:line="240" w:lineRule="exact"/>
      <w:ind/>
      <w:jc w:val="right"/>
    </w:pPr>
    <w:rPr>
      <w:sz w:val="20"/>
    </w:rPr>
  </w:style>
  <w:style w:styleId="Style_96_ch" w:type="character">
    <w:name w:val="Знак Знак Знак Знак Знак Знак Знак Знак Знак Знак Знак Знак Знак Знак Знак Знак Знак Знак1"/>
    <w:basedOn w:val="Style_2_ch"/>
    <w:link w:val="Style_96"/>
    <w:rPr>
      <w:sz w:val="20"/>
    </w:rPr>
  </w:style>
  <w:style w:styleId="Style_97" w:type="paragraph">
    <w:name w:val="toc 1"/>
    <w:next w:val="Style_2"/>
    <w:link w:val="Style_97_ch"/>
    <w:uiPriority w:val="39"/>
    <w:pPr>
      <w:widowControl w:val="1"/>
      <w:spacing w:after="0" w:before="0" w:line="240" w:lineRule="auto"/>
      <w:ind w:firstLine="0" w:left="0" w:right="0"/>
      <w:jc w:val="left"/>
    </w:pPr>
    <w:rPr>
      <w:rFonts w:ascii="XO Thames" w:hAnsi="XO Thames"/>
      <w:b w:val="1"/>
      <w:color w:val="000000"/>
      <w:spacing w:val="0"/>
      <w:sz w:val="28"/>
    </w:rPr>
  </w:style>
  <w:style w:styleId="Style_97_ch" w:type="character">
    <w:name w:val="toc 1"/>
    <w:link w:val="Style_97"/>
    <w:rPr>
      <w:rFonts w:ascii="XO Thames" w:hAnsi="XO Thames"/>
      <w:b w:val="1"/>
      <w:color w:val="000000"/>
      <w:spacing w:val="0"/>
      <w:sz w:val="28"/>
    </w:rPr>
  </w:style>
  <w:style w:styleId="Style_98" w:type="paragraph">
    <w:name w:val="ConsPlusNonformat1"/>
    <w:link w:val="Style_98_ch"/>
    <w:pPr>
      <w:widowControl w:val="0"/>
      <w:spacing w:after="0" w:before="0" w:line="240" w:lineRule="auto"/>
      <w:ind w:firstLine="0" w:left="0" w:right="0"/>
      <w:jc w:val="left"/>
    </w:pPr>
    <w:rPr>
      <w:rFonts w:ascii="Courier New" w:hAnsi="Courier New"/>
      <w:color w:val="000000"/>
      <w:spacing w:val="0"/>
      <w:sz w:val="20"/>
    </w:rPr>
  </w:style>
  <w:style w:styleId="Style_98_ch" w:type="character">
    <w:name w:val="ConsPlusNonformat1"/>
    <w:link w:val="Style_98"/>
    <w:rPr>
      <w:rFonts w:ascii="Courier New" w:hAnsi="Courier New"/>
      <w:color w:val="000000"/>
      <w:spacing w:val="0"/>
      <w:sz w:val="20"/>
    </w:rPr>
  </w:style>
  <w:style w:styleId="Style_99" w:type="paragraph">
    <w:name w:val="Содержимое врезки8"/>
    <w:basedOn w:val="Style_2"/>
    <w:link w:val="Style_99_ch"/>
  </w:style>
  <w:style w:styleId="Style_99_ch" w:type="character">
    <w:name w:val="Содержимое врезки8"/>
    <w:basedOn w:val="Style_2_ch"/>
    <w:link w:val="Style_99"/>
  </w:style>
  <w:style w:styleId="Style_100" w:type="paragraph">
    <w:name w:val="Заголовок 511"/>
    <w:link w:val="Style_100_ch"/>
    <w:pPr>
      <w:widowControl w:val="1"/>
      <w:spacing w:after="0" w:before="0" w:line="240" w:lineRule="auto"/>
      <w:ind w:firstLine="0" w:left="0" w:right="0"/>
      <w:jc w:val="left"/>
    </w:pPr>
    <w:rPr>
      <w:rFonts w:ascii="Times New Roman" w:hAnsi="Times New Roman"/>
      <w:b w:val="1"/>
      <w:color w:val="000000"/>
      <w:spacing w:val="0"/>
      <w:sz w:val="36"/>
    </w:rPr>
  </w:style>
  <w:style w:styleId="Style_100_ch" w:type="character">
    <w:name w:val="Заголовок 511"/>
    <w:link w:val="Style_100"/>
    <w:rPr>
      <w:rFonts w:ascii="Times New Roman" w:hAnsi="Times New Roman"/>
      <w:b w:val="1"/>
      <w:color w:val="000000"/>
      <w:spacing w:val="0"/>
      <w:sz w:val="36"/>
    </w:rPr>
  </w:style>
  <w:style w:styleId="Style_101" w:type="paragraph">
    <w:name w:val="Header and Footer"/>
    <w:link w:val="Style_101_ch"/>
    <w:rPr>
      <w:rFonts w:ascii="XO Thames" w:hAnsi="XO Thames"/>
      <w:sz w:val="20"/>
    </w:rPr>
  </w:style>
  <w:style w:styleId="Style_101_ch" w:type="character">
    <w:name w:val="Header and Footer"/>
    <w:link w:val="Style_101"/>
    <w:rPr>
      <w:rFonts w:ascii="XO Thames" w:hAnsi="XO Thames"/>
      <w:sz w:val="20"/>
    </w:rPr>
  </w:style>
  <w:style w:styleId="Style_102" w:type="paragraph">
    <w:name w:val="Footnote1"/>
    <w:link w:val="Style_102_ch"/>
    <w:pPr>
      <w:widowControl w:val="1"/>
      <w:spacing w:after="0" w:before="0" w:line="240" w:lineRule="auto"/>
      <w:ind w:firstLine="851" w:left="0" w:right="0"/>
      <w:jc w:val="both"/>
    </w:pPr>
    <w:rPr>
      <w:rFonts w:ascii="XO Thames" w:hAnsi="XO Thames"/>
      <w:color w:val="000000"/>
      <w:spacing w:val="0"/>
      <w:sz w:val="22"/>
    </w:rPr>
  </w:style>
  <w:style w:styleId="Style_102_ch" w:type="character">
    <w:name w:val="Footnote1"/>
    <w:link w:val="Style_102"/>
    <w:rPr>
      <w:rFonts w:ascii="XO Thames" w:hAnsi="XO Thames"/>
      <w:color w:val="000000"/>
      <w:spacing w:val="0"/>
      <w:sz w:val="22"/>
    </w:rPr>
  </w:style>
  <w:style w:styleId="Style_103" w:type="paragraph">
    <w:name w:val="Содержимое врезки6"/>
    <w:basedOn w:val="Style_2"/>
    <w:link w:val="Style_103_ch"/>
  </w:style>
  <w:style w:styleId="Style_103_ch" w:type="character">
    <w:name w:val="Содержимое врезки6"/>
    <w:basedOn w:val="Style_2_ch"/>
    <w:link w:val="Style_103"/>
  </w:style>
  <w:style w:styleId="Style_104" w:type="paragraph">
    <w:name w:val="caption3"/>
    <w:basedOn w:val="Style_2"/>
    <w:link w:val="Style_104_ch"/>
    <w:pPr>
      <w:spacing w:after="120" w:before="120"/>
      <w:ind/>
    </w:pPr>
    <w:rPr>
      <w:i w:val="1"/>
    </w:rPr>
  </w:style>
  <w:style w:styleId="Style_104_ch" w:type="character">
    <w:name w:val="caption3"/>
    <w:basedOn w:val="Style_2_ch"/>
    <w:link w:val="Style_104"/>
    <w:rPr>
      <w:i w:val="1"/>
    </w:rPr>
  </w:style>
  <w:style w:styleId="Style_105" w:type="paragraph">
    <w:name w:val="toc 9"/>
    <w:next w:val="Style_2"/>
    <w:link w:val="Style_105_ch"/>
    <w:uiPriority w:val="39"/>
    <w:pPr>
      <w:widowControl w:val="1"/>
      <w:spacing w:after="0" w:before="0" w:line="240" w:lineRule="auto"/>
      <w:ind w:firstLine="0" w:left="1600" w:right="0"/>
      <w:jc w:val="left"/>
    </w:pPr>
    <w:rPr>
      <w:rFonts w:ascii="XO Thames" w:hAnsi="XO Thames"/>
      <w:color w:val="000000"/>
      <w:spacing w:val="0"/>
      <w:sz w:val="28"/>
    </w:rPr>
  </w:style>
  <w:style w:styleId="Style_105_ch" w:type="character">
    <w:name w:val="toc 9"/>
    <w:link w:val="Style_105"/>
    <w:rPr>
      <w:rFonts w:ascii="XO Thames" w:hAnsi="XO Thames"/>
      <w:color w:val="000000"/>
      <w:spacing w:val="0"/>
      <w:sz w:val="28"/>
    </w:rPr>
  </w:style>
  <w:style w:styleId="Style_106" w:type="paragraph">
    <w:name w:val="Заголовок111111"/>
    <w:basedOn w:val="Style_2"/>
    <w:next w:val="Style_3"/>
    <w:link w:val="Style_106_ch"/>
    <w:pPr>
      <w:keepNext w:val="1"/>
      <w:spacing w:after="120" w:before="240"/>
      <w:ind/>
    </w:pPr>
    <w:rPr>
      <w:rFonts w:ascii="Open Sans" w:hAnsi="Open Sans"/>
      <w:sz w:val="28"/>
    </w:rPr>
  </w:style>
  <w:style w:styleId="Style_106_ch" w:type="character">
    <w:name w:val="Заголовок111111"/>
    <w:basedOn w:val="Style_2_ch"/>
    <w:link w:val="Style_106"/>
    <w:rPr>
      <w:rFonts w:ascii="Open Sans" w:hAnsi="Open Sans"/>
      <w:sz w:val="28"/>
    </w:rPr>
  </w:style>
  <w:style w:styleId="Style_107" w:type="paragraph">
    <w:name w:val="Contents 82"/>
    <w:link w:val="Style_107_ch"/>
    <w:pPr>
      <w:widowControl w:val="1"/>
      <w:spacing w:after="0" w:before="0" w:line="240" w:lineRule="auto"/>
      <w:ind w:firstLine="0" w:left="0" w:right="0"/>
      <w:jc w:val="left"/>
    </w:pPr>
    <w:rPr>
      <w:rFonts w:ascii="XO Thames" w:hAnsi="XO Thames"/>
      <w:color w:val="000000"/>
      <w:spacing w:val="0"/>
      <w:sz w:val="28"/>
    </w:rPr>
  </w:style>
  <w:style w:styleId="Style_107_ch" w:type="character">
    <w:name w:val="Contents 82"/>
    <w:link w:val="Style_107"/>
    <w:rPr>
      <w:rFonts w:ascii="XO Thames" w:hAnsi="XO Thames"/>
      <w:color w:val="000000"/>
      <w:spacing w:val="0"/>
      <w:sz w:val="28"/>
    </w:rPr>
  </w:style>
  <w:style w:styleId="Style_108" w:type="paragraph">
    <w:name w:val="Заголовок1"/>
    <w:basedOn w:val="Style_2"/>
    <w:next w:val="Style_3"/>
    <w:link w:val="Style_108_ch"/>
    <w:pPr>
      <w:keepNext w:val="1"/>
      <w:spacing w:after="120" w:before="240"/>
      <w:ind/>
    </w:pPr>
    <w:rPr>
      <w:rFonts w:ascii="Open Sans" w:hAnsi="Open Sans"/>
      <w:sz w:val="28"/>
    </w:rPr>
  </w:style>
  <w:style w:styleId="Style_108_ch" w:type="character">
    <w:name w:val="Заголовок1"/>
    <w:basedOn w:val="Style_2_ch"/>
    <w:link w:val="Style_108"/>
    <w:rPr>
      <w:rFonts w:ascii="Open Sans" w:hAnsi="Open Sans"/>
      <w:sz w:val="28"/>
    </w:rPr>
  </w:style>
  <w:style w:styleId="Style_109" w:type="paragraph">
    <w:name w:val="western1"/>
    <w:basedOn w:val="Style_2"/>
    <w:link w:val="Style_109_ch"/>
    <w:pPr>
      <w:spacing w:afterAutospacing="on" w:beforeAutospacing="on"/>
      <w:ind/>
    </w:pPr>
  </w:style>
  <w:style w:styleId="Style_109_ch" w:type="character">
    <w:name w:val="western1"/>
    <w:basedOn w:val="Style_2_ch"/>
    <w:link w:val="Style_109"/>
  </w:style>
  <w:style w:styleId="Style_110" w:type="paragraph">
    <w:name w:val="Subtitle1"/>
    <w:link w:val="Style_110_ch"/>
    <w:rPr>
      <w:rFonts w:ascii="XO Thames" w:hAnsi="XO Thames"/>
      <w:i w:val="1"/>
      <w:color w:val="000000"/>
      <w:sz w:val="24"/>
    </w:rPr>
  </w:style>
  <w:style w:styleId="Style_110_ch" w:type="character">
    <w:name w:val="Subtitle1"/>
    <w:link w:val="Style_110"/>
    <w:rPr>
      <w:rFonts w:ascii="XO Thames" w:hAnsi="XO Thames"/>
      <w:i w:val="1"/>
      <w:color w:val="000000"/>
      <w:sz w:val="24"/>
    </w:rPr>
  </w:style>
  <w:style w:styleId="Style_111" w:type="paragraph">
    <w:name w:val="Caption"/>
    <w:link w:val="Style_111_ch"/>
    <w:pPr>
      <w:widowControl w:val="1"/>
      <w:spacing w:after="0" w:before="0" w:line="240" w:lineRule="auto"/>
      <w:ind w:firstLine="0" w:left="0" w:right="0"/>
      <w:jc w:val="left"/>
    </w:pPr>
    <w:rPr>
      <w:rFonts w:ascii="Times New Roman" w:hAnsi="Times New Roman"/>
      <w:i w:val="1"/>
      <w:color w:val="000000"/>
      <w:spacing w:val="0"/>
      <w:sz w:val="24"/>
    </w:rPr>
  </w:style>
  <w:style w:styleId="Style_111_ch" w:type="character">
    <w:name w:val="Caption"/>
    <w:link w:val="Style_111"/>
    <w:rPr>
      <w:rFonts w:ascii="Times New Roman" w:hAnsi="Times New Roman"/>
      <w:i w:val="1"/>
      <w:color w:val="000000"/>
      <w:spacing w:val="0"/>
      <w:sz w:val="24"/>
    </w:rPr>
  </w:style>
  <w:style w:styleId="Style_112" w:type="paragraph">
    <w:name w:val="Contents 72"/>
    <w:link w:val="Style_112_ch"/>
    <w:pPr>
      <w:widowControl w:val="1"/>
      <w:spacing w:after="0" w:before="0" w:line="240" w:lineRule="auto"/>
      <w:ind w:firstLine="0" w:left="0" w:right="0"/>
      <w:jc w:val="left"/>
    </w:pPr>
    <w:rPr>
      <w:rFonts w:ascii="XO Thames" w:hAnsi="XO Thames"/>
      <w:color w:val="000000"/>
      <w:spacing w:val="0"/>
      <w:sz w:val="28"/>
    </w:rPr>
  </w:style>
  <w:style w:styleId="Style_112_ch" w:type="character">
    <w:name w:val="Contents 72"/>
    <w:link w:val="Style_112"/>
    <w:rPr>
      <w:rFonts w:ascii="XO Thames" w:hAnsi="XO Thames"/>
      <w:color w:val="000000"/>
      <w:spacing w:val="0"/>
      <w:sz w:val="28"/>
    </w:rPr>
  </w:style>
  <w:style w:styleId="Style_113" w:type="paragraph">
    <w:name w:val="Заголовок11111"/>
    <w:basedOn w:val="Style_2"/>
    <w:next w:val="Style_3"/>
    <w:link w:val="Style_113_ch"/>
    <w:pPr>
      <w:keepNext w:val="1"/>
      <w:spacing w:after="120" w:before="240"/>
      <w:ind/>
    </w:pPr>
    <w:rPr>
      <w:rFonts w:ascii="Open Sans" w:hAnsi="Open Sans"/>
      <w:sz w:val="28"/>
    </w:rPr>
  </w:style>
  <w:style w:styleId="Style_113_ch" w:type="character">
    <w:name w:val="Заголовок11111"/>
    <w:basedOn w:val="Style_2_ch"/>
    <w:link w:val="Style_113"/>
    <w:rPr>
      <w:rFonts w:ascii="Open Sans" w:hAnsi="Open Sans"/>
      <w:sz w:val="28"/>
    </w:rPr>
  </w:style>
  <w:style w:styleId="Style_114" w:type="paragraph">
    <w:name w:val="Знак Знак Знак Знак Знак Знак Знак Знак Знак1"/>
    <w:basedOn w:val="Style_2"/>
    <w:link w:val="Style_114_ch"/>
    <w:pPr>
      <w:widowControl w:val="0"/>
      <w:spacing w:after="160" w:before="0" w:line="240" w:lineRule="exact"/>
      <w:ind/>
      <w:jc w:val="right"/>
    </w:pPr>
    <w:rPr>
      <w:sz w:val="20"/>
    </w:rPr>
  </w:style>
  <w:style w:styleId="Style_114_ch" w:type="character">
    <w:name w:val="Знак Знак Знак Знак Знак Знак Знак Знак Знак1"/>
    <w:basedOn w:val="Style_2_ch"/>
    <w:link w:val="Style_114"/>
    <w:rPr>
      <w:sz w:val="20"/>
    </w:rPr>
  </w:style>
  <w:style w:styleId="Style_7" w:type="paragraph">
    <w:name w:val="List Paragraph2"/>
    <w:basedOn w:val="Style_2"/>
    <w:link w:val="Style_7_ch"/>
    <w:pPr>
      <w:spacing w:after="200" w:before="0" w:line="276" w:lineRule="auto"/>
      <w:ind w:firstLine="0" w:left="720"/>
    </w:pPr>
    <w:rPr>
      <w:rFonts w:ascii="Calibri" w:hAnsi="Calibri"/>
      <w:sz w:val="22"/>
    </w:rPr>
  </w:style>
  <w:style w:styleId="Style_7_ch" w:type="character">
    <w:name w:val="List Paragraph2"/>
    <w:basedOn w:val="Style_2_ch"/>
    <w:link w:val="Style_7"/>
    <w:rPr>
      <w:rFonts w:ascii="Calibri" w:hAnsi="Calibri"/>
      <w:sz w:val="22"/>
    </w:rPr>
  </w:style>
  <w:style w:styleId="Style_115" w:type="paragraph">
    <w:name w:val="Text body indent2"/>
    <w:link w:val="Style_115_ch"/>
    <w:pPr>
      <w:widowControl w:val="1"/>
      <w:spacing w:after="0" w:before="0" w:line="240" w:lineRule="auto"/>
      <w:ind w:firstLine="0" w:left="0" w:right="0"/>
      <w:jc w:val="left"/>
    </w:pPr>
    <w:rPr>
      <w:rFonts w:ascii="Times New Roman" w:hAnsi="Times New Roman"/>
      <w:color w:val="000000"/>
      <w:spacing w:val="0"/>
      <w:sz w:val="26"/>
    </w:rPr>
  </w:style>
  <w:style w:styleId="Style_115_ch" w:type="character">
    <w:name w:val="Text body indent2"/>
    <w:link w:val="Style_115"/>
    <w:rPr>
      <w:rFonts w:ascii="Times New Roman" w:hAnsi="Times New Roman"/>
      <w:color w:val="000000"/>
      <w:spacing w:val="0"/>
      <w:sz w:val="26"/>
    </w:rPr>
  </w:style>
  <w:style w:styleId="Style_116" w:type="paragraph">
    <w:name w:val="Contents 7"/>
    <w:link w:val="Style_116_ch"/>
    <w:rPr>
      <w:rFonts w:ascii="XO Thames" w:hAnsi="XO Thames"/>
      <w:color w:val="000000"/>
      <w:spacing w:val="0"/>
      <w:sz w:val="28"/>
    </w:rPr>
  </w:style>
  <w:style w:styleId="Style_116_ch" w:type="character">
    <w:name w:val="Contents 7"/>
    <w:link w:val="Style_116"/>
    <w:rPr>
      <w:rFonts w:ascii="XO Thames" w:hAnsi="XO Thames"/>
      <w:color w:val="000000"/>
      <w:spacing w:val="0"/>
      <w:sz w:val="28"/>
    </w:rPr>
  </w:style>
  <w:style w:styleId="Style_117" w:type="paragraph">
    <w:name w:val="Heading 51"/>
    <w:link w:val="Style_117_ch"/>
    <w:rPr>
      <w:b w:val="1"/>
      <w:sz w:val="36"/>
    </w:rPr>
  </w:style>
  <w:style w:styleId="Style_117_ch" w:type="character">
    <w:name w:val="Heading 51"/>
    <w:link w:val="Style_117"/>
    <w:rPr>
      <w:b w:val="1"/>
      <w:sz w:val="36"/>
    </w:rPr>
  </w:style>
  <w:style w:styleId="Style_118" w:type="paragraph">
    <w:name w:val="Колонтитул4"/>
    <w:basedOn w:val="Style_2"/>
    <w:link w:val="Style_118_ch"/>
  </w:style>
  <w:style w:styleId="Style_118_ch" w:type="character">
    <w:name w:val="Колонтитул4"/>
    <w:basedOn w:val="Style_2_ch"/>
    <w:link w:val="Style_118"/>
  </w:style>
  <w:style w:styleId="Style_119" w:type="paragraph">
    <w:name w:val="toc 8"/>
    <w:next w:val="Style_2"/>
    <w:link w:val="Style_119_ch"/>
    <w:uiPriority w:val="39"/>
    <w:pPr>
      <w:widowControl w:val="1"/>
      <w:spacing w:after="0" w:before="0" w:line="240" w:lineRule="auto"/>
      <w:ind w:firstLine="0" w:left="1400" w:right="0"/>
      <w:jc w:val="left"/>
    </w:pPr>
    <w:rPr>
      <w:rFonts w:ascii="XO Thames" w:hAnsi="XO Thames"/>
      <w:color w:val="000000"/>
      <w:spacing w:val="0"/>
      <w:sz w:val="28"/>
    </w:rPr>
  </w:style>
  <w:style w:styleId="Style_119_ch" w:type="character">
    <w:name w:val="toc 8"/>
    <w:link w:val="Style_119"/>
    <w:rPr>
      <w:rFonts w:ascii="XO Thames" w:hAnsi="XO Thames"/>
      <w:color w:val="000000"/>
      <w:spacing w:val="0"/>
      <w:sz w:val="28"/>
    </w:rPr>
  </w:style>
  <w:style w:styleId="Style_120" w:type="paragraph">
    <w:name w:val="Contents 51"/>
    <w:link w:val="Style_120_ch"/>
    <w:rPr>
      <w:rFonts w:ascii="XO Thames" w:hAnsi="XO Thames"/>
      <w:color w:val="000000"/>
      <w:spacing w:val="0"/>
      <w:sz w:val="28"/>
    </w:rPr>
  </w:style>
  <w:style w:styleId="Style_120_ch" w:type="character">
    <w:name w:val="Contents 51"/>
    <w:link w:val="Style_120"/>
    <w:rPr>
      <w:rFonts w:ascii="XO Thames" w:hAnsi="XO Thames"/>
      <w:color w:val="000000"/>
      <w:spacing w:val="0"/>
      <w:sz w:val="28"/>
    </w:rPr>
  </w:style>
  <w:style w:styleId="Style_121" w:type="paragraph">
    <w:name w:val="Normal (Web)1"/>
    <w:basedOn w:val="Style_2"/>
    <w:link w:val="Style_121_ch"/>
    <w:pPr>
      <w:spacing w:afterAutospacing="on" w:before="150"/>
      <w:ind w:firstLine="150" w:left="0" w:right="0"/>
      <w:jc w:val="both"/>
    </w:pPr>
    <w:rPr>
      <w:sz w:val="21"/>
    </w:rPr>
  </w:style>
  <w:style w:styleId="Style_121_ch" w:type="character">
    <w:name w:val="Normal (Web)1"/>
    <w:basedOn w:val="Style_2_ch"/>
    <w:link w:val="Style_121"/>
    <w:rPr>
      <w:sz w:val="21"/>
    </w:rPr>
  </w:style>
  <w:style w:styleId="Style_122" w:type="paragraph">
    <w:name w:val="Текст (лев. подпись)1"/>
    <w:basedOn w:val="Style_2"/>
    <w:next w:val="Style_2"/>
    <w:link w:val="Style_122_ch"/>
    <w:pPr>
      <w:widowControl w:val="0"/>
      <w:ind/>
    </w:pPr>
    <w:rPr>
      <w:rFonts w:ascii="Arial" w:hAnsi="Arial"/>
    </w:rPr>
  </w:style>
  <w:style w:styleId="Style_122_ch" w:type="character">
    <w:name w:val="Текст (лев. подпись)1"/>
    <w:basedOn w:val="Style_2_ch"/>
    <w:link w:val="Style_122"/>
    <w:rPr>
      <w:rFonts w:ascii="Arial" w:hAnsi="Arial"/>
    </w:rPr>
  </w:style>
  <w:style w:styleId="Style_123" w:type="paragraph">
    <w:name w:val="Колонтитул8"/>
    <w:basedOn w:val="Style_2"/>
    <w:link w:val="Style_123_ch"/>
  </w:style>
  <w:style w:styleId="Style_123_ch" w:type="character">
    <w:name w:val="Колонтитул8"/>
    <w:basedOn w:val="Style_2_ch"/>
    <w:link w:val="Style_123"/>
  </w:style>
  <w:style w:styleId="Style_124" w:type="paragraph">
    <w:name w:val="Содержимое врезки9"/>
    <w:basedOn w:val="Style_2"/>
    <w:link w:val="Style_124_ch"/>
  </w:style>
  <w:style w:styleId="Style_124_ch" w:type="character">
    <w:name w:val="Содержимое врезки9"/>
    <w:basedOn w:val="Style_2_ch"/>
    <w:link w:val="Style_124"/>
  </w:style>
  <w:style w:styleId="Style_125" w:type="paragraph">
    <w:name w:val="Колонтитул7"/>
    <w:basedOn w:val="Style_2"/>
    <w:link w:val="Style_125_ch"/>
  </w:style>
  <w:style w:styleId="Style_125_ch" w:type="character">
    <w:name w:val="Колонтитул7"/>
    <w:basedOn w:val="Style_2_ch"/>
    <w:link w:val="Style_125"/>
  </w:style>
  <w:style w:styleId="Style_126" w:type="paragraph">
    <w:name w:val="Заголовок 611"/>
    <w:link w:val="Style_126_ch"/>
    <w:pPr>
      <w:widowControl w:val="1"/>
      <w:spacing w:after="0" w:before="0" w:line="240" w:lineRule="auto"/>
      <w:ind w:firstLine="0" w:left="0" w:right="0"/>
      <w:jc w:val="left"/>
    </w:pPr>
    <w:rPr>
      <w:rFonts w:ascii="Times New Roman" w:hAnsi="Times New Roman"/>
      <w:color w:val="000000"/>
      <w:spacing w:val="0"/>
      <w:sz w:val="26"/>
    </w:rPr>
  </w:style>
  <w:style w:styleId="Style_126_ch" w:type="character">
    <w:name w:val="Заголовок 611"/>
    <w:link w:val="Style_126"/>
    <w:rPr>
      <w:rFonts w:ascii="Times New Roman" w:hAnsi="Times New Roman"/>
      <w:color w:val="000000"/>
      <w:spacing w:val="0"/>
      <w:sz w:val="26"/>
    </w:rPr>
  </w:style>
  <w:style w:styleId="Style_127" w:type="paragraph">
    <w:name w:val="Указатель1111111"/>
    <w:basedOn w:val="Style_2"/>
    <w:link w:val="Style_127_ch"/>
  </w:style>
  <w:style w:styleId="Style_127_ch" w:type="character">
    <w:name w:val="Указатель1111111"/>
    <w:basedOn w:val="Style_2_ch"/>
    <w:link w:val="Style_127"/>
  </w:style>
  <w:style w:styleId="Style_128" w:type="paragraph">
    <w:name w:val="Колонтитул6"/>
    <w:basedOn w:val="Style_2"/>
    <w:link w:val="Style_128_ch"/>
  </w:style>
  <w:style w:styleId="Style_128_ch" w:type="character">
    <w:name w:val="Колонтитул6"/>
    <w:basedOn w:val="Style_2_ch"/>
    <w:link w:val="Style_128"/>
  </w:style>
  <w:style w:styleId="Style_129" w:type="paragraph">
    <w:name w:val="Text body"/>
    <w:link w:val="Style_129_ch"/>
    <w:rPr>
      <w:sz w:val="32"/>
    </w:rPr>
  </w:style>
  <w:style w:styleId="Style_129_ch" w:type="character">
    <w:name w:val="Text body"/>
    <w:link w:val="Style_129"/>
    <w:rPr>
      <w:sz w:val="32"/>
    </w:rPr>
  </w:style>
  <w:style w:styleId="Style_130" w:type="paragraph">
    <w:name w:val="toc 5"/>
    <w:next w:val="Style_2"/>
    <w:link w:val="Style_130_ch"/>
    <w:uiPriority w:val="39"/>
    <w:pPr>
      <w:widowControl w:val="1"/>
      <w:spacing w:after="0" w:before="0" w:line="240" w:lineRule="auto"/>
      <w:ind w:firstLine="0" w:left="800" w:right="0"/>
      <w:jc w:val="left"/>
    </w:pPr>
    <w:rPr>
      <w:rFonts w:ascii="XO Thames" w:hAnsi="XO Thames"/>
      <w:color w:val="000000"/>
      <w:spacing w:val="0"/>
      <w:sz w:val="28"/>
    </w:rPr>
  </w:style>
  <w:style w:styleId="Style_130_ch" w:type="character">
    <w:name w:val="toc 5"/>
    <w:link w:val="Style_130"/>
    <w:rPr>
      <w:rFonts w:ascii="XO Thames" w:hAnsi="XO Thames"/>
      <w:color w:val="000000"/>
      <w:spacing w:val="0"/>
      <w:sz w:val="28"/>
    </w:rPr>
  </w:style>
  <w:style w:styleId="Style_5" w:type="paragraph">
    <w:name w:val="List Paragraph1"/>
    <w:basedOn w:val="Style_2"/>
    <w:link w:val="Style_5_ch"/>
    <w:pPr>
      <w:spacing w:after="0" w:before="0"/>
      <w:ind w:firstLine="0" w:left="720" w:right="0"/>
      <w:contextualSpacing w:val="1"/>
    </w:pPr>
  </w:style>
  <w:style w:styleId="Style_5_ch" w:type="character">
    <w:name w:val="List Paragraph1"/>
    <w:basedOn w:val="Style_2_ch"/>
    <w:link w:val="Style_5"/>
  </w:style>
  <w:style w:styleId="Style_131" w:type="paragraph">
    <w:name w:val="Contents 4"/>
    <w:link w:val="Style_131_ch"/>
    <w:rPr>
      <w:rFonts w:ascii="XO Thames" w:hAnsi="XO Thames"/>
      <w:color w:val="000000"/>
      <w:spacing w:val="0"/>
      <w:sz w:val="28"/>
    </w:rPr>
  </w:style>
  <w:style w:styleId="Style_131_ch" w:type="character">
    <w:name w:val="Contents 4"/>
    <w:link w:val="Style_131"/>
    <w:rPr>
      <w:rFonts w:ascii="XO Thames" w:hAnsi="XO Thames"/>
      <w:color w:val="000000"/>
      <w:spacing w:val="0"/>
      <w:sz w:val="28"/>
    </w:rPr>
  </w:style>
  <w:style w:styleId="Style_132" w:type="paragraph">
    <w:name w:val="Heading 61"/>
    <w:link w:val="Style_132_ch"/>
    <w:rPr>
      <w:sz w:val="26"/>
    </w:rPr>
  </w:style>
  <w:style w:styleId="Style_132_ch" w:type="character">
    <w:name w:val="Heading 61"/>
    <w:link w:val="Style_132"/>
    <w:rPr>
      <w:sz w:val="26"/>
    </w:rPr>
  </w:style>
  <w:style w:styleId="Style_133" w:type="paragraph">
    <w:name w:val="Body Text Indent 21"/>
    <w:basedOn w:val="Style_2"/>
    <w:link w:val="Style_133_ch"/>
    <w:pPr>
      <w:ind w:firstLine="708" w:left="0" w:right="0"/>
      <w:jc w:val="both"/>
    </w:pPr>
    <w:rPr>
      <w:sz w:val="26"/>
    </w:rPr>
  </w:style>
  <w:style w:styleId="Style_133_ch" w:type="character">
    <w:name w:val="Body Text Indent 21"/>
    <w:basedOn w:val="Style_2_ch"/>
    <w:link w:val="Style_133"/>
    <w:rPr>
      <w:sz w:val="26"/>
    </w:rPr>
  </w:style>
  <w:style w:styleId="Style_134" w:type="paragraph">
    <w:name w:val="Подпись к таблице1"/>
    <w:basedOn w:val="Style_2"/>
    <w:link w:val="Style_134_ch"/>
    <w:pPr>
      <w:spacing w:line="0" w:lineRule="atLeast"/>
      <w:ind/>
    </w:pPr>
    <w:rPr>
      <w:sz w:val="26"/>
    </w:rPr>
  </w:style>
  <w:style w:styleId="Style_134_ch" w:type="character">
    <w:name w:val="Подпись к таблице1"/>
    <w:basedOn w:val="Style_2_ch"/>
    <w:link w:val="Style_134"/>
    <w:rPr>
      <w:sz w:val="26"/>
    </w:rPr>
  </w:style>
  <w:style w:styleId="Style_135" w:type="paragraph">
    <w:name w:val="Текст (прав. подпись)1"/>
    <w:basedOn w:val="Style_2"/>
    <w:next w:val="Style_2"/>
    <w:link w:val="Style_135_ch"/>
    <w:pPr>
      <w:widowControl w:val="0"/>
      <w:ind/>
      <w:jc w:val="right"/>
    </w:pPr>
    <w:rPr>
      <w:rFonts w:ascii="Arial" w:hAnsi="Arial"/>
    </w:rPr>
  </w:style>
  <w:style w:styleId="Style_135_ch" w:type="character">
    <w:name w:val="Текст (прав. подпись)1"/>
    <w:basedOn w:val="Style_2_ch"/>
    <w:link w:val="Style_135"/>
    <w:rPr>
      <w:rFonts w:ascii="Arial" w:hAnsi="Arial"/>
    </w:rPr>
  </w:style>
  <w:style w:styleId="Style_136" w:type="paragraph">
    <w:name w:val="Заголовок 711"/>
    <w:link w:val="Style_136_ch"/>
    <w:pPr>
      <w:widowControl w:val="1"/>
      <w:spacing w:after="0" w:before="0" w:line="240" w:lineRule="auto"/>
      <w:ind w:firstLine="0" w:left="0" w:right="0"/>
      <w:jc w:val="left"/>
    </w:pPr>
    <w:rPr>
      <w:rFonts w:ascii="Times New Roman" w:hAnsi="Times New Roman"/>
      <w:color w:val="000000"/>
      <w:spacing w:val="0"/>
      <w:sz w:val="20"/>
    </w:rPr>
  </w:style>
  <w:style w:styleId="Style_136_ch" w:type="character">
    <w:name w:val="Заголовок 711"/>
    <w:link w:val="Style_136"/>
    <w:rPr>
      <w:rFonts w:ascii="Times New Roman" w:hAnsi="Times New Roman"/>
      <w:color w:val="000000"/>
      <w:spacing w:val="0"/>
      <w:sz w:val="20"/>
    </w:rPr>
  </w:style>
  <w:style w:styleId="Style_137" w:type="paragraph">
    <w:name w:val="Contents 81"/>
    <w:link w:val="Style_137_ch"/>
    <w:rPr>
      <w:rFonts w:ascii="XO Thames" w:hAnsi="XO Thames"/>
      <w:color w:val="000000"/>
      <w:spacing w:val="0"/>
      <w:sz w:val="28"/>
    </w:rPr>
  </w:style>
  <w:style w:styleId="Style_137_ch" w:type="character">
    <w:name w:val="Contents 81"/>
    <w:link w:val="Style_137"/>
    <w:rPr>
      <w:rFonts w:ascii="XO Thames" w:hAnsi="XO Thames"/>
      <w:color w:val="000000"/>
      <w:spacing w:val="0"/>
      <w:sz w:val="28"/>
    </w:rPr>
  </w:style>
  <w:style w:styleId="Style_138" w:type="paragraph">
    <w:name w:val="Body Text 31"/>
    <w:basedOn w:val="Style_2"/>
    <w:link w:val="Style_138_ch"/>
    <w:pPr>
      <w:ind/>
      <w:jc w:val="both"/>
    </w:pPr>
    <w:rPr>
      <w:sz w:val="26"/>
    </w:rPr>
  </w:style>
  <w:style w:styleId="Style_138_ch" w:type="character">
    <w:name w:val="Body Text 31"/>
    <w:basedOn w:val="Style_2_ch"/>
    <w:link w:val="Style_138"/>
    <w:rPr>
      <w:sz w:val="26"/>
    </w:rPr>
  </w:style>
  <w:style w:styleId="Style_139" w:type="paragraph">
    <w:name w:val="Visited Internet Link"/>
    <w:link w:val="Style_139_ch"/>
    <w:pPr>
      <w:widowControl w:val="1"/>
      <w:spacing w:after="0" w:before="0" w:line="240" w:lineRule="auto"/>
      <w:ind w:firstLine="0" w:left="0" w:right="0"/>
      <w:jc w:val="left"/>
    </w:pPr>
    <w:rPr>
      <w:rFonts w:ascii="Times New Roman" w:hAnsi="Times New Roman"/>
      <w:color w:val="800000"/>
      <w:spacing w:val="0"/>
      <w:sz w:val="20"/>
      <w:u w:val="single"/>
    </w:rPr>
  </w:style>
  <w:style w:styleId="Style_139_ch" w:type="character">
    <w:name w:val="Visited Internet Link"/>
    <w:link w:val="Style_139"/>
    <w:rPr>
      <w:rFonts w:ascii="Times New Roman" w:hAnsi="Times New Roman"/>
      <w:color w:val="800000"/>
      <w:spacing w:val="0"/>
      <w:sz w:val="20"/>
      <w:u w:val="single"/>
    </w:rPr>
  </w:style>
  <w:style w:styleId="Style_140" w:type="paragraph">
    <w:name w:val="Subtitle"/>
    <w:next w:val="Style_2"/>
    <w:link w:val="Style_140_ch"/>
    <w:uiPriority w:val="11"/>
    <w:qFormat/>
    <w:pPr>
      <w:widowControl w:val="1"/>
      <w:spacing w:after="0" w:before="0" w:line="240" w:lineRule="auto"/>
      <w:ind w:firstLine="0" w:left="0" w:right="0"/>
      <w:jc w:val="left"/>
    </w:pPr>
    <w:rPr>
      <w:rFonts w:ascii="XO Thames" w:hAnsi="XO Thames"/>
      <w:i w:val="1"/>
      <w:color w:val="000000"/>
      <w:spacing w:val="0"/>
      <w:sz w:val="24"/>
    </w:rPr>
  </w:style>
  <w:style w:styleId="Style_140_ch" w:type="character">
    <w:name w:val="Subtitle"/>
    <w:link w:val="Style_140"/>
    <w:rPr>
      <w:rFonts w:ascii="XO Thames" w:hAnsi="XO Thames"/>
      <w:i w:val="1"/>
      <w:color w:val="000000"/>
      <w:spacing w:val="0"/>
      <w:sz w:val="24"/>
    </w:rPr>
  </w:style>
  <w:style w:styleId="Style_141" w:type="paragraph">
    <w:name w:val="Emphasis1"/>
    <w:link w:val="Style_141_ch"/>
    <w:pPr>
      <w:widowControl w:val="1"/>
      <w:spacing w:after="0" w:before="0" w:line="240" w:lineRule="auto"/>
      <w:ind w:firstLine="0" w:left="0" w:right="0"/>
      <w:jc w:val="left"/>
    </w:pPr>
    <w:rPr>
      <w:rFonts w:ascii="Times New Roman" w:hAnsi="Times New Roman"/>
      <w:i w:val="1"/>
      <w:color w:val="000000"/>
      <w:spacing w:val="0"/>
      <w:sz w:val="20"/>
    </w:rPr>
  </w:style>
  <w:style w:styleId="Style_141_ch" w:type="character">
    <w:name w:val="Emphasis1"/>
    <w:link w:val="Style_141"/>
    <w:rPr>
      <w:rFonts w:ascii="Times New Roman" w:hAnsi="Times New Roman"/>
      <w:i w:val="1"/>
      <w:color w:val="000000"/>
      <w:spacing w:val="0"/>
      <w:sz w:val="20"/>
    </w:rPr>
  </w:style>
  <w:style w:styleId="Style_142" w:type="paragraph">
    <w:name w:val="Заголовок1111"/>
    <w:basedOn w:val="Style_2"/>
    <w:next w:val="Style_3"/>
    <w:link w:val="Style_142_ch"/>
    <w:pPr>
      <w:keepNext w:val="1"/>
      <w:spacing w:after="120" w:before="240"/>
      <w:ind/>
    </w:pPr>
    <w:rPr>
      <w:rFonts w:ascii="Open Sans" w:hAnsi="Open Sans"/>
      <w:sz w:val="28"/>
    </w:rPr>
  </w:style>
  <w:style w:styleId="Style_142_ch" w:type="character">
    <w:name w:val="Заголовок1111"/>
    <w:basedOn w:val="Style_2_ch"/>
    <w:link w:val="Style_142"/>
    <w:rPr>
      <w:rFonts w:ascii="Open Sans" w:hAnsi="Open Sans"/>
      <w:sz w:val="28"/>
    </w:rPr>
  </w:style>
  <w:style w:styleId="Style_143" w:type="paragraph">
    <w:name w:val="Contents 31"/>
    <w:link w:val="Style_143_ch"/>
    <w:rPr>
      <w:rFonts w:ascii="XO Thames" w:hAnsi="XO Thames"/>
      <w:color w:val="000000"/>
      <w:spacing w:val="0"/>
      <w:sz w:val="28"/>
    </w:rPr>
  </w:style>
  <w:style w:styleId="Style_143_ch" w:type="character">
    <w:name w:val="Contents 31"/>
    <w:link w:val="Style_143"/>
    <w:rPr>
      <w:rFonts w:ascii="XO Thames" w:hAnsi="XO Thames"/>
      <w:color w:val="000000"/>
      <w:spacing w:val="0"/>
      <w:sz w:val="28"/>
    </w:rPr>
  </w:style>
  <w:style w:styleId="Style_144" w:type="paragraph">
    <w:name w:val="Заголовок №31"/>
    <w:basedOn w:val="Style_2"/>
    <w:link w:val="Style_144_ch"/>
    <w:pPr>
      <w:spacing w:after="0" w:before="540" w:line="472" w:lineRule="exact"/>
      <w:ind/>
      <w:outlineLvl w:val="2"/>
    </w:pPr>
    <w:rPr>
      <w:sz w:val="26"/>
    </w:rPr>
  </w:style>
  <w:style w:styleId="Style_144_ch" w:type="character">
    <w:name w:val="Заголовок №31"/>
    <w:basedOn w:val="Style_2_ch"/>
    <w:link w:val="Style_144"/>
    <w:rPr>
      <w:sz w:val="26"/>
    </w:rPr>
  </w:style>
  <w:style w:styleId="Style_145" w:type="paragraph">
    <w:name w:val="Указатель1111"/>
    <w:basedOn w:val="Style_2"/>
    <w:link w:val="Style_145_ch"/>
  </w:style>
  <w:style w:styleId="Style_145_ch" w:type="character">
    <w:name w:val="Указатель1111"/>
    <w:basedOn w:val="Style_2_ch"/>
    <w:link w:val="Style_145"/>
  </w:style>
  <w:style w:styleId="Style_146" w:type="paragraph">
    <w:name w:val="Заголовок111111111"/>
    <w:basedOn w:val="Style_2"/>
    <w:next w:val="Style_3"/>
    <w:link w:val="Style_146_ch"/>
    <w:pPr>
      <w:keepNext w:val="1"/>
      <w:spacing w:after="120" w:before="240"/>
      <w:ind/>
    </w:pPr>
    <w:rPr>
      <w:rFonts w:ascii="Open Sans" w:hAnsi="Open Sans"/>
      <w:sz w:val="28"/>
    </w:rPr>
  </w:style>
  <w:style w:styleId="Style_146_ch" w:type="character">
    <w:name w:val="Заголовок111111111"/>
    <w:basedOn w:val="Style_2_ch"/>
    <w:link w:val="Style_146"/>
    <w:rPr>
      <w:rFonts w:ascii="Open Sans" w:hAnsi="Open Sans"/>
      <w:sz w:val="28"/>
    </w:rPr>
  </w:style>
  <w:style w:styleId="Style_80" w:type="paragraph">
    <w:name w:val="Text body2"/>
    <w:link w:val="Style_80_ch"/>
    <w:pPr>
      <w:widowControl w:val="1"/>
      <w:spacing w:after="0" w:before="0" w:line="240" w:lineRule="auto"/>
      <w:ind w:firstLine="0" w:left="0" w:right="0"/>
      <w:jc w:val="left"/>
    </w:pPr>
    <w:rPr>
      <w:rFonts w:ascii="Times New Roman" w:hAnsi="Times New Roman"/>
      <w:color w:val="000000"/>
      <w:spacing w:val="0"/>
      <w:sz w:val="32"/>
    </w:rPr>
  </w:style>
  <w:style w:styleId="Style_80_ch" w:type="character">
    <w:name w:val="Text body2"/>
    <w:link w:val="Style_80"/>
    <w:rPr>
      <w:rFonts w:ascii="Times New Roman" w:hAnsi="Times New Roman"/>
      <w:color w:val="000000"/>
      <w:spacing w:val="0"/>
      <w:sz w:val="32"/>
    </w:rPr>
  </w:style>
  <w:style w:styleId="Style_147" w:type="paragraph">
    <w:name w:val="Contents 22"/>
    <w:link w:val="Style_147_ch"/>
    <w:pPr>
      <w:widowControl w:val="1"/>
      <w:spacing w:after="0" w:before="0" w:line="240" w:lineRule="auto"/>
      <w:ind w:firstLine="0" w:left="0" w:right="0"/>
      <w:jc w:val="left"/>
    </w:pPr>
    <w:rPr>
      <w:rFonts w:ascii="XO Thames" w:hAnsi="XO Thames"/>
      <w:color w:val="000000"/>
      <w:spacing w:val="0"/>
      <w:sz w:val="28"/>
    </w:rPr>
  </w:style>
  <w:style w:styleId="Style_147_ch" w:type="character">
    <w:name w:val="Contents 22"/>
    <w:link w:val="Style_147"/>
    <w:rPr>
      <w:rFonts w:ascii="XO Thames" w:hAnsi="XO Thames"/>
      <w:color w:val="000000"/>
      <w:spacing w:val="0"/>
      <w:sz w:val="28"/>
    </w:rPr>
  </w:style>
  <w:style w:styleId="Style_148" w:type="paragraph">
    <w:name w:val="Title"/>
    <w:next w:val="Style_2"/>
    <w:link w:val="Style_148_ch"/>
    <w:uiPriority w:val="10"/>
    <w:qFormat/>
    <w:pPr>
      <w:widowControl w:val="1"/>
      <w:spacing w:after="0" w:before="0" w:line="240" w:lineRule="auto"/>
      <w:ind w:firstLine="0" w:left="0" w:right="0"/>
      <w:jc w:val="left"/>
    </w:pPr>
    <w:rPr>
      <w:rFonts w:ascii="XO Thames" w:hAnsi="XO Thames"/>
      <w:b w:val="1"/>
      <w:caps w:val="1"/>
      <w:color w:val="000000"/>
      <w:spacing w:val="0"/>
      <w:sz w:val="40"/>
    </w:rPr>
  </w:style>
  <w:style w:styleId="Style_148_ch" w:type="character">
    <w:name w:val="Title"/>
    <w:link w:val="Style_148"/>
    <w:rPr>
      <w:rFonts w:ascii="XO Thames" w:hAnsi="XO Thames"/>
      <w:b w:val="1"/>
      <w:caps w:val="1"/>
      <w:color w:val="000000"/>
      <w:spacing w:val="0"/>
      <w:sz w:val="40"/>
    </w:rPr>
  </w:style>
  <w:style w:styleId="Style_149" w:type="paragraph">
    <w:name w:val="Default1"/>
    <w:link w:val="Style_149_ch"/>
    <w:pPr>
      <w:widowControl w:val="1"/>
      <w:spacing w:after="0" w:before="0" w:line="240" w:lineRule="auto"/>
      <w:ind w:firstLine="0" w:left="0" w:right="0"/>
      <w:jc w:val="left"/>
    </w:pPr>
    <w:rPr>
      <w:rFonts w:ascii="Times New Roman" w:hAnsi="Times New Roman"/>
      <w:color w:val="000000"/>
      <w:spacing w:val="0"/>
      <w:sz w:val="24"/>
    </w:rPr>
  </w:style>
  <w:style w:styleId="Style_149_ch" w:type="character">
    <w:name w:val="Default1"/>
    <w:link w:val="Style_149"/>
    <w:rPr>
      <w:rFonts w:ascii="Times New Roman" w:hAnsi="Times New Roman"/>
      <w:color w:val="000000"/>
      <w:spacing w:val="0"/>
      <w:sz w:val="24"/>
    </w:rPr>
  </w:style>
  <w:style w:styleId="Style_150" w:type="paragraph">
    <w:name w:val="heading 4"/>
    <w:next w:val="Style_2"/>
    <w:link w:val="Style_150_ch"/>
    <w:uiPriority w:val="9"/>
    <w:qFormat/>
    <w:pPr>
      <w:widowControl w:val="1"/>
      <w:spacing w:after="0" w:before="0" w:line="240" w:lineRule="auto"/>
      <w:ind w:firstLine="0" w:left="0" w:right="0"/>
      <w:jc w:val="left"/>
      <w:outlineLvl w:val="3"/>
    </w:pPr>
    <w:rPr>
      <w:rFonts w:ascii="Times New Roman" w:hAnsi="Times New Roman"/>
      <w:color w:val="000000"/>
      <w:spacing w:val="0"/>
      <w:sz w:val="28"/>
    </w:rPr>
  </w:style>
  <w:style w:styleId="Style_150_ch" w:type="character">
    <w:name w:val="heading 4"/>
    <w:link w:val="Style_150"/>
    <w:rPr>
      <w:rFonts w:ascii="Times New Roman" w:hAnsi="Times New Roman"/>
      <w:color w:val="000000"/>
      <w:spacing w:val="0"/>
      <w:sz w:val="28"/>
    </w:rPr>
  </w:style>
  <w:style w:styleId="Style_151" w:type="paragraph">
    <w:name w:val="Указатель111111"/>
    <w:basedOn w:val="Style_2"/>
    <w:link w:val="Style_151_ch"/>
  </w:style>
  <w:style w:styleId="Style_151_ch" w:type="character">
    <w:name w:val="Указатель111111"/>
    <w:basedOn w:val="Style_2_ch"/>
    <w:link w:val="Style_151"/>
  </w:style>
  <w:style w:styleId="Style_152" w:type="paragraph">
    <w:name w:val="Гипертекстовая ссылка1"/>
    <w:link w:val="Style_152_ch"/>
    <w:pPr>
      <w:widowControl w:val="1"/>
      <w:spacing w:after="0" w:before="0" w:line="240" w:lineRule="auto"/>
      <w:ind w:firstLine="0" w:left="0" w:right="0"/>
      <w:jc w:val="left"/>
    </w:pPr>
    <w:rPr>
      <w:rFonts w:ascii="Times New Roman" w:hAnsi="Times New Roman"/>
      <w:color w:val="008000"/>
      <w:spacing w:val="0"/>
      <w:sz w:val="20"/>
    </w:rPr>
  </w:style>
  <w:style w:styleId="Style_152_ch" w:type="character">
    <w:name w:val="Гипертекстовая ссылка1"/>
    <w:link w:val="Style_152"/>
    <w:rPr>
      <w:rFonts w:ascii="Times New Roman" w:hAnsi="Times New Roman"/>
      <w:color w:val="008000"/>
      <w:spacing w:val="0"/>
      <w:sz w:val="20"/>
    </w:rPr>
  </w:style>
  <w:style w:styleId="Style_153" w:type="paragraph">
    <w:name w:val="Основной текст Знак1"/>
    <w:link w:val="Style_153_ch"/>
    <w:pPr>
      <w:widowControl w:val="1"/>
      <w:spacing w:after="0" w:before="0" w:line="240" w:lineRule="auto"/>
      <w:ind w:firstLine="0" w:left="0" w:right="0"/>
      <w:jc w:val="left"/>
    </w:pPr>
    <w:rPr>
      <w:rFonts w:ascii="Times New Roman" w:hAnsi="Times New Roman"/>
      <w:color w:val="000000"/>
      <w:spacing w:val="0"/>
      <w:sz w:val="24"/>
    </w:rPr>
  </w:style>
  <w:style w:styleId="Style_153_ch" w:type="character">
    <w:name w:val="Основной текст Знак1"/>
    <w:link w:val="Style_153"/>
    <w:rPr>
      <w:rFonts w:ascii="Times New Roman" w:hAnsi="Times New Roman"/>
      <w:color w:val="000000"/>
      <w:spacing w:val="0"/>
      <w:sz w:val="24"/>
    </w:rPr>
  </w:style>
  <w:style w:styleId="Style_154" w:type="paragraph">
    <w:name w:val="Обычный11"/>
    <w:link w:val="Style_154_ch"/>
    <w:pPr>
      <w:widowControl w:val="0"/>
      <w:spacing w:after="0" w:before="280" w:line="300" w:lineRule="auto"/>
      <w:ind w:firstLine="720" w:left="0" w:right="0"/>
      <w:jc w:val="both"/>
    </w:pPr>
    <w:rPr>
      <w:rFonts w:ascii="Times New Roman" w:hAnsi="Times New Roman"/>
      <w:color w:val="000000"/>
      <w:spacing w:val="0"/>
      <w:sz w:val="24"/>
    </w:rPr>
  </w:style>
  <w:style w:styleId="Style_154_ch" w:type="character">
    <w:name w:val="Обычный11"/>
    <w:link w:val="Style_154"/>
    <w:rPr>
      <w:rFonts w:ascii="Times New Roman" w:hAnsi="Times New Roman"/>
      <w:color w:val="000000"/>
      <w:spacing w:val="0"/>
      <w:sz w:val="24"/>
    </w:rPr>
  </w:style>
  <w:style w:styleId="Style_155" w:type="paragraph">
    <w:name w:val="List"/>
    <w:basedOn w:val="Style_80"/>
    <w:link w:val="Style_155_ch"/>
  </w:style>
  <w:style w:styleId="Style_155_ch" w:type="character">
    <w:name w:val="List"/>
    <w:basedOn w:val="Style_80_ch"/>
    <w:link w:val="Style_155"/>
  </w:style>
  <w:style w:styleId="Style_156" w:type="paragraph">
    <w:name w:val="Internet link1"/>
    <w:link w:val="Style_156_ch"/>
    <w:pPr>
      <w:widowControl w:val="1"/>
      <w:spacing w:after="0" w:before="0" w:line="240" w:lineRule="auto"/>
      <w:ind w:firstLine="0" w:left="0" w:right="0"/>
      <w:jc w:val="left"/>
    </w:pPr>
    <w:rPr>
      <w:rFonts w:ascii="Times New Roman" w:hAnsi="Times New Roman"/>
      <w:color w:val="0000FF"/>
      <w:spacing w:val="0"/>
      <w:sz w:val="20"/>
      <w:u w:val="single"/>
    </w:rPr>
  </w:style>
  <w:style w:styleId="Style_156_ch" w:type="character">
    <w:name w:val="Internet link1"/>
    <w:link w:val="Style_156"/>
    <w:rPr>
      <w:rFonts w:ascii="Times New Roman" w:hAnsi="Times New Roman"/>
      <w:color w:val="0000FF"/>
      <w:spacing w:val="0"/>
      <w:sz w:val="20"/>
      <w:u w:val="single"/>
    </w:rPr>
  </w:style>
  <w:style w:styleId="Style_157" w:type="paragraph">
    <w:name w:val="heading 2"/>
    <w:basedOn w:val="Style_2"/>
    <w:next w:val="Style_2"/>
    <w:link w:val="Style_157_ch"/>
    <w:uiPriority w:val="9"/>
    <w:qFormat/>
    <w:pPr>
      <w:keepNext w:val="1"/>
      <w:ind/>
      <w:jc w:val="both"/>
      <w:outlineLvl w:val="1"/>
    </w:pPr>
    <w:rPr>
      <w:b w:val="1"/>
      <w:sz w:val="26"/>
    </w:rPr>
  </w:style>
  <w:style w:styleId="Style_157_ch" w:type="character">
    <w:name w:val="heading 2"/>
    <w:basedOn w:val="Style_2_ch"/>
    <w:link w:val="Style_157"/>
    <w:rPr>
      <w:b w:val="1"/>
      <w:sz w:val="26"/>
    </w:rPr>
  </w:style>
  <w:style w:styleId="Style_158" w:type="paragraph">
    <w:name w:val="Heading 31"/>
    <w:link w:val="Style_158_ch"/>
    <w:rPr>
      <w:b w:val="1"/>
      <w:sz w:val="28"/>
    </w:rPr>
  </w:style>
  <w:style w:styleId="Style_158_ch" w:type="character">
    <w:name w:val="Heading 31"/>
    <w:link w:val="Style_158"/>
    <w:rPr>
      <w:b w:val="1"/>
      <w:sz w:val="28"/>
    </w:rPr>
  </w:style>
  <w:style w:styleId="Style_159" w:type="paragraph">
    <w:name w:val="Основной текст (2)1"/>
    <w:basedOn w:val="Style_2"/>
    <w:link w:val="Style_159_ch"/>
    <w:pPr>
      <w:spacing w:after="0" w:before="120" w:line="266" w:lineRule="exact"/>
      <w:ind/>
      <w:jc w:val="center"/>
    </w:pPr>
    <w:rPr>
      <w:sz w:val="22"/>
    </w:rPr>
  </w:style>
  <w:style w:styleId="Style_159_ch" w:type="character">
    <w:name w:val="Основной текст (2)1"/>
    <w:basedOn w:val="Style_2_ch"/>
    <w:link w:val="Style_159"/>
    <w:rPr>
      <w:sz w:val="22"/>
    </w:rPr>
  </w:style>
  <w:style w:styleId="Style_160" w:type="paragraph">
    <w:name w:val="Заголовок111"/>
    <w:basedOn w:val="Style_2"/>
    <w:next w:val="Style_3"/>
    <w:link w:val="Style_160_ch"/>
    <w:pPr>
      <w:keepNext w:val="1"/>
      <w:spacing w:after="120" w:before="240"/>
      <w:ind/>
    </w:pPr>
    <w:rPr>
      <w:rFonts w:ascii="Open Sans" w:hAnsi="Open Sans"/>
      <w:sz w:val="28"/>
    </w:rPr>
  </w:style>
  <w:style w:styleId="Style_160_ch" w:type="character">
    <w:name w:val="Заголовок111"/>
    <w:basedOn w:val="Style_2_ch"/>
    <w:link w:val="Style_160"/>
    <w:rPr>
      <w:rFonts w:ascii="Open Sans" w:hAnsi="Open Sans"/>
      <w:sz w:val="28"/>
    </w:rPr>
  </w:style>
  <w:style w:styleId="Style_161" w:type="paragraph">
    <w:name w:val="heading 6"/>
    <w:basedOn w:val="Style_2"/>
    <w:next w:val="Style_2"/>
    <w:link w:val="Style_161_ch"/>
    <w:uiPriority w:val="9"/>
    <w:qFormat/>
    <w:pPr>
      <w:keepNext w:val="1"/>
      <w:ind/>
      <w:outlineLvl w:val="5"/>
    </w:pPr>
    <w:rPr>
      <w:sz w:val="26"/>
    </w:rPr>
  </w:style>
  <w:style w:styleId="Style_161_ch" w:type="character">
    <w:name w:val="heading 6"/>
    <w:basedOn w:val="Style_2_ch"/>
    <w:link w:val="Style_161"/>
    <w:rPr>
      <w:sz w:val="26"/>
    </w:rPr>
  </w:style>
  <w:style w:default="1" w:styleId="Style_6" w:type="table">
    <w:name w:val="Normal Table"/>
    <w:tblPr>
      <w:tblCellMar>
        <w:top w:type="dxa" w:w="0"/>
        <w:left w:type="dxa" w:w="108"/>
        <w:bottom w:type="dxa" w:w="0"/>
        <w:right w:type="dxa" w:w="108"/>
      </w:tblCellMar>
    </w:tblPr>
  </w:style>
  <w:style w:styleId="Style_162" w:type="table">
    <w:name w:val="Table Grid"/>
    <w:basedOn w:val="Style_6"/>
    <w:tblPr>
      <w:tblBorders>
        <w:top w:color="000000" w:sz="4" w:val="single"/>
        <w:left w:color="000000" w:sz="4" w:val="single"/>
        <w:bottom w:color="000000" w:sz="4" w:val="single"/>
        <w:right w:color="000000" w:sz="4" w:val="single"/>
        <w:insideH w:color="000000" w:sz="4" w:val="single"/>
        <w:insideV w:color="000000" w:sz="4" w:val="single"/>
      </w:tblBorders>
    </w:tblPr>
  </w:style>
</w:styles>
</file>

<file path=word/stylesWithEffects.xml><?xml version="1.0" encoding="utf-8"?>
<w:styles xmlns:w="http://schemas.openxmlformats.org/wordprocessingml/2006/main">
  <w:docDefaults>
    <w:rPrDefault>
      <w:rPr>
        <w:rFonts w:asciiTheme="minorHAnsi" w:cstheme="minorBidi" w:eastAsiaTheme="minorEastAsia" w:hAnsiTheme="minorHAnsi"/>
        <w:sz w:val="24"/>
        <w:szCs w:val="24"/>
        <w:lang w:bidi="ar-SA" w:eastAsia="en-US" w:val="en-US"/>
      </w:rPr>
    </w:rPrDefault>
    <w:pPrDefault/>
  </w:docDefaults>
  <w:latentStyles w:count="27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al" w:type="paragraph">
    <w:name w:val="Normal"/>
    <w:qFormat/>
  </w:style>
  <w:style w:styleId="Heading1" w:type="paragraph">
    <w:name w:val="heading 1"/>
    <w:basedOn w:val="Normal"/>
    <w:next w:val="Normal"/>
    <w:link w:val="Heading1Char"/>
    <w:uiPriority w:val="9"/>
    <w:qFormat/>
    <w:rsid w:val="00111FAE"/>
    <w:pPr>
      <w:keepNext/>
      <w:keepLines/>
      <w:spacing w:before="480"/>
      <w:outlineLvl w:val="0"/>
    </w:pPr>
    <w:rPr>
      <w:rFonts w:asciiTheme="majorHAnsi" w:cstheme="majorBidi" w:eastAsiaTheme="majorEastAsia" w:hAnsiTheme="majorHAnsi"/>
      <w:b/>
      <w:bCs/>
      <w:color w:themeColor="accent1" w:themeShade="B5" w:val="345A8A"/>
      <w:sz w:val="32"/>
      <w:szCs w:val="32"/>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basedOn w:val="DefaultParagraphFont"/>
    <w:link w:val="Heading1"/>
    <w:uiPriority w:val="9"/>
    <w:rsid w:val="00111FAE"/>
    <w:rPr>
      <w:rFonts w:asciiTheme="majorHAnsi" w:cstheme="majorBidi" w:eastAsiaTheme="majorEastAsia" w:hAnsiTheme="majorHAnsi"/>
      <w:b/>
      <w:bCs/>
      <w:color w:themeColor="accent1" w:themeShade="B5" w:val="345A8A"/>
      <w:sz w:val="32"/>
      <w:szCs w:val="32"/>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no" ?>
<Relationships xmlns="http://schemas.openxmlformats.org/package/2006/relationships">
  <Relationship Id="rId8" Target="numbering.xml" Type="http://schemas.openxmlformats.org/officeDocument/2006/relationships/numbering"/>
  <Relationship Id="rId7" Target="theme/theme1.xml" Type="http://schemas.openxmlformats.org/officeDocument/2006/relationships/theme"/>
  <Relationship Id="rId6" Target="webSettings.xml" Type="http://schemas.openxmlformats.org/officeDocument/2006/relationships/webSettings"/>
  <Relationship Id="rId5" Target="stylesWithEffects.xml" Type="http://schemas.microsoft.com/office/2007/relationships/stylesWithEffects"/>
  <Relationship Id="rId4" Target="styles.xml" Type="http://schemas.openxmlformats.org/officeDocument/2006/relationships/styles"/>
  <Relationship Id="rId3" Target="settings.xml" Type="http://schemas.openxmlformats.org/officeDocument/2006/relationships/settings"/>
  <Relationship Id="rId2" Target="fontTable.xml" Type="http://schemas.openxmlformats.org/officeDocument/2006/relationships/fontTable"/>
  <Relationship Id="rId1" Target="header1.xml" Type="http://schemas.openxmlformats.org/officeDocument/2006/relationships/header"/>
</Relationships>

</file>

<file path=word/theme/theme1.xml><?xml version="1.0" encoding="utf-8"?>
<a:theme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
        <a:cs typeface=""/>
      </a:minorFont>
    </a:fontScheme>
    <a:fmtScheme name="">
      <a:fillStyleLst>
        <a:solidFill>
          <a:schemeClr val="phClr"/>
        </a:solidFill>
        <a:gradFill>
          <a:gsLst>
            <a:gs pos="0">
              <a:schemeClr val="phClr">
                <a:tint val="50000"/>
              </a:schemeClr>
            </a:gs>
            <a:gs pos="35000">
              <a:schemeClr val="phClr">
                <a:tint val="37000"/>
              </a:schemeClr>
            </a:gs>
            <a:gs pos="100000">
              <a:schemeClr val="phClr">
                <a:tint val="15000"/>
              </a:schemeClr>
            </a:gs>
          </a:gsLst>
        </a:gradFill>
        <a:gradFill>
          <a:gsLst>
            <a:gs pos="0">
              <a:schemeClr val="phClr">
                <a:shade val="51000"/>
              </a:schemeClr>
            </a:gs>
            <a:gs pos="80000">
              <a:schemeClr val="phClr">
                <a:shade val="93000"/>
              </a:schemeClr>
            </a:gs>
            <a:gs pos="100000">
              <a:schemeClr val="phClr">
                <a:shade val="94000"/>
              </a:schemeClr>
            </a:gs>
          </a:gsLst>
        </a:gradFill>
      </a:fillStyleLst>
      <a:lnStyleLst>
        <a:ln w="9525">
          <a:prstDash val="solid"/>
        </a:ln>
        <a:ln w="25400">
          <a:prstDash val="solid"/>
        </a:ln>
        <a:ln w="38100">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gradFill>
        <a:gradFill>
          <a:gsLst>
            <a:gs pos="0">
              <a:schemeClr val="phClr">
                <a:tint val="80000"/>
              </a:schemeClr>
            </a:gs>
            <a:gs pos="100000">
              <a:schemeClr val="phClr">
                <a:shade val="30000"/>
              </a:schemeClr>
            </a:gs>
          </a:gsLst>
        </a:gradFill>
      </a:bgFillStyleLst>
    </a:fmtScheme>
  </a:themeElements>
</a:theme>
</file>

<file path=docProps/app.xml><?xml version="1.0" encoding="utf-8"?>
<Properties xmlns="http://schemas.openxmlformats.org/officeDocument/2006/extended-properties">
  <Template>Normal.dotm</Template>
  <TotalTime>0</TotalTime>
  <DocSecurity>0</DocSecurity>
  <ScaleCrop>false</ScaleCrop>
  <Application>MyOffice-CoreFramework-Linux/28</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modified xsi:type="dcterms:W3CDTF">2024-08-09T03:23:23Z</dcterms:modified>
</cp:coreProperties>
</file>