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360" w:line="276" w:lineRule="auto"/>
        <w:ind w:firstLine="0"/>
        <w:jc w:val="center"/>
      </w:pPr>
      <w:r>
        <w:rPr>
          <w:b w:val="1"/>
          <w:color w:val="000000"/>
        </w:rPr>
        <w:t>ДОКЛАД</w:t>
      </w:r>
      <w:r>
        <w:rPr>
          <w:b w:val="1"/>
          <w:color w:val="000000"/>
        </w:rPr>
        <w:br/>
      </w:r>
      <w:r>
        <w:rPr>
          <w:b w:val="1"/>
          <w:color w:val="000000"/>
        </w:rPr>
        <w:t>об организации системы внутреннего обеспечения соответствия требованиям</w:t>
      </w:r>
      <w:r>
        <w:rPr>
          <w:b w:val="1"/>
          <w:color w:val="000000"/>
        </w:rPr>
        <w:br/>
      </w:r>
      <w:r>
        <w:rPr>
          <w:b w:val="1"/>
          <w:color w:val="000000"/>
        </w:rPr>
        <w:t>антимонопольного законодательства (антимонопольного комплаенса) в</w:t>
      </w:r>
      <w:r>
        <w:rPr>
          <w:b w:val="1"/>
          <w:color w:val="000000"/>
        </w:rPr>
        <w:br/>
      </w:r>
      <w:r>
        <w:rPr>
          <w:b w:val="1"/>
          <w:color w:val="000000"/>
        </w:rPr>
        <w:t>Министерстве экономического развития Камчатского края в</w:t>
      </w:r>
      <w:r>
        <w:rPr>
          <w:b w:val="1"/>
          <w:color w:val="000000"/>
        </w:rPr>
        <w:br/>
      </w:r>
      <w:r>
        <w:rPr>
          <w:b w:val="1"/>
          <w:color w:val="000000"/>
        </w:rPr>
        <w:t>2024 году</w:t>
      </w:r>
    </w:p>
    <w:p w14:paraId="02000000">
      <w:pPr>
        <w:pStyle w:val="Style_1"/>
        <w:spacing w:line="276" w:lineRule="auto"/>
        <w:ind w:firstLine="700"/>
        <w:jc w:val="both"/>
        <w:rPr>
          <w:color w:val="000000"/>
        </w:rPr>
      </w:pPr>
      <w:r>
        <w:rPr>
          <w:color w:val="000000"/>
        </w:rPr>
        <w:t xml:space="preserve">Во исполнение Указа Президента Российской Федерации от 21.12.2017 № 618 «Об основных направлениях государственной политики по развитию конкуренции», распоряжения Правительства Российской Федерации от 18.10.2018 № 2258-р в целях формирования единого подхода к созданию и организации антимонопольного комплаенса в Министерстве экономического развития Камчатского края (далее - Министерство) ведётся непрерывная работа по </w:t>
      </w:r>
      <w:r>
        <w:rPr>
          <w:color w:val="000000"/>
        </w:rPr>
        <w:t>организации системы внутреннего обеспечения соответствия требованиям антимонопольного законодательства</w:t>
      </w:r>
      <w:r>
        <w:rPr>
          <w:color w:val="000000"/>
        </w:rPr>
        <w:t>.</w:t>
      </w:r>
    </w:p>
    <w:p w14:paraId="03000000">
      <w:pPr>
        <w:pStyle w:val="Style_1"/>
        <w:spacing w:line="276" w:lineRule="auto"/>
        <w:ind w:firstLine="700"/>
        <w:jc w:val="both"/>
        <w:rPr>
          <w:color w:val="000000"/>
        </w:rPr>
      </w:pPr>
      <w:r>
        <w:rPr>
          <w:color w:val="000000"/>
        </w:rPr>
        <w:t>Целями антимонопольного комплаенса являются:</w:t>
      </w:r>
    </w:p>
    <w:p w14:paraId="04000000">
      <w:pPr>
        <w:pStyle w:val="Style_1"/>
        <w:numPr>
          <w:ilvl w:val="0"/>
          <w:numId w:val="1"/>
        </w:numPr>
        <w:tabs>
          <w:tab w:leader="none" w:pos="1069" w:val="left"/>
        </w:tabs>
        <w:spacing w:line="276" w:lineRule="auto"/>
        <w:ind w:firstLine="700"/>
        <w:jc w:val="both"/>
      </w:pPr>
      <w:r>
        <w:rPr>
          <w:color w:val="000000"/>
        </w:rPr>
        <w:t>обеспечение соответствия деятельности Министерства требованиям антимонопольного законодательства;</w:t>
      </w:r>
    </w:p>
    <w:p w14:paraId="05000000">
      <w:pPr>
        <w:pStyle w:val="Style_1"/>
        <w:numPr>
          <w:ilvl w:val="0"/>
          <w:numId w:val="1"/>
        </w:numPr>
        <w:tabs>
          <w:tab w:leader="none" w:pos="1085" w:val="left"/>
        </w:tabs>
        <w:spacing w:line="276" w:lineRule="auto"/>
        <w:ind w:firstLine="700"/>
        <w:jc w:val="both"/>
      </w:pPr>
      <w:r>
        <w:rPr>
          <w:color w:val="000000"/>
        </w:rPr>
        <w:t>профилактика и сокращение количества нарушений требований антимонопольного законодательства в деятельности Министерства;</w:t>
      </w:r>
    </w:p>
    <w:p w14:paraId="06000000">
      <w:pPr>
        <w:pStyle w:val="Style_1"/>
        <w:tabs>
          <w:tab w:leader="none" w:pos="1838" w:val="left"/>
        </w:tabs>
        <w:spacing w:line="276" w:lineRule="auto"/>
        <w:ind w:firstLine="0" w:left="700"/>
        <w:jc w:val="both"/>
      </w:pPr>
      <w:r>
        <w:rPr>
          <w:color w:val="000000"/>
        </w:rPr>
        <w:t>в) повышение уровня правовой культуры в Министерстве.</w:t>
      </w:r>
    </w:p>
    <w:p w14:paraId="07000000">
      <w:pPr>
        <w:pStyle w:val="Style_1"/>
        <w:spacing w:line="276" w:lineRule="auto"/>
        <w:ind w:firstLine="700"/>
        <w:jc w:val="both"/>
      </w:pPr>
      <w:r>
        <w:rPr>
          <w:color w:val="000000"/>
        </w:rPr>
        <w:t>Задачи антимонопольного комплаенса:</w:t>
      </w:r>
    </w:p>
    <w:p w14:paraId="08000000">
      <w:pPr>
        <w:pStyle w:val="Style_1"/>
        <w:numPr>
          <w:ilvl w:val="0"/>
          <w:numId w:val="2"/>
        </w:numPr>
        <w:tabs>
          <w:tab w:leader="none" w:pos="1069" w:val="left"/>
        </w:tabs>
        <w:spacing w:line="276" w:lineRule="auto"/>
        <w:ind w:firstLine="700"/>
        <w:jc w:val="both"/>
      </w:pPr>
      <w:r>
        <w:rPr>
          <w:color w:val="000000"/>
        </w:rPr>
        <w:t>выявление рисков нарушения антимонопольного законодательства;</w:t>
      </w:r>
    </w:p>
    <w:p w14:paraId="09000000">
      <w:pPr>
        <w:pStyle w:val="Style_1"/>
        <w:numPr>
          <w:ilvl w:val="0"/>
          <w:numId w:val="2"/>
        </w:numPr>
        <w:tabs>
          <w:tab w:leader="none" w:pos="1080" w:val="left"/>
        </w:tabs>
        <w:spacing w:line="276" w:lineRule="auto"/>
        <w:ind w:firstLine="700"/>
        <w:jc w:val="both"/>
      </w:pPr>
      <w:r>
        <w:rPr>
          <w:color w:val="000000"/>
        </w:rPr>
        <w:t>управление рисками нарушения антимонопольного законодательства;</w:t>
      </w:r>
    </w:p>
    <w:p w14:paraId="0A000000">
      <w:pPr>
        <w:pStyle w:val="Style_1"/>
        <w:numPr>
          <w:ilvl w:val="0"/>
          <w:numId w:val="2"/>
        </w:numPr>
        <w:tabs>
          <w:tab w:leader="none" w:pos="1081" w:val="left"/>
        </w:tabs>
        <w:spacing w:line="276" w:lineRule="auto"/>
        <w:ind w:firstLine="700"/>
        <w:jc w:val="both"/>
      </w:pPr>
      <w:r>
        <w:rPr>
          <w:color w:val="000000"/>
        </w:rPr>
        <w:t>контроль за соответствием деятельности Министерства требованиям антимонопольного законодательства;</w:t>
      </w:r>
    </w:p>
    <w:p w14:paraId="0B000000">
      <w:pPr>
        <w:pStyle w:val="Style_1"/>
        <w:numPr>
          <w:ilvl w:val="0"/>
          <w:numId w:val="2"/>
        </w:numPr>
        <w:tabs>
          <w:tab w:leader="none" w:pos="1298" w:val="left"/>
        </w:tabs>
        <w:spacing w:line="276" w:lineRule="auto"/>
        <w:ind w:firstLine="700"/>
        <w:jc w:val="both"/>
      </w:pPr>
      <w:r>
        <w:rPr>
          <w:color w:val="000000"/>
        </w:rPr>
        <w:t>оценка эффективности функционирования в Министерстве антимонопольного комплаенса.</w:t>
      </w:r>
    </w:p>
    <w:p w14:paraId="0C000000">
      <w:pPr>
        <w:pStyle w:val="Style_1"/>
        <w:spacing w:line="276" w:lineRule="auto"/>
        <w:ind w:firstLine="700"/>
        <w:jc w:val="both"/>
      </w:pPr>
      <w:r>
        <w:rPr>
          <w:color w:val="000000"/>
        </w:rPr>
        <w:t>В целях выявления рисков нарушения антимонопольного законодательства уполномоченным подразделением Министерства (отдел организационно</w:t>
      </w:r>
      <w:r>
        <w:t>-</w:t>
      </w:r>
      <w:r>
        <w:rPr>
          <w:color w:val="000000"/>
        </w:rPr>
        <w:t>правового обеспечения Министерства) на регулярной основе проводится:</w:t>
      </w:r>
    </w:p>
    <w:p w14:paraId="0D000000">
      <w:pPr>
        <w:pStyle w:val="Style_1"/>
        <w:numPr>
          <w:ilvl w:val="0"/>
          <w:numId w:val="3"/>
        </w:numPr>
        <w:tabs>
          <w:tab w:leader="none" w:pos="1134" w:val="left"/>
        </w:tabs>
        <w:spacing w:line="276" w:lineRule="auto"/>
        <w:ind w:firstLine="700"/>
        <w:jc w:val="both"/>
      </w:pPr>
      <w:r>
        <w:rPr>
          <w:color w:val="000000"/>
        </w:rPr>
        <w:t>анализ сведений о возможных нарушениях антимонопольного законодательства в деятельности Министерства за предыдущие 3 года (наличие предостережений, предупреждений, штрафов, жалоб, возбужденных дел);</w:t>
      </w:r>
    </w:p>
    <w:p w14:paraId="0E000000">
      <w:pPr>
        <w:pStyle w:val="Style_1"/>
        <w:numPr>
          <w:ilvl w:val="0"/>
          <w:numId w:val="3"/>
        </w:numPr>
        <w:tabs>
          <w:tab w:leader="none" w:pos="1134" w:val="left"/>
          <w:tab w:leader="none" w:pos="1943" w:val="left"/>
        </w:tabs>
        <w:spacing w:line="276" w:lineRule="auto"/>
        <w:ind w:firstLine="700"/>
        <w:jc w:val="both"/>
      </w:pPr>
      <w:r>
        <w:rPr>
          <w:color w:val="000000"/>
        </w:rPr>
        <w:t>анализ нормативных правовых актов Министерства;</w:t>
      </w:r>
    </w:p>
    <w:p w14:paraId="0F000000">
      <w:pPr>
        <w:pStyle w:val="Style_1"/>
        <w:numPr>
          <w:ilvl w:val="0"/>
          <w:numId w:val="3"/>
        </w:numPr>
        <w:tabs>
          <w:tab w:leader="none" w:pos="1134" w:val="left"/>
          <w:tab w:leader="none" w:pos="1943" w:val="left"/>
        </w:tabs>
        <w:spacing w:line="276" w:lineRule="auto"/>
        <w:ind w:firstLine="700"/>
        <w:jc w:val="both"/>
      </w:pPr>
      <w:r>
        <w:rPr>
          <w:color w:val="000000"/>
        </w:rPr>
        <w:t>анализ проектов нормативных правовых актов Министерства;</w:t>
      </w:r>
    </w:p>
    <w:p w14:paraId="10000000">
      <w:pPr>
        <w:pStyle w:val="Style_1"/>
        <w:numPr>
          <w:ilvl w:val="0"/>
          <w:numId w:val="3"/>
        </w:numPr>
        <w:tabs>
          <w:tab w:leader="none" w:pos="1134" w:val="left"/>
          <w:tab w:leader="none" w:pos="1243" w:val="left"/>
        </w:tabs>
        <w:spacing w:line="276" w:lineRule="auto"/>
        <w:ind w:firstLine="700"/>
        <w:jc w:val="both"/>
      </w:pPr>
      <w:r>
        <w:rPr>
          <w:color w:val="000000"/>
        </w:rPr>
        <w:t>мониторинг и анализ практики применения Министерством антимонопольного законодательства;</w:t>
      </w:r>
    </w:p>
    <w:p w14:paraId="11000000">
      <w:pPr>
        <w:pStyle w:val="Style_1"/>
        <w:numPr>
          <w:ilvl w:val="0"/>
          <w:numId w:val="3"/>
        </w:numPr>
        <w:tabs>
          <w:tab w:leader="none" w:pos="1134" w:val="left"/>
          <w:tab w:leader="none" w:pos="1243" w:val="left"/>
        </w:tabs>
        <w:spacing w:line="276" w:lineRule="auto"/>
        <w:ind w:firstLine="700"/>
        <w:jc w:val="both"/>
      </w:pPr>
      <w:r>
        <w:rPr>
          <w:color w:val="000000"/>
        </w:rPr>
        <w:t>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14:paraId="12000000">
      <w:pPr>
        <w:pStyle w:val="Style_1"/>
        <w:spacing w:line="276" w:lineRule="auto"/>
        <w:ind w:firstLine="700"/>
        <w:jc w:val="both"/>
      </w:pPr>
      <w:r>
        <w:rPr>
          <w:color w:val="000000"/>
        </w:rPr>
        <w:t>В деятельности Министерства за период 2022 - 2024 годов нарушений антимонопольного законодательства (наличие предостережений, предупреждений, штрафов, жалоб, возбужденных дел) не выявлялось.</w:t>
      </w:r>
    </w:p>
    <w:p w14:paraId="13000000">
      <w:pPr>
        <w:pStyle w:val="Style_1"/>
        <w:spacing w:line="276" w:lineRule="auto"/>
        <w:ind w:firstLine="700"/>
        <w:jc w:val="both"/>
      </w:pPr>
      <w:r>
        <w:rPr>
          <w:color w:val="000000"/>
        </w:rPr>
        <w:t xml:space="preserve">Министерством размещен на официальном сайте </w:t>
      </w:r>
      <w:r>
        <w:rPr>
          <w:color w:val="000000"/>
        </w:rPr>
        <w:t xml:space="preserve">https://www.kamgov.ru </w:t>
      </w:r>
      <w:r>
        <w:rPr>
          <w:color w:val="000000"/>
        </w:rPr>
        <w:t>и постоянно актуализируется перечень действующих нормативных правовых актов, принятых Министерством, что дает возможность выявлять и исключать риски нарушения антимонопольного законодательства, а также проводить анализ о целесообразности (нецелесообразности) внесения изменений в указанные нормативные правовые акты.</w:t>
      </w:r>
    </w:p>
    <w:p w14:paraId="14000000">
      <w:pPr>
        <w:pStyle w:val="Style_1"/>
        <w:spacing w:line="276" w:lineRule="auto"/>
        <w:ind w:firstLine="700"/>
        <w:jc w:val="both"/>
      </w:pPr>
      <w:r>
        <w:rPr>
          <w:color w:val="000000"/>
        </w:rPr>
        <w:t>Кроме того, все проекты нормативных правовых актов Министерства размещаются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края.</w:t>
      </w:r>
    </w:p>
    <w:p w14:paraId="15000000">
      <w:pPr>
        <w:pStyle w:val="Style_1"/>
        <w:spacing w:line="276" w:lineRule="auto"/>
        <w:ind w:firstLine="700"/>
        <w:jc w:val="both"/>
      </w:pPr>
      <w:r>
        <w:rPr>
          <w:color w:val="000000"/>
        </w:rPr>
        <w:t>Нормативных правовых актов (проектов нормативных правовых актов) Министерства за 2024 год, противоречащих антимонопольному законодательству, не выявлено.</w:t>
      </w:r>
    </w:p>
    <w:p w14:paraId="16000000">
      <w:pPr>
        <w:pStyle w:val="Style_1"/>
        <w:spacing w:line="276" w:lineRule="auto"/>
        <w:ind w:firstLine="700"/>
        <w:jc w:val="both"/>
      </w:pPr>
      <w:r>
        <w:rPr>
          <w:color w:val="000000"/>
        </w:rPr>
        <w:t>Мониторинг и анализ практики применения Министерством антимонопольного законодательства в 2024 году, проведенный уполномоченными должностными лицами на основе информации, полученной в структурных подразделениях Министерства, анализ нормативных правовых актов Министерства показал, что в деятельности Министерства факты нарушения антимонопольного законодательства отсутствуют.</w:t>
      </w:r>
    </w:p>
    <w:p w14:paraId="17000000">
      <w:pPr>
        <w:pStyle w:val="Style_1"/>
        <w:spacing w:line="276" w:lineRule="auto"/>
        <w:ind w:firstLine="700"/>
        <w:jc w:val="both"/>
      </w:pPr>
      <w:r>
        <w:rPr>
          <w:color w:val="000000"/>
        </w:rPr>
        <w:t>По итогам проведенного анализа нормативных правовых актов (проектов нормативных правовых актов) Министерством сделан вывод об их соответствии антимонопольному законодательству, о нецелесообразности внесения изменений в действующие нормативные правовые акты (проекты нормативных правовых актов).</w:t>
      </w:r>
    </w:p>
    <w:p w14:paraId="18000000">
      <w:pPr>
        <w:pStyle w:val="Style_1"/>
        <w:spacing w:line="276" w:lineRule="auto"/>
        <w:ind w:firstLine="700"/>
        <w:jc w:val="both"/>
      </w:pPr>
      <w:r>
        <w:rPr>
          <w:color w:val="000000"/>
        </w:rPr>
        <w:t xml:space="preserve">В целях оценки эффективности функционирования в Министерстве антимонопольного комплаенса устанавливаются ключевые показатели. </w:t>
      </w:r>
    </w:p>
    <w:p w14:paraId="19000000">
      <w:pPr>
        <w:pStyle w:val="Style_1"/>
        <w:spacing w:line="276" w:lineRule="auto"/>
        <w:ind w:firstLine="720"/>
        <w:jc w:val="both"/>
      </w:pPr>
      <w:r>
        <w:rPr>
          <w:color w:val="000000"/>
        </w:rPr>
        <w:t>Ключевые показатели следующие:</w:t>
      </w:r>
    </w:p>
    <w:p w14:paraId="1A000000">
      <w:pPr>
        <w:pStyle w:val="Style_1"/>
        <w:numPr>
          <w:ilvl w:val="0"/>
          <w:numId w:val="4"/>
        </w:numPr>
        <w:tabs>
          <w:tab w:leader="none" w:pos="1186" w:val="left"/>
        </w:tabs>
        <w:spacing w:line="276" w:lineRule="auto"/>
        <w:ind w:firstLine="720"/>
        <w:jc w:val="both"/>
      </w:pPr>
      <w:r>
        <w:rPr>
          <w:color w:val="000000"/>
        </w:rPr>
        <w:t>коэффициент снижения количества нарушений антимонопольного законодательства со стороны Министерства (по сравнению с 202</w:t>
      </w:r>
      <w:r>
        <w:rPr>
          <w:color w:val="000000"/>
        </w:rPr>
        <w:t>3</w:t>
      </w:r>
      <w:r>
        <w:rPr>
          <w:color w:val="000000"/>
        </w:rPr>
        <w:t xml:space="preserve"> годом) (КСИ), рассчитанный как КНгого/Кноп, где</w:t>
      </w:r>
    </w:p>
    <w:p w14:paraId="1B000000">
      <w:pPr>
        <w:pStyle w:val="Style_1"/>
        <w:numPr>
          <w:ilvl w:val="0"/>
          <w:numId w:val="5"/>
        </w:numPr>
        <w:tabs>
          <w:tab w:leader="none" w:pos="955" w:val="left"/>
        </w:tabs>
        <w:spacing w:line="276" w:lineRule="auto"/>
        <w:ind w:firstLine="720"/>
        <w:jc w:val="both"/>
      </w:pPr>
      <w:r>
        <w:rPr>
          <w:color w:val="000000"/>
        </w:rPr>
        <w:t>КН202</w:t>
      </w:r>
      <w:r>
        <w:rPr>
          <w:color w:val="000000"/>
        </w:rPr>
        <w:t>2</w:t>
      </w:r>
      <w:r>
        <w:rPr>
          <w:color w:val="000000"/>
        </w:rPr>
        <w:t xml:space="preserve"> - количество нарушений антимонопольного законодательства со стороны Министерства в 202</w:t>
      </w:r>
      <w:r>
        <w:rPr>
          <w:color w:val="000000"/>
        </w:rPr>
        <w:t>3</w:t>
      </w:r>
      <w:r>
        <w:rPr>
          <w:color w:val="000000"/>
        </w:rPr>
        <w:t xml:space="preserve"> году;</w:t>
      </w:r>
    </w:p>
    <w:p w14:paraId="1C000000">
      <w:pPr>
        <w:pStyle w:val="Style_1"/>
        <w:numPr>
          <w:ilvl w:val="0"/>
          <w:numId w:val="5"/>
        </w:numPr>
        <w:tabs>
          <w:tab w:leader="none" w:pos="955" w:val="left"/>
        </w:tabs>
        <w:spacing w:line="276" w:lineRule="auto"/>
        <w:ind w:firstLine="720"/>
        <w:jc w:val="both"/>
      </w:pPr>
      <w:r>
        <w:rPr>
          <w:color w:val="000000"/>
        </w:rPr>
        <w:t>КНоп - количество нарушений антимонопольного законодательства со стороны Министерства в отчетном периоде.</w:t>
      </w:r>
    </w:p>
    <w:p w14:paraId="1D000000">
      <w:pPr>
        <w:pStyle w:val="Style_1"/>
        <w:spacing w:line="276" w:lineRule="auto"/>
        <w:ind w:firstLine="720"/>
        <w:jc w:val="both"/>
      </w:pPr>
      <w:r>
        <w:rPr>
          <w:color w:val="000000"/>
        </w:rPr>
        <w:t>Под нарушением антимонопольного законодательства со стороны Министерства понимаются:</w:t>
      </w:r>
    </w:p>
    <w:p w14:paraId="1E000000">
      <w:pPr>
        <w:pStyle w:val="Style_1"/>
        <w:numPr>
          <w:ilvl w:val="0"/>
          <w:numId w:val="5"/>
        </w:numPr>
        <w:tabs>
          <w:tab w:leader="none" w:pos="955" w:val="left"/>
        </w:tabs>
        <w:spacing w:line="276" w:lineRule="auto"/>
        <w:ind w:firstLine="720"/>
        <w:jc w:val="both"/>
      </w:pPr>
      <w:r>
        <w:rPr>
          <w:color w:val="000000"/>
        </w:rPr>
        <w:t>возбужденные антимонопольным органом в отношении Министерства антимонопольные дела;</w:t>
      </w:r>
    </w:p>
    <w:p w14:paraId="1F000000">
      <w:pPr>
        <w:pStyle w:val="Style_1"/>
        <w:numPr>
          <w:ilvl w:val="0"/>
          <w:numId w:val="5"/>
        </w:numPr>
        <w:tabs>
          <w:tab w:leader="none" w:pos="964" w:val="left"/>
        </w:tabs>
        <w:spacing w:line="276" w:lineRule="auto"/>
        <w:ind w:firstLine="720"/>
        <w:jc w:val="both"/>
      </w:pPr>
      <w:r>
        <w:rPr>
          <w:color w:val="000000"/>
        </w:rPr>
        <w:t>выданные антимонопольным органом Министерству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14:paraId="20000000">
      <w:pPr>
        <w:pStyle w:val="Style_1"/>
        <w:numPr>
          <w:ilvl w:val="0"/>
          <w:numId w:val="5"/>
        </w:numPr>
        <w:tabs>
          <w:tab w:leader="none" w:pos="960" w:val="left"/>
        </w:tabs>
        <w:spacing w:line="276" w:lineRule="auto"/>
        <w:ind w:firstLine="720"/>
        <w:jc w:val="both"/>
      </w:pPr>
      <w:r>
        <w:rPr>
          <w:color w:val="000000"/>
        </w:rPr>
        <w:t>направленные антимонопольным органом Министерству предостережения о недопустимости совершения действий, которые могут привести к нарушению антимонопольного законодательства.</w:t>
      </w:r>
    </w:p>
    <w:p w14:paraId="21000000">
      <w:pPr>
        <w:pStyle w:val="Style_1"/>
        <w:spacing w:line="276" w:lineRule="auto"/>
        <w:ind w:firstLine="720"/>
        <w:jc w:val="both"/>
      </w:pPr>
      <w:r>
        <w:rPr>
          <w:color w:val="000000"/>
        </w:rPr>
        <w:t>В отчетном периоде указанные нарушения отсутствуют.</w:t>
      </w:r>
    </w:p>
    <w:p w14:paraId="22000000">
      <w:pPr>
        <w:pStyle w:val="Style_1"/>
        <w:spacing w:line="276" w:lineRule="auto"/>
        <w:ind w:firstLine="720"/>
        <w:jc w:val="both"/>
      </w:pPr>
      <w:r>
        <w:rPr>
          <w:color w:val="000000"/>
        </w:rPr>
        <w:t>Показатель свидетельствует об эффективности антимонопольного комплаенса при значении менее либо равно 0.</w:t>
      </w:r>
    </w:p>
    <w:p w14:paraId="23000000">
      <w:pPr>
        <w:pStyle w:val="Style_1"/>
        <w:spacing w:line="276" w:lineRule="auto"/>
        <w:ind w:firstLine="720"/>
        <w:jc w:val="both"/>
      </w:pPr>
      <w:r>
        <w:rPr>
          <w:color w:val="000000"/>
        </w:rPr>
        <w:t>По итогам 2024 года КСН=0/0=0.</w:t>
      </w:r>
    </w:p>
    <w:p w14:paraId="24000000">
      <w:pPr>
        <w:pStyle w:val="Style_1"/>
        <w:numPr>
          <w:ilvl w:val="0"/>
          <w:numId w:val="4"/>
        </w:numPr>
        <w:tabs>
          <w:tab w:leader="none" w:pos="1186" w:val="left"/>
        </w:tabs>
        <w:spacing w:line="276" w:lineRule="auto"/>
        <w:ind w:firstLine="720"/>
        <w:jc w:val="both"/>
      </w:pPr>
      <w:r>
        <w:rPr>
          <w:color w:val="000000"/>
        </w:rPr>
        <w:t>доля проектов нормативных правовых актов Министерства, в которых выявлены риски нарушения антимонопольного законодательства (Дпнпа), рассчитанная как Кпнпа/Кноп, где</w:t>
      </w:r>
    </w:p>
    <w:p w14:paraId="25000000">
      <w:pPr>
        <w:pStyle w:val="Style_1"/>
        <w:numPr>
          <w:ilvl w:val="0"/>
          <w:numId w:val="6"/>
        </w:numPr>
        <w:tabs>
          <w:tab w:leader="none" w:pos="979" w:val="left"/>
        </w:tabs>
        <w:spacing w:line="276" w:lineRule="auto"/>
        <w:ind w:firstLine="720"/>
        <w:jc w:val="both"/>
      </w:pPr>
      <w:r>
        <w:rPr>
          <w:color w:val="000000"/>
        </w:rPr>
        <w:t>Кпнпа - количество проектов нормативных правовых актов Министерства, в которых данным органом выявлены риски нарушения антимонопольного законодательства (в отчетном периоде);</w:t>
      </w:r>
    </w:p>
    <w:p w14:paraId="26000000">
      <w:pPr>
        <w:pStyle w:val="Style_1"/>
        <w:numPr>
          <w:ilvl w:val="0"/>
          <w:numId w:val="6"/>
        </w:numPr>
        <w:tabs>
          <w:tab w:leader="none" w:pos="979" w:val="left"/>
        </w:tabs>
        <w:spacing w:line="276" w:lineRule="auto"/>
        <w:ind w:firstLine="720"/>
        <w:jc w:val="both"/>
      </w:pPr>
      <w:r>
        <w:rPr>
          <w:color w:val="000000"/>
        </w:rPr>
        <w:t>КНоп - количество нормативных правовых актов Министерства в которых антимонопольным органом выявлены нарушения антимонопольного законодательства (в отчетном периоде).</w:t>
      </w:r>
    </w:p>
    <w:p w14:paraId="27000000">
      <w:pPr>
        <w:pStyle w:val="Style_1"/>
        <w:spacing w:line="276" w:lineRule="auto"/>
        <w:ind w:firstLine="720"/>
        <w:jc w:val="both"/>
      </w:pPr>
      <w:r>
        <w:rPr>
          <w:color w:val="000000"/>
        </w:rPr>
        <w:t>Показатель свидетельствует об эффективности антимонопольного комплаенса при значении менее либо равно 0, а также при КНоп = 0.</w:t>
      </w:r>
    </w:p>
    <w:p w14:paraId="28000000">
      <w:pPr>
        <w:pStyle w:val="Style_1"/>
        <w:spacing w:line="276" w:lineRule="auto"/>
        <w:ind w:firstLine="720"/>
        <w:jc w:val="both"/>
      </w:pPr>
      <w:r>
        <w:rPr>
          <w:color w:val="000000"/>
        </w:rPr>
        <w:t>По итогам 2024 года КНоп = 0;</w:t>
      </w:r>
    </w:p>
    <w:p w14:paraId="29000000">
      <w:pPr>
        <w:pStyle w:val="Style_1"/>
        <w:numPr>
          <w:ilvl w:val="0"/>
          <w:numId w:val="4"/>
        </w:numPr>
        <w:tabs>
          <w:tab w:leader="none" w:pos="1186" w:val="left"/>
        </w:tabs>
        <w:spacing w:line="276" w:lineRule="auto"/>
        <w:ind w:firstLine="720"/>
        <w:jc w:val="both"/>
      </w:pPr>
      <w:r>
        <w:rPr>
          <w:color w:val="000000"/>
        </w:rPr>
        <w:t>доля нормативных правовых актов Министерства, в которых выявлены риски нарушения антимонопольного законодательства, рассчитанная как</w:t>
      </w:r>
      <w:r>
        <w:t xml:space="preserve"> </w:t>
      </w:r>
      <w:r>
        <w:rPr>
          <w:color w:val="000000"/>
        </w:rPr>
        <w:t>Кнпа/Кноп, где</w:t>
      </w:r>
    </w:p>
    <w:p w14:paraId="2A000000">
      <w:pPr>
        <w:pStyle w:val="Style_1"/>
        <w:numPr>
          <w:ilvl w:val="0"/>
          <w:numId w:val="7"/>
        </w:numPr>
        <w:tabs>
          <w:tab w:leader="none" w:pos="927" w:val="left"/>
        </w:tabs>
        <w:spacing w:line="276" w:lineRule="auto"/>
        <w:ind w:firstLine="720"/>
        <w:jc w:val="both"/>
      </w:pPr>
      <w:r>
        <w:rPr>
          <w:color w:val="000000"/>
        </w:rPr>
        <w:t>Кпнпа - количество нормативных правовых актов Министерства, в которых данным органом выявлены риски нарушения антимонопольного законодательства (в отчетном периоде);</w:t>
      </w:r>
    </w:p>
    <w:p w14:paraId="2B000000">
      <w:pPr>
        <w:pStyle w:val="Style_1"/>
        <w:numPr>
          <w:ilvl w:val="0"/>
          <w:numId w:val="7"/>
        </w:numPr>
        <w:tabs>
          <w:tab w:leader="none" w:pos="932" w:val="left"/>
        </w:tabs>
        <w:spacing w:line="276" w:lineRule="auto"/>
        <w:ind w:firstLine="720"/>
        <w:jc w:val="both"/>
      </w:pPr>
      <w:r>
        <w:rPr>
          <w:color w:val="000000"/>
        </w:rPr>
        <w:t>КНоп - количество нормативных правовых актов Министерства, в которых антимонопольным органом выявлены нарушения антимонопольного законодательства (в отчетном периоде).</w:t>
      </w:r>
    </w:p>
    <w:p w14:paraId="2C000000">
      <w:pPr>
        <w:pStyle w:val="Style_1"/>
        <w:spacing w:line="276" w:lineRule="auto"/>
        <w:ind w:firstLine="720"/>
        <w:jc w:val="both"/>
      </w:pPr>
      <w:r>
        <w:rPr>
          <w:color w:val="000000"/>
        </w:rPr>
        <w:t>Показатель свидетельствует об эффективности антимонопольного комплаенса при значении менее либо равно 0, а также при Кноп = 0.</w:t>
      </w:r>
    </w:p>
    <w:p w14:paraId="2D000000">
      <w:pPr>
        <w:pStyle w:val="Style_1"/>
        <w:spacing w:line="276" w:lineRule="auto"/>
        <w:ind w:firstLine="720"/>
        <w:jc w:val="both"/>
      </w:pPr>
      <w:r>
        <w:rPr>
          <w:color w:val="000000"/>
        </w:rPr>
        <w:t>По итогам 2024 года КНоп = 0;</w:t>
      </w:r>
    </w:p>
    <w:p w14:paraId="2E000000">
      <w:pPr>
        <w:pStyle w:val="Style_1"/>
        <w:numPr>
          <w:ilvl w:val="0"/>
          <w:numId w:val="4"/>
        </w:numPr>
        <w:tabs>
          <w:tab w:leader="none" w:pos="1186" w:val="left"/>
        </w:tabs>
        <w:spacing w:line="276" w:lineRule="auto"/>
        <w:ind w:firstLine="720"/>
        <w:jc w:val="both"/>
      </w:pPr>
      <w:r>
        <w:rPr>
          <w:color w:val="000000"/>
        </w:rPr>
        <w:t>доля сотрудников Министерства, в отношении которых были проведены обучающие мероприятия по антимонопольному законодательству и антимонопольному комплаенсу (для уполномоченного подразделения (должностного лица) (ДСо), рассчитанная как КСо/ КСобщ, где</w:t>
      </w:r>
    </w:p>
    <w:p w14:paraId="2F000000">
      <w:pPr>
        <w:pStyle w:val="Style_1"/>
        <w:numPr>
          <w:ilvl w:val="0"/>
          <w:numId w:val="8"/>
        </w:numPr>
        <w:tabs>
          <w:tab w:leader="none" w:pos="927" w:val="left"/>
        </w:tabs>
        <w:spacing w:line="276" w:lineRule="auto"/>
        <w:ind w:firstLine="720"/>
        <w:jc w:val="both"/>
      </w:pPr>
      <w:r>
        <w:rPr>
          <w:color w:val="000000"/>
        </w:rPr>
        <w:t>КСо - количество сотрудников Министерства, с которыми были проведены обучающие мероприятия по антимонопольному законодательству и антимонопольному комплаенсу;</w:t>
      </w:r>
    </w:p>
    <w:p w14:paraId="30000000">
      <w:pPr>
        <w:pStyle w:val="Style_1"/>
        <w:numPr>
          <w:ilvl w:val="0"/>
          <w:numId w:val="8"/>
        </w:numPr>
        <w:tabs>
          <w:tab w:leader="none" w:pos="937" w:val="left"/>
        </w:tabs>
        <w:spacing w:line="276" w:lineRule="auto"/>
        <w:ind w:firstLine="720"/>
        <w:jc w:val="both"/>
      </w:pPr>
      <w:r>
        <w:rPr>
          <w:color w:val="000000"/>
        </w:rPr>
        <w:t>КСобщ - общее количество сотрудников Министерства, чьи трудовые (должностные) обязанности предусматривают выполнение функций, связанных с рисками нарушения антимонопольного законодательства.</w:t>
      </w:r>
    </w:p>
    <w:p w14:paraId="31000000">
      <w:pPr>
        <w:pStyle w:val="Style_1"/>
        <w:spacing w:line="276" w:lineRule="auto"/>
        <w:ind w:firstLine="720"/>
        <w:jc w:val="both"/>
      </w:pPr>
      <w:r>
        <w:rPr>
          <w:color w:val="000000"/>
        </w:rPr>
        <w:t>По итогам 2024 года ДСо =</w:t>
      </w:r>
      <w:r>
        <w:rPr>
          <w:color w:val="000000"/>
        </w:rPr>
        <w:t>0</w:t>
      </w:r>
      <w:r>
        <w:rPr>
          <w:color w:val="000000"/>
        </w:rPr>
        <w:t>.</w:t>
      </w:r>
    </w:p>
    <w:p w14:paraId="32000000">
      <w:pPr>
        <w:pStyle w:val="Style_1"/>
        <w:spacing w:line="276" w:lineRule="auto"/>
        <w:ind w:firstLine="720"/>
        <w:jc w:val="both"/>
      </w:pPr>
      <w:r>
        <w:rPr>
          <w:color w:val="000000"/>
        </w:rPr>
        <w:t>По результатам расчета ключевые показатели эффективности функционирования антимонопольного комплаенса в Министерстве в 2024 году достигнуты.</w:t>
      </w:r>
    </w:p>
    <w:p w14:paraId="33000000">
      <w:pPr>
        <w:pStyle w:val="Style_1"/>
        <w:spacing w:after="720" w:line="276" w:lineRule="auto"/>
        <w:ind w:firstLine="720"/>
        <w:jc w:val="both"/>
      </w:pPr>
      <w:r>
        <w:rPr>
          <w:color w:val="000000"/>
        </w:rPr>
        <w:t>Уровень рисков нарушения антимонопольного законодательства определен как «низкий», так как отсутствует отрицательное влияние на отношение институтов гражданского общества к деятельности Министерства по развитию конкуренции, вероятность выдачи предупреждения, возбуждения дела о нарушении антимонопольного законодательств</w:t>
      </w:r>
      <w:r>
        <w:rPr>
          <w:color w:val="000000"/>
        </w:rPr>
        <w:t>а, наложения штрафа отсутствует.</w:t>
      </w:r>
    </w:p>
    <w:sectPr>
      <w:pgSz w:h="16838" w:orient="portrait" w:w="11906"/>
      <w:pgMar w:bottom="567" w:footer="709" w:gutter="0" w:header="709" w:left="1701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russianLower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lvl w:ilvl="0">
      <w:start w:val="1"/>
      <w:numFmt w:val="russianLower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lvl w:ilvl="0">
      <w:start w:val="1"/>
      <w:numFmt w:val="russianLower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" w:type="paragraph">
    <w:name w:val="Основной текст1"/>
    <w:basedOn w:val="Style_2"/>
    <w:link w:val="Style_1_ch"/>
    <w:pPr>
      <w:widowControl w:val="0"/>
      <w:spacing w:after="0" w:line="384" w:lineRule="auto"/>
      <w:ind w:firstLine="400"/>
    </w:pPr>
    <w:rPr>
      <w:rFonts w:ascii="Times New Roman" w:hAnsi="Times New Roman"/>
      <w:sz w:val="26"/>
    </w:rPr>
  </w:style>
  <w:style w:styleId="Style_1_ch" w:type="character">
    <w:name w:val="Основной текст1"/>
    <w:basedOn w:val="Style_2_ch"/>
    <w:link w:val="Style_1"/>
    <w:rPr>
      <w:rFonts w:ascii="Times New Roman" w:hAnsi="Times New Roman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Balloon Text"/>
    <w:basedOn w:val="Style_2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2_ch"/>
    <w:link w:val="Style_13"/>
    <w:rPr>
      <w:rFonts w:ascii="Tahoma" w:hAnsi="Tahoma"/>
      <w:sz w:val="16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Заголовок №1"/>
    <w:basedOn w:val="Style_2"/>
    <w:link w:val="Style_19_ch"/>
    <w:pPr>
      <w:widowControl w:val="0"/>
      <w:spacing w:after="440" w:line="240" w:lineRule="auto"/>
      <w:ind/>
      <w:jc w:val="center"/>
      <w:outlineLvl w:val="0"/>
    </w:pPr>
    <w:rPr>
      <w:rFonts w:ascii="Times New Roman" w:hAnsi="Times New Roman"/>
      <w:sz w:val="28"/>
    </w:rPr>
  </w:style>
  <w:style w:styleId="Style_19_ch" w:type="character">
    <w:name w:val="Заголовок №1"/>
    <w:basedOn w:val="Style_2_ch"/>
    <w:link w:val="Style_19"/>
    <w:rPr>
      <w:rFonts w:ascii="Times New Roman" w:hAnsi="Times New Roman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2025-01-26T04:18:27Z</dcterms:modified>
</cp:coreProperties>
</file>