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>Пояснительная записка</w:t>
      </w:r>
    </w:p>
    <w:p>
      <w:pPr>
        <w:pStyle w:val="Normal"/>
        <w:jc w:val="center"/>
        <w:rPr/>
      </w:pPr>
      <w:r>
        <w:rPr/>
        <w:t xml:space="preserve">к проекту постановления Правительства Камчатского края «О внесении изменений в </w:t>
      </w:r>
      <w:r>
        <w:rPr>
          <w:sz w:val="28"/>
        </w:rPr>
        <w:t>приложение 1 к постановлению Правительства Камчатского края от 30.10.2023 № 541-П «Об утверждении Стратегии социально-экономического развития Камчатского края до 2035 года»</w:t>
      </w:r>
    </w:p>
    <w:p>
      <w:pPr>
        <w:pStyle w:val="Normal"/>
        <w:jc w:val="center"/>
        <w:rPr>
          <w:rFonts w:ascii="Times New Roman" w:hAnsi="Times New Roman"/>
          <w:shd w:fill="FFA69B" w:val="clear"/>
        </w:rPr>
      </w:pPr>
      <w:r>
        <w:rPr>
          <w:shd w:fill="FFA69B" w:val="clear"/>
        </w:rPr>
      </w:r>
    </w:p>
    <w:p>
      <w:pPr>
        <w:pStyle w:val="Normal"/>
        <w:ind w:firstLine="709" w:left="0" w:right="0"/>
        <w:jc w:val="both"/>
        <w:rPr/>
      </w:pPr>
      <w:r>
        <w:rPr/>
        <w:t xml:space="preserve">Настоящий проект постановления Правительства Камчатского края разработан в целях приведения постановления Правительства Камчатского края </w:t>
      </w:r>
      <w:r>
        <w:rPr>
          <w:sz w:val="28"/>
        </w:rPr>
        <w:t>от 30.10.2023 № 541-П «Об утверждении Стратегии социально-экономического развития Камчатского края до 2035 года»</w:t>
      </w:r>
      <w:r>
        <w:rPr>
          <w:color w:val="000000"/>
        </w:rPr>
        <w:t xml:space="preserve"> в соответствие с правовыми актами Российской Федерации и Камчатского края.</w:t>
      </w:r>
    </w:p>
    <w:p>
      <w:pPr>
        <w:pStyle w:val="Normal"/>
        <w:ind w:firstLine="709" w:left="0" w:right="0"/>
        <w:jc w:val="both"/>
        <w:rPr/>
      </w:pPr>
      <w:r>
        <w:rPr>
          <w:color w:val="000000"/>
        </w:rPr>
        <w:t>Проектом постановления учтены следующие правовые акты:</w:t>
      </w:r>
    </w:p>
    <w:p>
      <w:pPr>
        <w:pStyle w:val="Normal"/>
        <w:ind w:firstLine="709" w:left="0" w:right="0"/>
        <w:jc w:val="both"/>
        <w:rPr/>
      </w:pPr>
      <w:r>
        <w:rPr>
          <w:color w:val="000000"/>
        </w:rPr>
        <w:t>1) У</w:t>
      </w:r>
      <w:r>
        <w:rPr/>
        <w:t>каз Президента Российской Федерации от 07.05.2024 № 309 «</w:t>
      </w:r>
      <w:r>
        <w:rPr>
          <w:b w:val="false"/>
          <w:color w:val="000000"/>
          <w:sz w:val="28"/>
        </w:rPr>
        <w:t>О национальных целях развития Российской Федерации на период до 2030 года и на перспективу до 2036 года»;</w:t>
      </w:r>
    </w:p>
    <w:p>
      <w:pPr>
        <w:pStyle w:val="Normal"/>
        <w:ind w:firstLine="709" w:left="0" w:right="0"/>
        <w:jc w:val="both"/>
        <w:rPr/>
      </w:pPr>
      <w:r>
        <w:rPr>
          <w:b w:val="false"/>
          <w:color w:val="000000"/>
          <w:sz w:val="28"/>
        </w:rPr>
        <w:t>2) Указ Президента Российской Федерации от 28.02.2024 № 145 «О Стратегии научно-технологического развития Российской Федерации»;</w:t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color w:val="000000"/>
          <w:sz w:val="28"/>
        </w:rPr>
        <w:t>3) р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аспоряжение Правительства Российской Федерации от 28.12.2024 № 4146-р «Об утверждении Стратегии пространственного развития Российской Федерации на период до 2030 года с прогнозом до 2036 года»;</w:t>
      </w:r>
    </w:p>
    <w:p>
      <w:pPr>
        <w:pStyle w:val="BodyText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4) распоряжение Правительства Российской Федерации от 17.08.2024 № 2233-р «Об утверждении Стратегии реализации молодежной политики в Российской Федерации на период до 2030 года»;</w:t>
      </w:r>
    </w:p>
    <w:p>
      <w:pPr>
        <w:pStyle w:val="BodyText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/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5) распоряжение Правительства Российской Федерации от 11.09.2024 № 2501-р «Об утверждении Стратегии государственной культурной политики на период до 2030 года»;</w:t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6) резолюция Правительства Российской Федерации от 30.12.2024 № ММ-П13-47086, утверждающая Единый план по достижению национальных целей развития Российской Федерации до 2030 года и на перспективу до 2036 года;</w:t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7) Закон Камчатского края от 23.04.2024 № 356 «О преобразовании поселений, входящих в состав Быстринского муниципального района, и создании вновь образованного муниципального образования»;</w:t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8) Закон Камчатского края от 23.04.2024 № 357 «О преобразовании поселений, входящих в состав Тигильского муниципального района, и создании вновь образованного муниципального образования, о внесении изменений в Закон Корякского автономного округа «О наделении статусом и определении административных центров муниципальных образований Корякского автономного округа» и признании утратившими силу отдельных законодательных актов (положений законодательных актов) Корякского автономного округа и Камчатского края»;</w:t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9) Закон Камчатского края от 23.04.2024 № 358 «О преобразовании поселений, входящих в состав Усть-Камчатского муниципального района, и создании вновь образованного муниципального образования»;</w:t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10) Закон Камчатского края от 05.12.2024 № 422 «О преобразовании поселений, входящих в состав Усть-Большерецкого муниципального района, и создании вновь образованного муниципального образования».</w:t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Проектом поставления уточнен перечень правовых актов, послуживших основой методологического подхода к разработке Стратегии социально-экономического развития Камчатского края до 2035 года (далее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>– Стратегия).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По предложениям исполнительных органов Камчатского края скорректированы отдельные отчетные данные, целевые ориентиры, стратегические задачи и механизмы реализации Стратегии. Обновлен перечень государственных программ Камчатского края. Исправлены грамматические и пунктуационные ошибки и опечатки, некорректные формулировки по тексту Стратегии.</w:t>
      </w:r>
    </w:p>
    <w:p>
      <w:pPr>
        <w:pStyle w:val="Normal"/>
        <w:ind w:firstLine="709" w:left="0" w:right="0"/>
        <w:jc w:val="both"/>
        <w:rPr/>
      </w:pPr>
      <w:r>
        <w:rPr/>
        <w:t>Для реализации настоящего постановления Правительства Камчатского края не потребуются дополнительные средства краевого бюдж</w:t>
      </w:r>
      <w:r>
        <w:rPr>
          <w:shd w:fill="auto" w:val="clear"/>
        </w:rPr>
        <w:t>ета.</w:t>
      </w:r>
    </w:p>
    <w:p>
      <w:pPr>
        <w:pStyle w:val="Normal"/>
        <w:ind w:firstLine="709" w:left="0" w:right="0"/>
        <w:jc w:val="both"/>
        <w:rPr/>
      </w:pPr>
      <w:r>
        <w:rPr>
          <w:shd w:fill="auto" w:val="clear"/>
        </w:rPr>
        <w:t>Проект постановления Правительства Камчатского края</w:t>
      </w:r>
      <w:r>
        <w:rPr>
          <w:shd w:fill="auto" w:val="clear"/>
        </w:rPr>
        <w:t xml:space="preserve"> </w:t>
      </w:r>
      <w:r>
        <w:rPr>
          <w:shd w:fill="auto" w:val="clear"/>
        </w:rPr>
        <w:t xml:space="preserve">29 января </w:t>
      </w:r>
      <w:r>
        <w:rPr>
          <w:shd w:fill="auto" w:val="clear"/>
        </w:rPr>
        <w:t>202</w:t>
      </w:r>
      <w:r>
        <w:rPr>
          <w:shd w:fill="auto" w:val="clear"/>
        </w:rPr>
        <w:t>5 года</w:t>
      </w:r>
      <w:r>
        <w:rPr>
          <w:shd w:fill="auto" w:val="clear"/>
        </w:rPr>
        <w:t xml:space="preserve"> размещен на Едином портале проведения </w:t>
      </w:r>
      <w:r>
        <w:rPr/>
        <w:t xml:space="preserve">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в срок </w:t>
      </w:r>
      <w:r>
        <w:rPr/>
        <w:t>до 5 февраля 2025 года</w:t>
      </w:r>
      <w:r>
        <w:rPr/>
        <w:t xml:space="preserve"> независимой антикоррупционной экспертизы.</w:t>
      </w:r>
    </w:p>
    <w:p>
      <w:pPr>
        <w:pStyle w:val="Normal"/>
        <w:ind w:firstLine="709" w:left="0" w:right="0"/>
        <w:jc w:val="both"/>
        <w:rPr/>
      </w:pPr>
      <w:r>
        <w:rPr/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2">
        <w:r>
          <w:rPr>
            <w:rStyle w:val="ListLabel1"/>
          </w:rPr>
          <w:t>постановлением</w:t>
        </w:r>
      </w:hyperlink>
      <w:r>
        <w:rPr/>
        <w:t xml:space="preserve">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62">
    <w:name w:val="Contents 62"/>
    <w:link w:val="Contents621"/>
    <w:qFormat/>
    <w:rPr>
      <w:rFonts w:ascii="XO Thames" w:hAnsi="XO Thames"/>
      <w:color w:val="000000"/>
      <w:spacing w:val="0"/>
      <w:sz w:val="28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Contents52">
    <w:name w:val="Contents 52"/>
    <w:link w:val="Contents521"/>
    <w:qFormat/>
    <w:rPr>
      <w:rFonts w:ascii="XO Thames" w:hAnsi="XO Thames"/>
      <w:color w:val="000000"/>
      <w:spacing w:val="0"/>
      <w:sz w:val="28"/>
    </w:rPr>
  </w:style>
  <w:style w:type="character" w:styleId="Endnote2">
    <w:name w:val="Endnote2"/>
    <w:link w:val="Endnote21"/>
    <w:qFormat/>
    <w:rPr>
      <w:rFonts w:ascii="Times New Roman" w:hAnsi="Times New Roman"/>
      <w:color w:val="000000"/>
      <w:spacing w:val="0"/>
      <w:sz w:val="20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Caption1">
    <w:name w:val="Caption1"/>
    <w:link w:val="Caption11"/>
    <w:qFormat/>
    <w:rPr>
      <w:i/>
      <w:sz w:val="24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Heading42">
    <w:name w:val="Heading 42"/>
    <w:link w:val="Heading421"/>
    <w:qFormat/>
    <w:rPr>
      <w:rFonts w:ascii="XO Thames" w:hAnsi="XO Thames"/>
      <w:b/>
      <w:color w:val="000000"/>
      <w:spacing w:val="0"/>
      <w:sz w:val="24"/>
    </w:rPr>
  </w:style>
  <w:style w:type="character" w:styleId="Style9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11">
    <w:name w:val="Гипертекстовая ссылка11"/>
    <w:link w:val="1111"/>
    <w:qFormat/>
    <w:rPr>
      <w:rFonts w:ascii="Times New Roman" w:hAnsi="Times New Roman"/>
      <w:b/>
      <w:color w:val="008000"/>
      <w:spacing w:val="0"/>
      <w:sz w:val="20"/>
      <w:u w:val="single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Title11">
    <w:name w:val="Title11"/>
    <w:link w:val="Title111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3">
    <w:name w:val="Contents 3"/>
    <w:link w:val="Contents33"/>
    <w:qFormat/>
    <w:rPr>
      <w:rFonts w:ascii="XO Thames" w:hAnsi="XO Thames"/>
      <w:color w:val="000000"/>
      <w:spacing w:val="0"/>
      <w:sz w:val="28"/>
    </w:rPr>
  </w:style>
  <w:style w:type="character" w:styleId="List1">
    <w:name w:val="List1"/>
    <w:basedOn w:val="Textbody1"/>
    <w:qFormat/>
    <w:rPr/>
  </w:style>
  <w:style w:type="character" w:styleId="ConsPlusTitle11">
    <w:name w:val="ConsPlusTitle11"/>
    <w:link w:val="ConsPlusTitle111"/>
    <w:qFormat/>
    <w:rPr>
      <w:rFonts w:ascii="Arial" w:hAnsi="Arial"/>
      <w:b/>
      <w:color w:val="000000"/>
      <w:spacing w:val="0"/>
      <w:sz w:val="20"/>
    </w:rPr>
  </w:style>
  <w:style w:type="character" w:styleId="Contents71">
    <w:name w:val="Contents 71"/>
    <w:link w:val="Contents73"/>
    <w:qFormat/>
    <w:rPr>
      <w:rFonts w:ascii="XO Thames" w:hAnsi="XO Thames"/>
      <w:color w:val="000000"/>
      <w:spacing w:val="0"/>
      <w:sz w:val="28"/>
    </w:rPr>
  </w:style>
  <w:style w:type="character" w:styleId="Contents11">
    <w:name w:val="Contents 11"/>
    <w:link w:val="Contents111"/>
    <w:qFormat/>
    <w:rPr>
      <w:rFonts w:ascii="XO Thames" w:hAnsi="XO Thames"/>
      <w:b/>
      <w:color w:val="000000"/>
      <w:spacing w:val="0"/>
      <w:sz w:val="28"/>
    </w:rPr>
  </w:style>
  <w:style w:type="character" w:styleId="NoSpacing11">
    <w:name w:val="No Spacing11"/>
    <w:link w:val="NoSpacing111"/>
    <w:qFormat/>
    <w:rPr>
      <w:rFonts w:ascii="Calibri" w:hAnsi="Calibri"/>
      <w:color w:val="000000"/>
      <w:spacing w:val="0"/>
      <w:sz w:val="22"/>
    </w:rPr>
  </w:style>
  <w:style w:type="character" w:styleId="Heading111">
    <w:name w:val="Heading 111"/>
    <w:link w:val="Heading1111"/>
    <w:qFormat/>
    <w:rPr>
      <w:rFonts w:ascii="XO Thames" w:hAnsi="XO Thames"/>
      <w:b/>
      <w:color w:val="000000"/>
      <w:spacing w:val="0"/>
      <w:sz w:val="32"/>
    </w:rPr>
  </w:style>
  <w:style w:type="character" w:styleId="Internetlink1">
    <w:name w:val="Internet link1"/>
    <w:link w:val="Internetlink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Internetlink2">
    <w:name w:val="Internet link2"/>
    <w:link w:val="Internetlink2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List11">
    <w:name w:val="List11"/>
    <w:basedOn w:val="Textbody"/>
    <w:link w:val="List12"/>
    <w:qFormat/>
    <w:rPr/>
  </w:style>
  <w:style w:type="character" w:styleId="Subtitle2">
    <w:name w:val="Subtitle2"/>
    <w:link w:val="Subtitle21"/>
    <w:qFormat/>
    <w:rPr>
      <w:rFonts w:ascii="XO Thames" w:hAnsi="XO Thames"/>
      <w:i/>
      <w:color w:val="000000"/>
      <w:spacing w:val="0"/>
      <w:sz w:val="24"/>
    </w:rPr>
  </w:style>
  <w:style w:type="character" w:styleId="Contents22">
    <w:name w:val="Contents 22"/>
    <w:link w:val="Contents221"/>
    <w:qFormat/>
    <w:rPr>
      <w:rFonts w:ascii="XO Thames" w:hAnsi="XO Thames"/>
      <w:color w:val="000000"/>
      <w:spacing w:val="0"/>
      <w:sz w:val="28"/>
    </w:rPr>
  </w:style>
  <w:style w:type="character" w:styleId="Heading311">
    <w:name w:val="Heading 311"/>
    <w:link w:val="Heading313"/>
    <w:qFormat/>
    <w:rPr>
      <w:rFonts w:ascii="XO Thames" w:hAnsi="XO Thames"/>
      <w:b/>
      <w:color w:val="000000"/>
      <w:spacing w:val="0"/>
      <w:sz w:val="26"/>
    </w:rPr>
  </w:style>
  <w:style w:type="character" w:styleId="ConsPlusNormal11">
    <w:name w:val="ConsPlusNormal11"/>
    <w:link w:val="ConsPlusNormal111"/>
    <w:qFormat/>
    <w:rPr>
      <w:rFonts w:ascii="Arial" w:hAnsi="Arial"/>
      <w:color w:val="000000"/>
      <w:spacing w:val="0"/>
      <w:sz w:val="20"/>
    </w:rPr>
  </w:style>
  <w:style w:type="character" w:styleId="Contents42">
    <w:name w:val="Contents 42"/>
    <w:link w:val="Contents421"/>
    <w:qFormat/>
    <w:rPr>
      <w:rFonts w:ascii="XO Thames" w:hAnsi="XO Thames"/>
      <w:color w:val="000000"/>
      <w:spacing w:val="0"/>
      <w:sz w:val="28"/>
    </w:rPr>
  </w:style>
  <w:style w:type="character" w:styleId="Contents61">
    <w:name w:val="Contents 61"/>
    <w:link w:val="Contents63"/>
    <w:qFormat/>
    <w:rPr>
      <w:rFonts w:ascii="XO Thames" w:hAnsi="XO Thames"/>
      <w:color w:val="000000"/>
      <w:spacing w:val="0"/>
      <w:sz w:val="28"/>
    </w:rPr>
  </w:style>
  <w:style w:type="character" w:styleId="Contents91">
    <w:name w:val="Contents 91"/>
    <w:link w:val="Contents911"/>
    <w:qFormat/>
    <w:rPr>
      <w:rFonts w:ascii="XO Thames" w:hAnsi="XO Thames"/>
      <w:color w:val="000000"/>
      <w:spacing w:val="0"/>
      <w:sz w:val="28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Footnote11">
    <w:name w:val="Footnote11"/>
    <w:link w:val="Footnote111"/>
    <w:qFormat/>
    <w:rPr>
      <w:rFonts w:ascii="XO Thames" w:hAnsi="XO Thames"/>
      <w:color w:val="000000"/>
      <w:spacing w:val="0"/>
      <w:sz w:val="22"/>
    </w:rPr>
  </w:style>
  <w:style w:type="character" w:styleId="1">
    <w:name w:val="Указатель1"/>
    <w:link w:val="112"/>
    <w:qFormat/>
    <w:rPr/>
  </w:style>
  <w:style w:type="character" w:styleId="Contents32">
    <w:name w:val="Contents 32"/>
    <w:link w:val="Contents321"/>
    <w:qFormat/>
    <w:rPr>
      <w:rFonts w:ascii="XO Thames" w:hAnsi="XO Thames"/>
      <w:color w:val="000000"/>
      <w:spacing w:val="0"/>
      <w:sz w:val="28"/>
    </w:rPr>
  </w:style>
  <w:style w:type="character" w:styleId="12">
    <w:name w:val="Колонтитул1"/>
    <w:link w:val="113"/>
    <w:qFormat/>
    <w:rPr>
      <w:rFonts w:ascii="XO Thames" w:hAnsi="XO Thames"/>
      <w:color w:val="000000"/>
      <w:spacing w:val="0"/>
      <w:sz w:val="20"/>
    </w:rPr>
  </w:style>
  <w:style w:type="character" w:styleId="BalloonText11">
    <w:name w:val="Balloon Text11"/>
    <w:link w:val="BalloonText111"/>
    <w:qFormat/>
    <w:rPr>
      <w:rFonts w:ascii="Tahoma" w:hAnsi="Tahoma"/>
      <w:sz w:val="16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Title2">
    <w:name w:val="Title2"/>
    <w:link w:val="Title2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13">
    <w:name w:val="Заголовок1"/>
    <w:link w:val="114"/>
    <w:qFormat/>
    <w:rPr>
      <w:rFonts w:ascii="Open Sans" w:hAnsi="Open Sans"/>
      <w:sz w:val="28"/>
    </w:rPr>
  </w:style>
  <w:style w:type="character" w:styleId="Contents51">
    <w:name w:val="Contents 51"/>
    <w:link w:val="Contents511"/>
    <w:qFormat/>
    <w:rPr>
      <w:rFonts w:ascii="XO Thames" w:hAnsi="XO Thames"/>
      <w:color w:val="000000"/>
      <w:spacing w:val="0"/>
      <w:sz w:val="28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Subtitle11">
    <w:name w:val="Subtitle11"/>
    <w:link w:val="Subtitle111"/>
    <w:qFormat/>
    <w:rPr>
      <w:rFonts w:ascii="XO Thames" w:hAnsi="XO Thames"/>
      <w:i/>
      <w:color w:val="000000"/>
      <w:spacing w:val="0"/>
      <w:sz w:val="24"/>
    </w:rPr>
  </w:style>
  <w:style w:type="character" w:styleId="Heading512">
    <w:name w:val="Heading 512"/>
    <w:link w:val="Heading5121"/>
    <w:qFormat/>
    <w:rPr>
      <w:rFonts w:ascii="XO Thames" w:hAnsi="XO Thames"/>
      <w:b/>
      <w:color w:val="000000"/>
      <w:spacing w:val="0"/>
      <w:sz w:val="22"/>
    </w:rPr>
  </w:style>
  <w:style w:type="character" w:styleId="Endnote1">
    <w:name w:val="Endnote1"/>
    <w:link w:val="Endnote11"/>
    <w:qFormat/>
    <w:rPr>
      <w:sz w:val="20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DefaultParagraphFont11">
    <w:name w:val="Default Paragraph Font11"/>
    <w:link w:val="DefaultParagraphFont111"/>
    <w:qFormat/>
    <w:rPr>
      <w:rFonts w:ascii="Times New Roman" w:hAnsi="Times New Roman"/>
      <w:color w:val="000000"/>
      <w:spacing w:val="0"/>
      <w:sz w:val="20"/>
    </w:rPr>
  </w:style>
  <w:style w:type="character" w:styleId="14">
    <w:name w:val="Символ концевой сноски1"/>
    <w:link w:val="115"/>
    <w:qFormat/>
    <w:rPr>
      <w:rFonts w:ascii="Times New Roman" w:hAnsi="Times New Roman"/>
      <w:color w:val="000000"/>
      <w:spacing w:val="0"/>
      <w:sz w:val="20"/>
      <w:vertAlign w:val="superscript"/>
    </w:rPr>
  </w:style>
  <w:style w:type="character" w:styleId="Textbody">
    <w:name w:val="Text body"/>
    <w:link w:val="Textbody2"/>
    <w:qFormat/>
    <w:rPr/>
  </w:style>
  <w:style w:type="character" w:styleId="NormalWeb11">
    <w:name w:val="Normal (Web)11"/>
    <w:link w:val="NormalWeb111"/>
    <w:qFormat/>
    <w:rPr>
      <w:sz w:val="24"/>
    </w:rPr>
  </w:style>
  <w:style w:type="character" w:styleId="Contents82">
    <w:name w:val="Contents 82"/>
    <w:link w:val="Contents821"/>
    <w:qFormat/>
    <w:rPr>
      <w:rFonts w:ascii="XO Thames" w:hAnsi="XO Thames"/>
      <w:color w:val="000000"/>
      <w:spacing w:val="0"/>
      <w:sz w:val="28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Contents81">
    <w:name w:val="Contents 81"/>
    <w:link w:val="Contents811"/>
    <w:qFormat/>
    <w:rPr>
      <w:rFonts w:ascii="XO Thames" w:hAnsi="XO Thames"/>
      <w:color w:val="000000"/>
      <w:spacing w:val="0"/>
      <w:sz w:val="28"/>
    </w:rPr>
  </w:style>
  <w:style w:type="character" w:styleId="EndnoteSymbol1">
    <w:name w:val="Endnote Symbol1"/>
    <w:link w:val="EndnoteSymbol11"/>
    <w:qFormat/>
    <w:rPr>
      <w:rFonts w:ascii="Times New Roman" w:hAnsi="Times New Roman"/>
      <w:color w:val="000000"/>
      <w:spacing w:val="0"/>
      <w:sz w:val="20"/>
      <w:vertAlign w:val="superscript"/>
    </w:rPr>
  </w:style>
  <w:style w:type="character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styleId="EndnoteSymbol2">
    <w:name w:val="Endnote Symbol2"/>
    <w:link w:val="EndnoteSymbol21"/>
    <w:qFormat/>
    <w:rPr>
      <w:rFonts w:ascii="Times New Roman" w:hAnsi="Times New Roman"/>
      <w:color w:val="000000"/>
      <w:spacing w:val="0"/>
      <w:sz w:val="20"/>
      <w:vertAlign w:val="superscript"/>
    </w:rPr>
  </w:style>
  <w:style w:type="character" w:styleId="Footnote2">
    <w:name w:val="Footnote2"/>
    <w:link w:val="Footnote21"/>
    <w:qFormat/>
    <w:rPr>
      <w:rFonts w:ascii="XO Thames" w:hAnsi="XO Thames"/>
      <w:color w:val="000000"/>
      <w:spacing w:val="0"/>
      <w:sz w:val="22"/>
    </w:rPr>
  </w:style>
  <w:style w:type="character" w:styleId="Contents72">
    <w:name w:val="Contents 72"/>
    <w:link w:val="Contents72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link w:val="Heading513"/>
    <w:qFormat/>
    <w:rPr>
      <w:rFonts w:ascii="XO Thames" w:hAnsi="XO Thames"/>
      <w:b/>
      <w:color w:val="000000"/>
      <w:spacing w:val="0"/>
      <w:sz w:val="22"/>
    </w:rPr>
  </w:style>
  <w:style w:type="character" w:styleId="Heading12">
    <w:name w:val="Heading 12"/>
    <w:link w:val="Heading121"/>
    <w:qFormat/>
    <w:rPr>
      <w:rFonts w:ascii="XO Thames" w:hAnsi="XO Thames"/>
      <w:b/>
      <w:color w:val="000000"/>
      <w:spacing w:val="0"/>
      <w:sz w:val="32"/>
    </w:rPr>
  </w:style>
  <w:style w:type="character" w:styleId="Heading411">
    <w:name w:val="Heading 411"/>
    <w:link w:val="Heading4111"/>
    <w:qFormat/>
    <w:rPr>
      <w:rFonts w:ascii="XO Thames" w:hAnsi="XO Thames"/>
      <w:b/>
      <w:color w:val="000000"/>
      <w:spacing w:val="0"/>
      <w:sz w:val="24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Heading22">
    <w:name w:val="Heading 22"/>
    <w:link w:val="Heading221"/>
    <w:qFormat/>
    <w:rPr>
      <w:rFonts w:ascii="XO Thames" w:hAnsi="XO Thames"/>
      <w:b/>
      <w:color w:val="000000"/>
      <w:spacing w:val="0"/>
      <w:sz w:val="28"/>
    </w:rPr>
  </w:style>
  <w:style w:type="character" w:styleId="Textbody1">
    <w:name w:val="Text body1"/>
    <w:qFormat/>
    <w:rPr/>
  </w:style>
  <w:style w:type="character" w:styleId="Caption2">
    <w:name w:val="Caption2"/>
    <w:qFormat/>
    <w:rPr>
      <w:i/>
      <w:sz w:val="24"/>
    </w:rPr>
  </w:style>
  <w:style w:type="character" w:styleId="Endnote">
    <w:name w:val="Endnote"/>
    <w:qFormat/>
    <w:rPr>
      <w:sz w:val="20"/>
    </w:rPr>
  </w:style>
  <w:style w:type="character" w:styleId="Subtitle1">
    <w:name w:val="Subtitle1"/>
    <w:qFormat/>
    <w:rPr>
      <w:rFonts w:ascii="XO Thames" w:hAnsi="XO Thames"/>
      <w:i/>
      <w:color w:val="000000"/>
      <w:spacing w:val="0"/>
      <w:sz w:val="24"/>
    </w:rPr>
  </w:style>
  <w:style w:type="character" w:styleId="Contents12">
    <w:name w:val="Contents 12"/>
    <w:link w:val="Contents121"/>
    <w:qFormat/>
    <w:rPr>
      <w:rFonts w:ascii="XO Thames" w:hAnsi="XO Thames"/>
      <w:b/>
      <w:color w:val="000000"/>
      <w:spacing w:val="0"/>
      <w:sz w:val="28"/>
    </w:rPr>
  </w:style>
  <w:style w:type="character" w:styleId="Contents21">
    <w:name w:val="Contents 21"/>
    <w:link w:val="Contents23"/>
    <w:qFormat/>
    <w:rPr>
      <w:rFonts w:ascii="XO Thames" w:hAnsi="XO Thames"/>
      <w:color w:val="000000"/>
      <w:spacing w:val="0"/>
      <w:sz w:val="28"/>
    </w:rPr>
  </w:style>
  <w:style w:type="character" w:styleId="Title1">
    <w:name w:val="Title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ConsPlusNonformat11">
    <w:name w:val="ConsPlusNonformat11"/>
    <w:link w:val="ConsPlusNonformat111"/>
    <w:qFormat/>
    <w:rPr>
      <w:rFonts w:ascii="Courier New" w:hAnsi="Courier New"/>
      <w:color w:val="000000"/>
      <w:spacing w:val="0"/>
      <w:sz w:val="20"/>
    </w:rPr>
  </w:style>
  <w:style w:type="character" w:styleId="111">
    <w:name w:val="Комментарий11"/>
    <w:link w:val="1112"/>
    <w:qFormat/>
    <w:rPr>
      <w:rFonts w:ascii="Arial" w:hAnsi="Arial"/>
      <w:i/>
      <w:color w:val="800080"/>
      <w:sz w:val="20"/>
    </w:rPr>
  </w:style>
  <w:style w:type="character" w:styleId="Heading312">
    <w:name w:val="Heading 312"/>
    <w:link w:val="Heading3121"/>
    <w:qFormat/>
    <w:rPr>
      <w:rFonts w:ascii="XO Thames" w:hAnsi="XO Thames"/>
      <w:b/>
      <w:color w:val="000000"/>
      <w:spacing w:val="0"/>
      <w:sz w:val="26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Contents41">
    <w:name w:val="Contents 41"/>
    <w:link w:val="Contents43"/>
    <w:qFormat/>
    <w:rPr>
      <w:rFonts w:ascii="XO Thames" w:hAnsi="XO Thames"/>
      <w:color w:val="000000"/>
      <w:spacing w:val="0"/>
      <w:sz w:val="28"/>
    </w:rPr>
  </w:style>
  <w:style w:type="character" w:styleId="Heading211">
    <w:name w:val="Heading 211"/>
    <w:link w:val="Heading2111"/>
    <w:qFormat/>
    <w:rPr>
      <w:rFonts w:ascii="XO Thames" w:hAnsi="XO Thames"/>
      <w:b/>
      <w:color w:val="000000"/>
      <w:spacing w:val="0"/>
      <w:sz w:val="28"/>
    </w:rPr>
  </w:style>
  <w:style w:type="character" w:styleId="Contents92">
    <w:name w:val="Contents 92"/>
    <w:link w:val="Contents921"/>
    <w:qFormat/>
    <w:rPr>
      <w:rFonts w:ascii="XO Thames" w:hAnsi="XO Thames"/>
      <w:color w:val="000000"/>
      <w:spacing w:val="0"/>
      <w:sz w:val="28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Style11">
    <w:name w:val="Указатель"/>
    <w:basedOn w:val="Normal"/>
    <w:qFormat/>
    <w:pPr>
      <w:suppressLineNumbers/>
    </w:pPr>
    <w:rPr>
      <w:rFonts w:cs="Lohit Devanagari"/>
    </w:rPr>
  </w:style>
  <w:style w:type="paragraph" w:styleId="Contents621">
    <w:name w:val="Contents 621"/>
    <w:link w:val="Contents6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21">
    <w:name w:val="Contents 521"/>
    <w:link w:val="Contents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21">
    <w:name w:val="Endnote21"/>
    <w:link w:val="Endno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11">
    <w:name w:val="Caption11"/>
    <w:link w:val="Captio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421">
    <w:name w:val="Heading 421"/>
    <w:link w:val="Headi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1111">
    <w:name w:val="Гипертекстовая ссылка111"/>
    <w:link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b/>
      <w:color w:val="008000"/>
      <w:spacing w:val="0"/>
      <w:kern w:val="0"/>
      <w:sz w:val="20"/>
      <w:szCs w:val="20"/>
      <w:u w:val="single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111">
    <w:name w:val="Title111"/>
    <w:link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33">
    <w:name w:val="Contents 33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Title111">
    <w:name w:val="ConsPlusTitle111"/>
    <w:link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Tahoma" w:cs="Lohit Devanagari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73">
    <w:name w:val="Contents 73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1">
    <w:name w:val="Contents 111"/>
    <w:link w:val="Content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11">
    <w:name w:val="No Spacing111"/>
    <w:link w:val="No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111">
    <w:name w:val="Heading 1111"/>
    <w:link w:val="Head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Internetlink11">
    <w:name w:val="Internet link11"/>
    <w:link w:val="Internetlink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Internetlink21">
    <w:name w:val="Internet link21"/>
    <w:link w:val="Internet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List12">
    <w:name w:val="List12"/>
    <w:basedOn w:val="Textbody2"/>
    <w:link w:val="List11"/>
    <w:qFormat/>
    <w:pPr/>
    <w:rPr/>
  </w:style>
  <w:style w:type="paragraph" w:styleId="Subtitle21">
    <w:name w:val="Subtitle21"/>
    <w:link w:val="Sub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221">
    <w:name w:val="Contents 221"/>
    <w:link w:val="Contents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13">
    <w:name w:val="Heading 313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ConsPlusNormal111">
    <w:name w:val="ConsPlusNormal111"/>
    <w:link w:val="ConsPlusNormal11"/>
    <w:qFormat/>
    <w:pPr>
      <w:widowControl w:val="false"/>
      <w:suppressAutoHyphens w:val="true"/>
      <w:bidi w:val="0"/>
      <w:spacing w:lineRule="auto" w:line="240" w:before="0" w:after="0"/>
      <w:ind w:firstLine="720" w:left="0" w:right="0"/>
      <w:jc w:val="left"/>
    </w:pPr>
    <w:rPr>
      <w:rFonts w:ascii="Arial" w:hAnsi="Arial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21">
    <w:name w:val="Contents 421"/>
    <w:link w:val="Contents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3">
    <w:name w:val="Contents 63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1">
    <w:name w:val="Contents 911"/>
    <w:link w:val="Contents9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1">
    <w:name w:val="Footnote111"/>
    <w:link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2">
    <w:name w:val="Указатель11"/>
    <w:basedOn w:val="Normal"/>
    <w:link w:val="1"/>
    <w:qFormat/>
    <w:pPr/>
    <w:rPr/>
  </w:style>
  <w:style w:type="paragraph" w:styleId="Contents321">
    <w:name w:val="Contents 321"/>
    <w:link w:val="Contents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3">
    <w:name w:val="Колонтитул11"/>
    <w:link w:val="12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BalloonText111">
    <w:name w:val="Balloon Text111"/>
    <w:basedOn w:val="Normal"/>
    <w:link w:val="BalloonText11"/>
    <w:qFormat/>
    <w:pPr/>
    <w:rPr>
      <w:rFonts w:ascii="Tahoma" w:hAnsi="Tahoma"/>
      <w:sz w:val="16"/>
    </w:rPr>
  </w:style>
  <w:style w:type="paragraph" w:styleId="Title21">
    <w:name w:val="Title21"/>
    <w:link w:val="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4">
    <w:name w:val="Заголовок11"/>
    <w:basedOn w:val="Normal"/>
    <w:next w:val="BodyText"/>
    <w:link w:val="13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Contents511">
    <w:name w:val="Contents 511"/>
    <w:link w:val="Contents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111">
    <w:name w:val="Subtitle111"/>
    <w:link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121">
    <w:name w:val="Heading 5121"/>
    <w:link w:val="Heading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11">
    <w:name w:val="Endnote11"/>
    <w:link w:val="Endno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2">
    <w:name w:val="Колонтитул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11">
    <w:name w:val="Default Paragraph Font111"/>
    <w:link w:val="DefaultParagraph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5">
    <w:name w:val="Символ концевой сноски11"/>
    <w:link w:val="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Textbody2">
    <w:name w:val="Text body2"/>
    <w:link w:val="Textbody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NormalWeb111">
    <w:name w:val="Normal (Web)111"/>
    <w:basedOn w:val="Normal"/>
    <w:link w:val="NormalWeb11"/>
    <w:qFormat/>
    <w:pPr>
      <w:spacing w:beforeAutospacing="1" w:afterAutospacing="1"/>
    </w:pPr>
    <w:rPr>
      <w:sz w:val="24"/>
    </w:rPr>
  </w:style>
  <w:style w:type="paragraph" w:styleId="Contents821">
    <w:name w:val="Contents 821"/>
    <w:link w:val="Contents8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1">
    <w:name w:val="Contents 811"/>
    <w:link w:val="Contents8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Symbol11">
    <w:name w:val="Endnote Symbol11"/>
    <w:link w:val="EndnoteSymbo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Symbol21">
    <w:name w:val="Endnote Symbol21"/>
    <w:link w:val="EndnoteSymbo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Footnote21">
    <w:name w:val="Footnote21"/>
    <w:link w:val="Footnote2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721">
    <w:name w:val="Contents 721"/>
    <w:link w:val="Contents7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13">
    <w:name w:val="Heading 513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21">
    <w:name w:val="Heading 121"/>
    <w:link w:val="Headi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4111">
    <w:name w:val="Heading 4111"/>
    <w:link w:val="Heading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21">
    <w:name w:val="Heading 221"/>
    <w:link w:val="Headi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Text">
    <w:name w:val="Endnote Text"/>
    <w:basedOn w:val="Normal"/>
    <w:pPr/>
    <w:rPr>
      <w:sz w:val="20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121">
    <w:name w:val="Contents 121"/>
    <w:link w:val="Contents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3">
    <w:name w:val="Contents 23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sPlusNonformat111">
    <w:name w:val="ConsPlusNonformat111"/>
    <w:link w:val="ConsPlusNonforma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ourier New" w:hAnsi="Courier New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12">
    <w:name w:val="Комментарий111"/>
    <w:basedOn w:val="Normal"/>
    <w:next w:val="Normal"/>
    <w:link w:val="111"/>
    <w:qFormat/>
    <w:pPr>
      <w:ind w:hanging="0" w:left="170"/>
      <w:jc w:val="both"/>
    </w:pPr>
    <w:rPr>
      <w:rFonts w:ascii="Arial" w:hAnsi="Arial"/>
      <w:i/>
      <w:color w:val="800080"/>
      <w:sz w:val="20"/>
    </w:rPr>
  </w:style>
  <w:style w:type="paragraph" w:styleId="Heading3121">
    <w:name w:val="Heading 3121"/>
    <w:link w:val="Heading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Contents43">
    <w:name w:val="Contents 43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111">
    <w:name w:val="Heading 2111"/>
    <w:link w:val="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21">
    <w:name w:val="Contents 921"/>
    <w:link w:val="Contents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table" w:styleId="Style_82">
    <w:name w:val="Table Grid"/>
    <w:basedOn w:val="Style_83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8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Application>LibreOffice/7.6.7.2$Linux_X86_64 LibreOffice_project/60$Build-2</Application>
  <AppVersion>15.0000</AppVersion>
  <Pages>2</Pages>
  <Words>499</Words>
  <Characters>3730</Characters>
  <CharactersWithSpaces>4212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2025-01-29T14:27:15Z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