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16.11.2023 № 568-П «Об утверждении Положения о системе управления государственными программами Камчатского края»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16.11.2023 № 568-П «Об утверждении Положения о системе управления государственными программами Камчатского края»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5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"/>
        <w:gridCol w:w="480"/>
        <w:gridCol w:w="481"/>
        <w:gridCol w:w="3662"/>
        <w:gridCol w:w="480"/>
        <w:gridCol w:w="1872"/>
        <w:gridCol w:w="485"/>
        <w:gridCol w:w="1697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Изменения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в постановление Правительства Камчатского края от 16.11.2023 № 568-П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 системе управления государственными программами Камчатского края»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Часть 5 признать утратившей силу.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 1: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1) часть 1 изложить в следующей редакции: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«1. </w:t>
      </w:r>
      <w:r>
        <w:rPr>
          <w:rFonts w:ascii="Times New Roman" w:hAnsi="Times New Roman"/>
          <w:sz w:val="28"/>
        </w:rPr>
        <w:t>Настоящее Положение устанавливает Порядок принятия решений о разработке государственных программ Камчатского края, их формирования и реализации, а также Порядок проведения оценки эффективности государственных программ Камчатского края и ее критерии.»;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</w:rPr>
        <w:t>2) в части 9 слова «в системе» заменить словами «с использованием системы»;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</w:rPr>
        <w:t>3) пункт 3 части 13 изложить в следующей редакции: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«3) ведомственные проекты – проекты, обеспечивающие достижение и (или) вклад в достижение показателей государственной программы Камчатского края, если реализация мероприятий (результатов) таких проектов не направлена на достижение показателей и результатов структурного элемента государственной программы Российской Федерации, а направлена на достижение иных показателей и (или) решение иных задач соответствующего исполнительного органа Камчатского края;»;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4) в абзаце пятом части 20 слово «комплекса» заменить словом «комплексов»;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5) часть 41 изложить в следующей редакции: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</w:rPr>
        <w:tab/>
        <w:t>«41. Проект паспорта государственной программы (комплексной программы) утверждается куратором государственной программы (комплексной программы) в течение 5 рабочих дней со дня поступления на рассмотрение.»;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6) абзац первый части 44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«44. Государственные программы (комплексные программы) подлежат приведению в соответствие с законом о краевом бюджете не позднее 31 января текущего финансового года.»;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7) абзац второй части 45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«Изменение параметров паспорта государственной программы (комплексной программы), являющихся параметрами паспортов региональных проектов, указанных в пункте 1 части 13 настоящего Положения, осуществляется в подсистеме управления государственными программами автоматически после утверждения соответствующих изменений в подсистеме </w:t>
      </w:r>
      <w:r>
        <w:rPr>
          <w:rFonts w:ascii="XO Thames" w:hAnsi="XO Thames"/>
          <w:sz w:val="28"/>
          <w:szCs w:val="28"/>
        </w:rPr>
        <w:t>управления национальными проектами системы «Электронный бюджет».»;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8) части 66 и 66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«66. Ответственным исполнителем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</w:rPr>
        <w:t xml:space="preserve">осударственной программы (комплексной программы) </w:t>
      </w:r>
      <w:r>
        <w:rPr>
          <w:rFonts w:ascii="Times New Roman" w:hAnsi="Times New Roman"/>
          <w:sz w:val="28"/>
          <w:szCs w:val="28"/>
        </w:rPr>
        <w:t xml:space="preserve">совместно с соисполнителями и участниками </w:t>
      </w:r>
      <w:r>
        <w:rPr>
          <w:rFonts w:ascii="Times New Roman" w:hAnsi="Times New Roman"/>
          <w:sz w:val="28"/>
        </w:rPr>
        <w:t>ежемесячно (за исключением последнего месяца отчетного квартала) и ежеквартально (за исключением 4 квартала отчетного года) формируются в подсистеме управления государственными программами: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1) информация об исполнении (достижении) мероприятий (результатов)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, контрольных точек и объектов мероприятий (результатов), ответственными исполнителями которых они являются, а также сведения о рисках реализации указанных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 в части исполнения (достижения) мероприятий (результатов) и контрольных точек – не позднее плановой и (или) фактической даты их исполнения (достижения);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2) информация о достижении показателей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, ответственными исполнителями которых они являются, а также сведения о рисках реализации </w:t>
      </w:r>
      <w:r>
        <w:rPr>
          <w:rFonts w:ascii="Times New Roman" w:hAnsi="Times New Roman"/>
          <w:sz w:val="28"/>
        </w:rPr>
        <w:t>структурных элементов</w:t>
      </w:r>
      <w:r>
        <w:rPr>
          <w:rFonts w:ascii="Times New Roman" w:hAnsi="Times New Roman"/>
          <w:sz w:val="28"/>
        </w:rPr>
        <w:t xml:space="preserve"> в части достижения показателей, – не позднее 3 рабочего дня месяца, следующего за отчетным, либо не позднее установленной даты расчета значений показателей;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3) отчеты о ходе реализации структурных элементов государственной программы,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за исключением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региональных проектов, указанных подпункте «а» пункта 2 части 13 настоящего Положения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position w:val="0"/>
          <w:sz w:val="28"/>
          <w:sz w:val="28"/>
          <w:szCs w:val="28"/>
          <w:shd w:fill="auto" w:val="clear"/>
          <w:vertAlign w:val="baseline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</w:rPr>
        <w:t>не позднее 7 рабочего дня месяца, следующего за отчетным периодом;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отчет о ходе реализации государственной программы не позднее 10 рабочего дня месяца, следующего за отчетным периодом.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Формирование в подсистеме управления государственными программами годовых отчетов о ходе реализации структурных элементов государственной программы (комплексной программы),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kern w:val="0"/>
          <w:position w:val="0"/>
          <w:sz w:val="28"/>
          <w:sz w:val="28"/>
          <w:szCs w:val="20"/>
          <w:shd w:fill="auto" w:val="clear"/>
          <w:vertAlign w:val="baseline"/>
          <w:lang w:val="ru-RU" w:eastAsia="ru-RU" w:bidi="ar-SA"/>
        </w:rPr>
        <w:t xml:space="preserve">за исключением 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/>
          <w:kern w:val="0"/>
          <w:position w:val="0"/>
          <w:sz w:val="28"/>
          <w:sz w:val="28"/>
          <w:szCs w:val="20"/>
          <w:shd w:fill="auto" w:val="clear"/>
          <w:vertAlign w:val="baseline"/>
          <w:lang w:val="ru-RU" w:eastAsia="ru-RU" w:bidi="ar-SA"/>
        </w:rPr>
        <w:t xml:space="preserve">региональных проектов, указанных подпункте «а» пункта 2 части 13 настоящего Положения, </w:t>
      </w:r>
      <w:r>
        <w:rPr>
          <w:rFonts w:ascii="Times New Roman" w:hAnsi="Times New Roman"/>
          <w:sz w:val="28"/>
        </w:rPr>
        <w:t>осуществляется до 14 февраля года, следующего за отчетным (уточненные итоговые годовые отчеты – до 25 марта года, следующего за отчетным), годового отчета о ходе реализации государственной программы (комплексной программы) – до 1 марта года, следующего за отчетным (уточненный итоговый годовой отчет – до 31 марта года, следующего за отчетным).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Годовые отчеты </w:t>
      </w:r>
      <w:r>
        <w:rPr>
          <w:rFonts w:ascii="Times New Roman" w:hAnsi="Times New Roman"/>
          <w:sz w:val="28"/>
        </w:rPr>
        <w:t xml:space="preserve">о ходе реализации структурных элементов государственной программы (комплексной программы), </w:t>
      </w:r>
      <w:r>
        <w:rPr>
          <w:rFonts w:ascii="Times New Roman" w:hAnsi="Times New Roman"/>
          <w:sz w:val="28"/>
          <w:szCs w:val="28"/>
        </w:rPr>
        <w:t>о ходе реализации государственной программы (комплексной программы) могут уточняться ответственными исполнителями государственных программ (комплексных программ), в том числе в связи с получением официальной статистической информации, формирование которой осуществляется в соответствии с федеральным планом статистических работ (при необходимости).</w:t>
      </w:r>
      <w:r>
        <w:rPr>
          <w:rFonts w:ascii="Times New Roman" w:hAnsi="Times New Roman"/>
          <w:sz w:val="28"/>
        </w:rPr>
        <w:t>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9) части 72 –76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«72. </w:t>
      </w:r>
      <w:r>
        <w:rPr>
          <w:rFonts w:ascii="Times New Roman" w:hAnsi="Times New Roman"/>
          <w:sz w:val="28"/>
          <w:szCs w:val="28"/>
        </w:rPr>
        <w:t xml:space="preserve">Министерство экономического развития Камчатского края ежегодно, до 10 апреля года, следующего за отчетным годом, представляет в Правительство Камчатского края и Министерство финансов Камчатского края проект сводного годового доклада </w:t>
      </w:r>
      <w:r>
        <w:rPr>
          <w:rFonts w:ascii="Times New Roman" w:hAnsi="Times New Roman"/>
          <w:sz w:val="28"/>
        </w:rPr>
        <w:t>о ходе реализации и об оценке эффективности государственных программ (комплексных программ) (далее – сводный годовой доклад)</w:t>
      </w:r>
      <w:r>
        <w:rPr>
          <w:rFonts w:ascii="Times New Roman" w:hAnsi="Times New Roman"/>
          <w:sz w:val="28"/>
          <w:szCs w:val="28"/>
        </w:rPr>
        <w:t>, разработанный на основе годовых отчетов (уточненных годовых отчетов), сформированных в системе «Электронный бюджет», а также аналитической информации о ходе реализации государственных программ (комплексных программ), представляемых ответственными исполнителями.</w:t>
      </w:r>
    </w:p>
    <w:p>
      <w:pPr>
        <w:pStyle w:val="Normal"/>
        <w:spacing w:lineRule="auto" w:line="240" w:before="0" w:after="0"/>
        <w:jc w:val="both"/>
        <w:rPr/>
      </w:pP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>Целью формирования сводного годового доклада является обеспечение Правительства Камчатского края, иных государственных органов и организаций сведениями об оценке эффективности реализации государственных программ (комплексных программ), а также иной аналитической информацией, необходимой для подготовки и принятия управленческих решений.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73. Сводный годовой доклад содержит: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1) сведения об основных итогах реализации государственных программ (комплексных программ) за отчетный период;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2) сведения о плановых и фактических значениях показателей государственных программ (комплексных программ)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3) сведения о выполнении расходных обязательств Камчатского края, связанных с реализацией государственных программ (комплексных программ);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4) оценку деятельности ответственных исполнителей в части, касающейся реализации государственных программ (комплексных программ);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5) оценку эффективности реализации государственных программ (комплексных программ);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6) предложения об изменении форм и методов управления реализацией государственной программы (комплексной программы), о сокращении (увеличении) финансирования и (или) досрочном прекращении структурных элементов или государственной программы (комплексной программы) в целом (при необходимости).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74. Министерство экономического развития Камчатского края вправе запрашивать у ответственных исполнителей, соисполнителей, участников государственных программ (комплексных программ) дополнительные сведения, характеризующие ход реализации государственных программ (комплексных программ), касающиеся содержания годового отчета.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случае непредставления ответственными исполнителями годовых отчетов о ходе реализации государственных программ (комплексных программ) в сроки, установленные частями 66</w:t>
      </w:r>
      <w:r>
        <w:rPr>
          <w:rFonts w:ascii="Times New Roman" w:hAnsi="Times New Roman"/>
          <w:sz w:val="28"/>
          <w:szCs w:val="28"/>
          <w:vertAlign w:val="superscript"/>
        </w:rPr>
        <w:t>1 </w:t>
      </w:r>
      <w:r>
        <w:rPr>
          <w:rFonts w:ascii="Times New Roman" w:hAnsi="Times New Roman"/>
          <w:sz w:val="28"/>
          <w:szCs w:val="28"/>
        </w:rPr>
        <w:t>– 67 настоящего Положения, соответствующая государственная программа (комплексная программа) признается неэффективной.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75. Для целей формирования сводного годового доклада в Министерство экономического развития Камчатского края в срок до 10 февраля года, следующего за отчетным годом, предоставляется информация: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1) Министерством финансов Камчатского края о финансировании расходов краевого бюджета на реализацию государственных программ по состоянию на 31 декабря отчетного года;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2) Управлением по национальным проектам и стратегической деятельности Администрации Губернатора Камчатского края об уровне достижения региональных проектов, </w:t>
      </w:r>
      <w:r>
        <w:rPr>
          <w:rFonts w:ascii="Times New Roman" w:hAnsi="Times New Roman"/>
          <w:sz w:val="28"/>
        </w:rPr>
        <w:t>указанных в пункте 1, подпункте «а» пункта 2 части 13 настоящего Положения.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C9211E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76. Оценка эффективности реализации государственных программ (комплексных программ) осуществляется Министерством экономического развития Камчатского края в соответствии с Порядком проведения оценки эффективности государственных программ (комплексных программ) согласно приложению к настоящему Положению.».</w:t>
      </w:r>
    </w:p>
    <w:p>
      <w:pPr>
        <w:pStyle w:val="BodyText"/>
        <w:spacing w:lineRule="atLeast" w:line="285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10) дополнить частями 76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и 76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>
      <w:pPr>
        <w:pStyle w:val="BodyText"/>
        <w:spacing w:lineRule="atLeast" w:line="285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«76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 Сводный годовой доклад рассматривается и утверждается на заседании Правительства Камчатского края.</w:t>
      </w:r>
    </w:p>
    <w:p>
      <w:pPr>
        <w:pStyle w:val="BodyText"/>
        <w:spacing w:lineRule="atLeast" w:line="285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По результатам оценки эффективности государственной программы (комплексной программы) Правительством Камчатского края может быть принято решение о необходимости прекращения или об изменении ранее утвержденной государственной программы (комплексной программы), начиная с очередного финансового года, в том числе необходимости изменения объема бюджетных ассигнований на финансовое обеспечение реализации государственной программы (комплексной программы). </w:t>
      </w:r>
    </w:p>
    <w:p>
      <w:pPr>
        <w:pStyle w:val="BodyText"/>
        <w:spacing w:lineRule="atLeast" w:line="285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76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 Сводный годовой доклад, утвержденный Правительством Камчатского края, размещается Министерством экономического развития Камчатского края на официальном сайте исполнительных органов Камчатского края в информационно-телекоммуникационной сети «Интернет» не позднее 10 рабочих дней после его утверждения.»;</w:t>
      </w:r>
    </w:p>
    <w:p>
      <w:pPr>
        <w:pStyle w:val="BodyText"/>
        <w:spacing w:lineRule="atLeast" w:line="285" w:before="0" w:after="0"/>
        <w:ind w:firstLine="54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11) дополнить приложением к Положению о системе управления государственными программами Камчатского края следующего содержания: 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BodyText"/>
        <w:spacing w:lineRule="atLeast" w:line="285" w:before="0" w:after="142"/>
        <w:ind w:firstLine="4706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>
      <w:pPr>
        <w:pStyle w:val="BodyText"/>
        <w:spacing w:lineRule="atLeast" w:line="285" w:before="164" w:after="142"/>
        <w:ind w:left="4706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к Положению о системе управления государственными программами Камчатского края</w:t>
      </w:r>
    </w:p>
    <w:p>
      <w:pPr>
        <w:pStyle w:val="BodyText"/>
        <w:spacing w:lineRule="atLeast" w:line="285" w:before="164" w:after="142"/>
        <w:ind w:left="470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BodyText"/>
        <w:spacing w:lineRule="atLeast" w:line="285" w:before="164" w:after="142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проведения оценки эффективности реализации государственных программ </w:t>
      </w:r>
    </w:p>
    <w:p>
      <w:pPr>
        <w:pStyle w:val="BodyText"/>
        <w:spacing w:lineRule="atLeast" w:line="285" w:before="164" w:after="142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(комплексных программ) Камчатского края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1. Оценка эффективности реализации государственной программы (комплексной программы) Камчатского края проводится ежегодно на основании оценки: </w:t>
        <w:tab/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1) уровня достижения целей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2) уровня достижения структурных элементов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3) уровня кассового исполнения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4) уровня качества управления государственной программой (комплексной программой).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2. Эффективность реализации государственной программы (комплексной программы)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Эф</m:t>
            </m:r>
          </m:e>
          <m:sub>
            <m:r>
              <w:rPr>
                <w:rFonts w:ascii="Cambria Math" w:hAnsi="Cambria Math"/>
              </w:rPr>
              <m:t xml:space="preserve">гп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,4</m:t>
            </m:r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УД</m:t>
                </m:r>
              </m:e>
              <m:sub>
                <m:r>
                  <w:rPr>
                    <w:rFonts w:ascii="Cambria Math" w:hAnsi="Cambria Math"/>
                  </w:rPr>
                  <m:t xml:space="preserve">ц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,4</m:t>
            </m:r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УД</m:t>
                </m:r>
              </m:e>
              <m:sub>
                <m:r>
                  <w:rPr>
                    <w:rFonts w:ascii="Cambria Math" w:hAnsi="Cambria Math"/>
                  </w:rPr>
                  <m:t xml:space="preserve">сэ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,1</m:t>
            </m:r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У</m:t>
                </m:r>
              </m:e>
              <m:sub>
                <m:r>
                  <w:rPr>
                    <w:rFonts w:ascii="Cambria Math" w:hAnsi="Cambria Math"/>
                  </w:rPr>
                  <m:t xml:space="preserve">ки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,1</m:t>
            </m:r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У</m:t>
                </m:r>
              </m:e>
              <m:sub>
                <m:r>
                  <w:rPr>
                    <w:rFonts w:ascii="Cambria Math" w:hAnsi="Cambria Math"/>
                  </w:rPr>
                  <m:t xml:space="preserve">ку</m:t>
                </m:r>
              </m:sub>
            </m:sSub>
          </m:e>
        </m:d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Эф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r>
        <w:rPr>
          <w:rFonts w:ascii="Times New Roman" w:hAnsi="Times New Roman"/>
          <w:sz w:val="28"/>
          <w:szCs w:val="28"/>
        </w:rPr>
        <w:t xml:space="preserve"> – эффективность реализации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ц</w:t>
      </w:r>
      <w:r>
        <w:rPr>
          <w:rFonts w:ascii="Times New Roman" w:hAnsi="Times New Roman"/>
          <w:sz w:val="28"/>
          <w:szCs w:val="28"/>
        </w:rPr>
        <w:t xml:space="preserve"> – уровень достижения целей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сэ</w:t>
      </w:r>
      <w:r>
        <w:rPr>
          <w:rFonts w:ascii="Times New Roman" w:hAnsi="Times New Roman"/>
          <w:sz w:val="28"/>
          <w:szCs w:val="28"/>
        </w:rPr>
        <w:t xml:space="preserve"> – уровень достижения структурных элементов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</w:t>
      </w:r>
      <w:r>
        <w:rPr>
          <w:rFonts w:ascii="Times New Roman" w:hAnsi="Times New Roman"/>
          <w:sz w:val="28"/>
          <w:szCs w:val="28"/>
          <w:vertAlign w:val="subscript"/>
        </w:rPr>
        <w:t>ки</w:t>
      </w:r>
      <w:r>
        <w:rPr>
          <w:rFonts w:ascii="Times New Roman" w:hAnsi="Times New Roman"/>
          <w:sz w:val="28"/>
          <w:szCs w:val="28"/>
        </w:rPr>
        <w:t xml:space="preserve"> – уровень кассового исполнения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</w:t>
      </w:r>
      <w:r>
        <w:rPr>
          <w:rFonts w:ascii="Times New Roman" w:hAnsi="Times New Roman"/>
          <w:sz w:val="28"/>
          <w:szCs w:val="28"/>
          <w:vertAlign w:val="subscript"/>
        </w:rPr>
        <w:t>ку</w:t>
      </w:r>
      <w:r>
        <w:rPr>
          <w:rFonts w:ascii="Times New Roman" w:hAnsi="Times New Roman"/>
          <w:sz w:val="28"/>
          <w:szCs w:val="28"/>
        </w:rPr>
        <w:t xml:space="preserve"> – уровень качества управления государственной программой (комплексной программой).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3. Уровень достижения целей государственной программы (комплексной программы)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ц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покгп</m:t>
                    </m:r>
                  </m:sub>
                </m:sSub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УД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покгп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i</m:t>
                </m:r>
              </m:e>
            </m:nary>
          </m:num>
          <m:den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покгп</m:t>
                </m:r>
              </m:sub>
            </m:sSub>
          </m:den>
        </m:f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покгп</w:t>
      </w:r>
      <w:r>
        <w:rPr>
          <w:rFonts w:ascii="Times New Roman" w:hAnsi="Times New Roman"/>
          <w:sz w:val="28"/>
          <w:szCs w:val="28"/>
        </w:rPr>
        <w:t>i – уровень достижения i-го показателя паспорта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покгп </w:t>
      </w:r>
      <w:r>
        <w:rPr>
          <w:rFonts w:ascii="Times New Roman" w:hAnsi="Times New Roman"/>
          <w:sz w:val="28"/>
          <w:szCs w:val="28"/>
        </w:rPr>
        <w:t>– количество показателей в паспорте государственной программы (комплексной программы).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4. Уровень достижения показателя паспорта государственной программы (комплексной программы) рассчитывается по формулам: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показателя, планируемой динамикой значения которого является возрастание:</w:t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покгп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П</m:t>
                </m:r>
              </m:e>
              <m:sub>
                <m:r>
                  <w:rPr>
                    <w:rFonts w:ascii="Cambria Math" w:hAnsi="Cambria Math"/>
                  </w:rPr>
                  <m:t xml:space="preserve">гпф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П</m:t>
                </m:r>
              </m:e>
              <m:sub>
                <m:r>
                  <w:rPr>
                    <w:rFonts w:ascii="Cambria Math" w:hAnsi="Cambria Math"/>
                  </w:rPr>
                  <m:t xml:space="preserve">гпп</m:t>
                </m:r>
              </m:sub>
            </m:sSub>
          </m:den>
        </m:f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100</m:t>
        </m:r>
      </m:oMath>
      <w:r>
        <w:rPr>
          <w:rFonts w:ascii="Times New Roman" w:hAnsi="Times New Roman"/>
          <w:sz w:val="28"/>
          <w:szCs w:val="28"/>
        </w:rPr>
        <w:t>;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показателя, планируемой динамикой значения которого является убывание:</w:t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покгп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П</m:t>
                </m:r>
              </m:e>
              <m:sub>
                <m:r>
                  <w:rPr>
                    <w:rFonts w:ascii="Cambria Math" w:hAnsi="Cambria Math"/>
                  </w:rPr>
                  <m:t xml:space="preserve">гпп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П</m:t>
                </m:r>
              </m:e>
              <m:sub>
                <m:r>
                  <w:rPr>
                    <w:rFonts w:ascii="Cambria Math" w:hAnsi="Cambria Math"/>
                  </w:rPr>
                  <m:t xml:space="preserve">гпф</m:t>
                </m:r>
              </m:sub>
            </m:sSub>
          </m:den>
        </m:f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100</m:t>
        </m:r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  <w:vertAlign w:val="subscript"/>
        </w:rPr>
        <w:t>гпф</w:t>
      </w:r>
      <w:r>
        <w:rPr>
          <w:rFonts w:ascii="Times New Roman" w:hAnsi="Times New Roman"/>
          <w:sz w:val="28"/>
          <w:szCs w:val="28"/>
        </w:rPr>
        <w:t xml:space="preserve"> – значение показателя паспорта государственной программы (комплексной программы) фактически достигнутое на конец отчетного года;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  <w:vertAlign w:val="subscript"/>
        </w:rPr>
        <w:t>гпп</w:t>
      </w:r>
      <w:r>
        <w:rPr>
          <w:rFonts w:ascii="Times New Roman" w:hAnsi="Times New Roman"/>
          <w:sz w:val="28"/>
          <w:szCs w:val="28"/>
        </w:rPr>
        <w:t xml:space="preserve"> – плановое годовое значение показателя паспорта государственной программы (комплексной программы). 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В случае если уровень достижения показателя паспорта государственной программы (комплексной программы) превышает 100 процентов, уровень достижения такого показателя принимается равным 100 процентам.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5. Уровень достижения структурных элементов государственной программы (комплексной программы)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сэ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,6</m:t>
        </m:r>
        <m:r>
          <w:rPr>
            <w:rFonts w:ascii="Cambria Math" w:hAnsi="Cambria Math"/>
          </w:rPr>
          <m:t xml:space="preserve">∗</m:t>
        </m:r>
        <m:d>
          <m:dPr>
            <m:begChr m:val="("/>
            <m:endChr m:val=")"/>
          </m:dPr>
          <m:e>
            <m:f>
              <m:num>
                <m:nary>
                  <m:naryPr>
                    <m:chr m:val="∑"/>
                  </m:naryPr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  <m:sup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пр</m:t>
                        </m:r>
                      </m:sub>
                    </m:sSub>
                  </m:sup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УД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пр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</m:nary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пр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,4</m:t>
        </m:r>
        <m:r>
          <w:rPr>
            <w:rFonts w:ascii="Cambria Math" w:hAnsi="Cambria Math"/>
          </w:rPr>
          <m:t xml:space="preserve">∗</m:t>
        </m:r>
        <m:d>
          <m:dPr>
            <m:begChr m:val="("/>
            <m:endChr m:val=")"/>
          </m:dPr>
          <m:e>
            <m:f>
              <m:num>
                <m:nary>
                  <m:naryPr>
                    <m:chr m:val="∑"/>
                  </m:naryPr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  <m:r>
                      <w:rPr>
                        <w:rFonts w:ascii="Cambria Math" w:hAnsi="Cambria Math"/>
                      </w:rPr>
                      <m:t xml:space="preserve">=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  <m:sup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кпм</m:t>
                        </m:r>
                      </m:sub>
                    </m:sSub>
                  </m:sup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УД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кпм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i</m:t>
                    </m:r>
                  </m:e>
                </m:nary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кпм</m:t>
                    </m:r>
                  </m:sub>
                </m:sSub>
              </m:den>
            </m:f>
          </m:e>
        </m:d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>i – уровень достижения i-го регионального проекта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N</w:t>
      </w:r>
      <w:r>
        <w:rPr>
          <w:rFonts w:ascii="Times New Roman" w:hAnsi="Times New Roman"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– количество региональных проектов государственной программы (комплексной программы);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кпм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уровень достижения i-го комплекса процессных мероприятий;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N</w:t>
      </w:r>
      <w:r>
        <w:rPr>
          <w:rFonts w:ascii="Times New Roman" w:hAnsi="Times New Roman"/>
          <w:sz w:val="28"/>
          <w:szCs w:val="28"/>
          <w:vertAlign w:val="subscript"/>
        </w:rPr>
        <w:t>кпм</w:t>
      </w:r>
      <w:r>
        <w:rPr>
          <w:rFonts w:ascii="Times New Roman" w:hAnsi="Times New Roman"/>
          <w:sz w:val="28"/>
          <w:szCs w:val="28"/>
        </w:rPr>
        <w:t xml:space="preserve"> – количество комплексов процессных мероприятий, по которым осуществляется расчет уровня достижения.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В случае отсутствия в государственной программе проектной или процессной составляющей, весовой коэффициент отсутствующей составляющей равен 0, при этом оставшийся весовой коэффициент равен 1.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6. Расчет уровня достижения региональных проектов, </w:t>
      </w:r>
      <w:r>
        <w:rPr>
          <w:rFonts w:ascii="Times New Roman" w:hAnsi="Times New Roman"/>
          <w:sz w:val="28"/>
        </w:rPr>
        <w:t>указанных в пункте 1, подпункте «а» пункта 2 части 13 настоящего Положения,</w:t>
      </w:r>
      <w:r>
        <w:rPr>
          <w:rFonts w:ascii="Times New Roman" w:hAnsi="Times New Roman"/>
          <w:sz w:val="28"/>
          <w:szCs w:val="28"/>
        </w:rPr>
        <w:t xml:space="preserve"> проводится в соответствии с методическими рекомендациями Проектного офиса Правительства Российской Федерации.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7. Расчет уровня достижения i-го регионального проекта, за исключением региональных проектов, указанных в части 6 настоящего Порядка, осуществляется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пр</m:t>
            </m:r>
          </m:sub>
        </m:sSub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,5</m:t>
        </m:r>
        <m:r>
          <w:rPr>
            <w:rFonts w:ascii="Cambria Math" w:hAnsi="Cambria Math"/>
          </w:rPr>
          <m:t xml:space="preserve">∗</m:t>
        </m:r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покпр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,5</m:t>
        </m:r>
        <m:r>
          <w:rPr>
            <w:rFonts w:ascii="Cambria Math" w:hAnsi="Cambria Math"/>
          </w:rPr>
          <m:t xml:space="preserve">∗</m:t>
        </m:r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м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</m:d>
            <m:r>
              <w:rPr>
                <w:rFonts w:ascii="Cambria Math" w:hAnsi="Cambria Math"/>
              </w:rPr>
              <m:t xml:space="preserve">пр</m:t>
            </m:r>
          </m:sub>
        </m:sSub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  <w:vertAlign w:val="subscript"/>
        </w:rPr>
        <w:t>покпр</w:t>
      </w:r>
      <w:r>
        <w:rPr>
          <w:rFonts w:ascii="Times New Roman" w:hAnsi="Times New Roman"/>
          <w:sz w:val="28"/>
          <w:szCs w:val="28"/>
        </w:rPr>
        <w:t xml:space="preserve"> – уровень достижения показателей, отраженных в паспорте регионального проекта;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м(р)пр</w:t>
      </w:r>
      <w:r>
        <w:rPr>
          <w:rFonts w:ascii="Times New Roman" w:hAnsi="Times New Roman"/>
          <w:sz w:val="28"/>
          <w:szCs w:val="28"/>
        </w:rPr>
        <w:t xml:space="preserve"> – уровень достижения мероприятий (результатов) регионального проекта.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В случае отсутствия запланированных годовых значений показателей или при наличии показателей только с плановым значением равным 0 расчет уровня достижения i-го регионального проекта осуществляется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УД</m:t>
              </m:r>
            </m:e>
            <m:sub>
              <m:r>
                <w:rPr>
                  <w:rFonts w:ascii="Cambria Math" w:hAnsi="Cambria Math"/>
                </w:rPr>
                <m:t xml:space="preserve">пр</m:t>
              </m:r>
            </m:sub>
          </m:sSub>
          <m:r>
            <w:rPr>
              <w:rFonts w:ascii="Cambria Math" w:hAnsi="Cambria Math"/>
            </w:rPr>
            <m:t xml:space="preserve">i</m:t>
          </m:r>
          <m:r>
            <w:rPr>
              <w:rFonts w:ascii="Cambria Math" w:hAnsi="Cambria Math"/>
            </w:rPr>
            <m:t xml:space="preserve">=</m:t>
          </m:r>
          <m:sSub>
            <m:e>
              <m:r>
                <w:rPr>
                  <w:rFonts w:ascii="Cambria Math" w:hAnsi="Cambria Math"/>
                </w:rPr>
                <m:t xml:space="preserve">УД</m:t>
              </m:r>
            </m:e>
            <m:sub>
              <m:r>
                <w:rPr>
                  <w:rFonts w:ascii="Cambria Math" w:hAnsi="Cambria Math"/>
                </w:rPr>
                <m:t xml:space="preserve">м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р</m:t>
                  </m:r>
                </m:e>
              </m:d>
              <m:r>
                <w:rPr>
                  <w:rFonts w:ascii="Cambria Math" w:hAnsi="Cambria Math"/>
                </w:rPr>
                <m:t xml:space="preserve">пр</m:t>
              </m:r>
            </m:sub>
          </m:sSub>
        </m:oMath>
      </m:oMathPara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Расчет уровня достижения i-го комплекса процессных мероприятий осуществляется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кпм</m:t>
            </m:r>
          </m:sub>
        </m:sSub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,5</m:t>
        </m:r>
        <m:r>
          <w:rPr>
            <w:rFonts w:ascii="Cambria Math" w:hAnsi="Cambria Math"/>
          </w:rPr>
          <m:t xml:space="preserve">∗</m:t>
        </m:r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поккпм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,5</m:t>
        </m:r>
        <m:r>
          <w:rPr>
            <w:rFonts w:ascii="Cambria Math" w:hAnsi="Cambria Math"/>
          </w:rPr>
          <m:t xml:space="preserve">∗</m:t>
        </m:r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м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</m:d>
            <m:r>
              <w:rPr>
                <w:rFonts w:ascii="Cambria Math" w:hAnsi="Cambria Math"/>
              </w:rPr>
              <m:t xml:space="preserve">кпм</m:t>
            </m:r>
          </m:sub>
        </m:sSub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поккпм</w:t>
      </w:r>
      <w:r>
        <w:rPr>
          <w:rFonts w:ascii="Times New Roman" w:hAnsi="Times New Roman"/>
          <w:sz w:val="28"/>
          <w:szCs w:val="28"/>
        </w:rPr>
        <w:t xml:space="preserve"> – уровень достижения показателей, отраженных в паспорте комплекса процессных мероприятий;</w:t>
      </w:r>
    </w:p>
    <w:p>
      <w:pPr>
        <w:pStyle w:val="Normal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м(р)кпм</w:t>
      </w:r>
      <w:r>
        <w:rPr>
          <w:rFonts w:ascii="Times New Roman" w:hAnsi="Times New Roman"/>
          <w:sz w:val="28"/>
          <w:szCs w:val="28"/>
        </w:rPr>
        <w:t xml:space="preserve"> – уровень достижения мероприятий (результатов) комплекса процессных мероприятий.</w:t>
      </w:r>
    </w:p>
    <w:p>
      <w:pPr>
        <w:pStyle w:val="Normal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В случае отсутствия запланированных годовых значений показателей или при наличии показателей только с плановым значением равным 0 расчет уровня достижения комплекса процессных мероприятий осуществляется по формуле:</w:t>
      </w:r>
    </w:p>
    <w:p>
      <w:pPr>
        <w:pStyle w:val="Normal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УД</m:t>
              </m:r>
            </m:e>
            <m:sub>
              <m:r>
                <w:rPr>
                  <w:rFonts w:ascii="Cambria Math" w:hAnsi="Cambria Math"/>
                </w:rPr>
                <m:t xml:space="preserve">кпм</m:t>
              </m:r>
            </m:sub>
          </m:sSub>
          <m:r>
            <w:rPr>
              <w:rFonts w:ascii="Cambria Math" w:hAnsi="Cambria Math"/>
            </w:rPr>
            <m:t xml:space="preserve">i</m:t>
          </m:r>
          <m:r>
            <w:rPr>
              <w:rFonts w:ascii="Cambria Math" w:hAnsi="Cambria Math"/>
            </w:rPr>
            <m:t xml:space="preserve">=</m:t>
          </m:r>
          <m:sSub>
            <m:e>
              <m:r>
                <w:rPr>
                  <w:rFonts w:ascii="Cambria Math" w:hAnsi="Cambria Math"/>
                </w:rPr>
                <m:t xml:space="preserve">УД</m:t>
              </m:r>
            </m:e>
            <m:sub>
              <m:r>
                <w:rPr>
                  <w:rFonts w:ascii="Cambria Math" w:hAnsi="Cambria Math"/>
                </w:rPr>
                <m:t xml:space="preserve">м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р</m:t>
                  </m:r>
                </m:e>
              </m:d>
              <m:r>
                <w:rPr>
                  <w:rFonts w:ascii="Cambria Math" w:hAnsi="Cambria Math"/>
                </w:rPr>
                <m:t xml:space="preserve">кпм</m:t>
              </m:r>
            </m:sub>
          </m:sSub>
        </m:oMath>
      </m:oMathPara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</w:rPr>
        <w:t>9. Уровень достижения показателей, отраженных в паспортах структурных элементов, указанных в частях 7 и 8 настоящей методики рассчитывается по формуле:</w:t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поксэ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поксэ</m:t>
                    </m:r>
                  </m:sub>
                </m:sSub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УД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поксэ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i</m:t>
                </m:r>
              </m:e>
            </m:nary>
          </m:num>
          <m:den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поксэ</m:t>
                </m:r>
              </m:sub>
            </m:sSub>
          </m:den>
        </m:f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поксэ</w:t>
      </w:r>
      <w:r>
        <w:rPr>
          <w:rFonts w:ascii="Times New Roman" w:hAnsi="Times New Roman"/>
          <w:sz w:val="28"/>
          <w:szCs w:val="28"/>
        </w:rPr>
        <w:t xml:space="preserve"> – уровень достижения показателей, отраженных в паспорте структурного элемента;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поксэ</w:t>
      </w:r>
      <w:r>
        <w:rPr>
          <w:rFonts w:ascii="Times New Roman" w:hAnsi="Times New Roman"/>
          <w:sz w:val="28"/>
          <w:szCs w:val="28"/>
        </w:rPr>
        <w:t>i – уровень достижения i-го показателя структурного элемента;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поксэ </w:t>
      </w:r>
      <w:r>
        <w:rPr>
          <w:rFonts w:ascii="Times New Roman" w:hAnsi="Times New Roman"/>
          <w:sz w:val="28"/>
          <w:szCs w:val="28"/>
        </w:rPr>
        <w:t>– количество показателей, отраженных в паспорте структурного элемента.</w:t>
      </w:r>
    </w:p>
    <w:p>
      <w:pPr>
        <w:pStyle w:val="BodyText"/>
        <w:spacing w:lineRule="atLeast" w:line="285" w:before="164" w:after="142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10. Расчет уровня достижения i-го показателя структурного элемента за отчетный год осуществляется в порядке, аналогичном порядку расчета уровня достижения показателя паспорта государственной программы (комплексной программы).</w:t>
      </w:r>
    </w:p>
    <w:p>
      <w:pPr>
        <w:pStyle w:val="BodyText"/>
        <w:spacing w:lineRule="auto" w:line="240" w:before="0" w:after="0"/>
        <w:contextualSpacing/>
        <w:jc w:val="both"/>
        <w:rPr/>
      </w:pPr>
      <w:r>
        <w:rPr>
          <w:color w:val="C9211E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случае если показатель включен одновременно в паспорт государственной программы и в паспорт(а) одного или нескольких структурных элементов, расчет уровня достижения такого показателя осуществляется отдельно для оценки уровня достижения целей государственной программы (комплексной программы) и уровня достижения каждого структурного элемента, в который включен данный показатель.</w:t>
      </w:r>
    </w:p>
    <w:p>
      <w:pPr>
        <w:pStyle w:val="BodyText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11. Уровень достижения мероприятий (результатов) структурных элементов, указанных в частях 7 и 8 настоящей методики,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м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</m:d>
            <m:r>
              <w:rPr>
                <w:rFonts w:ascii="Cambria Math" w:hAnsi="Cambria Math"/>
              </w:rPr>
              <m:t xml:space="preserve">сэ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м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р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сэ</m:t>
                    </m:r>
                  </m:sub>
                </m:sSub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УД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м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р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сэ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i</m:t>
                </m:r>
              </m:e>
            </m:nary>
          </m:num>
          <m:den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м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р</m:t>
                    </m:r>
                  </m:e>
                </m:d>
                <m:r>
                  <w:rPr>
                    <w:rFonts w:ascii="Cambria Math" w:hAnsi="Cambria Math"/>
                  </w:rPr>
                  <m:t xml:space="preserve">сэ</m:t>
                </m:r>
              </m:sub>
            </m:sSub>
          </m:den>
        </m:f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м(р)сэ</w:t>
      </w:r>
      <w:r>
        <w:rPr>
          <w:rFonts w:ascii="Times New Roman" w:hAnsi="Times New Roman"/>
          <w:sz w:val="28"/>
          <w:szCs w:val="28"/>
        </w:rPr>
        <w:t xml:space="preserve"> – уровень достижения мероприятий (результатов) структурного элемента;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УД</w:t>
      </w:r>
      <w:r>
        <w:rPr>
          <w:rFonts w:ascii="Times New Roman" w:hAnsi="Times New Roman"/>
          <w:sz w:val="28"/>
          <w:szCs w:val="28"/>
          <w:vertAlign w:val="subscript"/>
        </w:rPr>
        <w:t>м(р)сэ</w:t>
      </w:r>
      <w:r>
        <w:rPr>
          <w:rFonts w:ascii="Times New Roman" w:hAnsi="Times New Roman"/>
          <w:sz w:val="28"/>
          <w:szCs w:val="28"/>
        </w:rPr>
        <w:t>i – уровень достижения i-го мероприятия (результата) структурного элемента;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</w:t>
      </w:r>
      <w:r>
        <w:rPr>
          <w:rFonts w:ascii="Times New Roman" w:hAnsi="Times New Roman"/>
          <w:sz w:val="28"/>
          <w:szCs w:val="28"/>
          <w:vertAlign w:val="subscript"/>
        </w:rPr>
        <w:t>м(р)сэ</w:t>
      </w:r>
      <w:r>
        <w:rPr>
          <w:rFonts w:ascii="Times New Roman" w:hAnsi="Times New Roman"/>
          <w:sz w:val="28"/>
          <w:szCs w:val="28"/>
        </w:rPr>
        <w:t xml:space="preserve"> – количество мероприятий (результатов) в i-ом структурном элементе.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Уровень достижения i-го мероприятия (результата) структурного элемента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УД</m:t>
            </m:r>
          </m:e>
          <m:sub>
            <m:r>
              <w:rPr>
                <w:rFonts w:ascii="Cambria Math" w:hAnsi="Cambria Math"/>
              </w:rPr>
              <m:t xml:space="preserve">м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</m:d>
            <m:r>
              <w:rPr>
                <w:rFonts w:ascii="Cambria Math" w:hAnsi="Cambria Math"/>
              </w:rPr>
              <m:t xml:space="preserve">сэ</m:t>
            </m:r>
          </m:sub>
        </m:sSub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  <m:f>
              <m:num>
                <m:r>
                  <w:rPr>
                    <w:rFonts w:ascii="Cambria Math" w:hAnsi="Cambria Math"/>
                  </w:rPr>
                  <m:t xml:space="preserve">,7</m:t>
                </m:r>
                <m:r>
                  <w:rPr>
                    <w:rFonts w:ascii="Cambria Math" w:hAnsi="Cambria Math"/>
                  </w:rPr>
                  <m:t xml:space="preserve">∗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м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р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ф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м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р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п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</m:t>
            </m:r>
            <m:f>
              <m:num>
                <m:r>
                  <w:rPr>
                    <w:rFonts w:ascii="Cambria Math" w:hAnsi="Cambria Math"/>
                  </w:rPr>
                  <m:t xml:space="preserve">,3</m:t>
                </m:r>
                <m:r>
                  <w:rPr>
                    <w:rFonts w:ascii="Cambria Math" w:hAnsi="Cambria Math"/>
                  </w:rPr>
                  <m:t xml:space="preserve">∗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КТ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факт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КТ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план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100</m:t>
        </m:r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z w:val="28"/>
          <w:szCs w:val="28"/>
          <w:vertAlign w:val="subscript"/>
        </w:rPr>
        <w:t>м(р)ф</w:t>
      </w:r>
      <w:r>
        <w:rPr>
          <w:rFonts w:ascii="Times New Roman" w:hAnsi="Times New Roman"/>
          <w:sz w:val="28"/>
          <w:szCs w:val="28"/>
        </w:rPr>
        <w:t xml:space="preserve"> – фактическое значение мероприятия (результата), достигнутое на конец отчетного года;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z w:val="28"/>
          <w:szCs w:val="28"/>
          <w:vertAlign w:val="subscript"/>
        </w:rPr>
        <w:t>м(р)п</w:t>
      </w:r>
      <w:r>
        <w:rPr>
          <w:rFonts w:ascii="Times New Roman" w:hAnsi="Times New Roman"/>
          <w:sz w:val="28"/>
          <w:szCs w:val="28"/>
        </w:rPr>
        <w:t xml:space="preserve"> – плановое значение мероприятия (результата), установленное на конец отчетного года;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/>
          <w:sz w:val="28"/>
          <w:szCs w:val="28"/>
        </w:rPr>
        <w:t xml:space="preserve"> – количество достигнутых контрольных точек мероприятия (результата), установленных на год, в котором осуществляется расчет;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</w:t>
      </w:r>
      <w:r>
        <w:rPr>
          <w:rFonts w:ascii="Times New Roman" w:hAnsi="Times New Roman"/>
          <w:sz w:val="28"/>
          <w:szCs w:val="28"/>
          <w:vertAlign w:val="subscript"/>
        </w:rPr>
        <w:t>план</w:t>
      </w:r>
      <w:r>
        <w:rPr>
          <w:rFonts w:ascii="Times New Roman" w:hAnsi="Times New Roman"/>
          <w:sz w:val="28"/>
          <w:szCs w:val="28"/>
        </w:rPr>
        <w:t xml:space="preserve"> – количество контрольных точек мероприятия (результата), установленных на год, в котором осуществляется расчет.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 Если по мероприятию (результату) плановое годовое значение равно 0, уровень достижения i-го мероприятия (результата) структурного элемента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УД</m:t>
              </m:r>
            </m:e>
            <m:sub>
              <m:r>
                <w:rPr>
                  <w:rFonts w:ascii="Cambria Math" w:hAnsi="Cambria Math"/>
                </w:rPr>
                <m:t xml:space="preserve">м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р</m:t>
                  </m:r>
                </m:e>
              </m:d>
              <m:r>
                <w:rPr>
                  <w:rFonts w:ascii="Cambria Math" w:hAnsi="Cambria Math"/>
                </w:rPr>
                <m:t xml:space="preserve">сэ</m:t>
              </m:r>
            </m:sub>
          </m:sSub>
          <m:r>
            <w:rPr>
              <w:rFonts w:ascii="Cambria Math" w:hAnsi="Cambria Math"/>
            </w:rPr>
            <m:t xml:space="preserve">i</m:t>
          </m:r>
          <m:r>
            <w:rPr>
              <w:rFonts w:ascii="Cambria Math" w:hAnsi="Cambria Math"/>
            </w:rPr>
            <m:t xml:space="preserve">=</m:t>
          </m:r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КТ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факт</m:t>
                  </m:r>
                </m:sub>
              </m:sSub>
            </m:num>
            <m:den>
              <m:sSub>
                <m:e>
                  <m:r>
                    <w:rPr>
                      <w:rFonts w:ascii="Cambria Math" w:hAnsi="Cambria Math"/>
                    </w:rPr>
                    <m:t xml:space="preserve">КТ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план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∗</m:t>
          </m:r>
          <m:r>
            <w:rPr>
              <w:rFonts w:ascii="Cambria Math" w:hAnsi="Cambria Math"/>
            </w:rPr>
            <m:t xml:space="preserve">100</m:t>
          </m:r>
        </m:oMath>
      </m:oMathPara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14. Мероприятия (результаты) комплексов процессных мероприятий, которым присвоен тип результата «осуществление текущей деятельности», «резервы» или «иные мероприятия (результаты)», по которым установлены значения 0 или 1 условная единица и не установлены контрольные точки, при расчете уровня достижения не учитываются.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 Уровень кассового исполнения государственной программы (комплексной программы)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</m:t>
            </m:r>
          </m:e>
          <m:sub>
            <m:r>
              <w:rPr>
                <w:rFonts w:ascii="Cambria Math" w:hAnsi="Cambria Math"/>
              </w:rPr>
              <m:t xml:space="preserve">ки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С</m:t>
                </m:r>
              </m:e>
              <m:sub>
                <m:r>
                  <w:rPr>
                    <w:rFonts w:ascii="Cambria Math" w:hAnsi="Cambria Math"/>
                  </w:rPr>
                  <m:t xml:space="preserve">ки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О</m:t>
                </m:r>
              </m:e>
              <m:sub>
                <m:r>
                  <w:rPr>
                    <w:rFonts w:ascii="Cambria Math" w:hAnsi="Cambria Math"/>
                  </w:rPr>
                  <m:t xml:space="preserve">ба</m:t>
                </m:r>
              </m:sub>
            </m:sSub>
          </m:den>
        </m:f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100</m:t>
        </m:r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  <w:vertAlign w:val="subscript"/>
        </w:rPr>
        <w:t>ки</w:t>
      </w:r>
      <w:r>
        <w:rPr>
          <w:rFonts w:ascii="Times New Roman" w:hAnsi="Times New Roman"/>
          <w:sz w:val="28"/>
          <w:szCs w:val="28"/>
        </w:rPr>
        <w:t xml:space="preserve"> – сумма кассового исполнения расходов краевого бюджета на реализацию мероприятий (результатов) государственной программы (комплексной программы) по состоянию на 31 декабря отчетного года;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  <w:vertAlign w:val="subscript"/>
        </w:rPr>
        <w:t>ба</w:t>
      </w:r>
      <w:r>
        <w:rPr>
          <w:rFonts w:ascii="Times New Roman" w:hAnsi="Times New Roman"/>
          <w:sz w:val="28"/>
          <w:szCs w:val="28"/>
        </w:rPr>
        <w:t xml:space="preserve"> – объем бюджетных ассигнований, предусмотренный на реализацию мероприятий (результатов) государственной программы (комплексной программы) в отчетном году, согласно сводной бюджетной росписи по состоянию на 31 декабря отчетного года.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 Уровень качества управления государственной программой (комплексной программой)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У</m:t>
            </m:r>
          </m:e>
          <m:sub>
            <m:r>
              <w:rPr>
                <w:rFonts w:ascii="Cambria Math" w:hAnsi="Cambria Math"/>
              </w:rPr>
              <m:t xml:space="preserve">ку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,4</m:t>
            </m:r>
            <m:r>
              <w:rPr>
                <w:rFonts w:ascii="Cambria Math" w:hAnsi="Cambria Math"/>
              </w:rPr>
              <m:t xml:space="preserve">∗</m:t>
            </m:r>
            <m:sSub>
              <m:e>
                <m:r>
                  <w:rPr>
                    <w:rFonts w:ascii="Cambria Math" w:hAnsi="Cambria Math"/>
                  </w:rPr>
                  <m:t xml:space="preserve">П</m:t>
                </m:r>
              </m:e>
              <m:sub>
                <m:r>
                  <w:rPr>
                    <w:rFonts w:ascii="Cambria Math" w:hAnsi="Cambria Math"/>
                  </w:rPr>
                  <m:t xml:space="preserve">м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,6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ИД</m:t>
            </m:r>
          </m:e>
        </m:d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100</m:t>
        </m:r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– актуальность приказа(ов) ответственного исполнителя государственной программы (комплексной программы) о порядке сбора информации и методиках расчетов значений показателей государственной программы (комплексной программы) (далее – Приказ);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ИД – исполнительская дисциплина.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17. Актуальность Приказа определяется с учетом полного соответствия перечня и наименований показателей в Приказе перечню и наименованиям показателей, включенных в паспорт государственной программы (комплексной программы), паспорта структурных элементов в системе «Электронный бюджет». 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если в Приказе выявлены несоответствия, указанные в абзаце первом настоящей части, значению П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присваивается коэффициент 0,5.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полном соответствии перечня и наименований показателей в Приказе перечню и наименованиям показателей, включенных в паспорт государственной программы (комплексной программы), паспорта структурных элементов в системе «Электронный бюджет», значению П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присваивается коэффициент 1.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если ответственным исполнителем утверждено два и более Приказа, значение П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>
      <w:pPr>
        <w:pStyle w:val="BodyText"/>
        <w:spacing w:lineRule="atLeast" w:line="285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П</m:t>
            </m:r>
          </m:e>
          <m:sub>
            <m:r>
              <w:rPr>
                <w:rFonts w:ascii="Cambria Math" w:hAnsi="Cambria Math"/>
              </w:rPr>
              <m:t xml:space="preserve">м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sSub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</m:t>
                    </m:r>
                  </m:sub>
                </m:sSub>
              </m:sup>
              <m:e>
                <m:sSub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П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м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</m:sSub>
              </m:e>
            </m:nary>
          </m:num>
          <m:den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п</m:t>
                </m:r>
              </m:sub>
            </m:sSub>
          </m:den>
        </m:f>
      </m:oMath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BodyText"/>
        <w:spacing w:lineRule="atLeast" w:line="285" w:before="164" w:after="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>i – актуальность i-го Приказа;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– количество приказов, утвержденных ответственным исполнителем государственной программы (комплексной программы).</w:t>
      </w:r>
    </w:p>
    <w:p>
      <w:pPr>
        <w:pStyle w:val="BodyText"/>
        <w:spacing w:lineRule="atLeast" w:line="285" w:before="164" w:after="142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18. Исполнительская дисциплина определяется по формуле:</w:t>
      </w:r>
    </w:p>
    <w:p>
      <w:pPr>
        <w:pStyle w:val="BodyText"/>
        <w:spacing w:lineRule="auto" w:line="240" w:before="164" w:after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Default"/>
        <w:suppressAutoHyphens w:val="false"/>
        <w:jc w:val="center"/>
        <w:rPr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ИД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О</m:t>
                </m:r>
              </m:e>
              <m:sub>
                <m:r>
                  <w:rPr>
                    <w:rFonts w:ascii="Cambria Math" w:hAnsi="Cambria Math"/>
                  </w:rPr>
                  <m:t xml:space="preserve">пс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О</m:t>
                </m:r>
              </m:e>
              <m:sub>
                <m:r>
                  <w:rPr>
                    <w:rFonts w:ascii="Cambria Math" w:hAnsi="Cambria Math"/>
                  </w:rPr>
                  <m:t xml:space="preserve">общ</m:t>
                </m:r>
              </m:sub>
            </m:sSub>
          </m:den>
        </m:f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где:</w:t>
      </w:r>
    </w:p>
    <w:p>
      <w:pPr>
        <w:pStyle w:val="Default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2" w:name="_GoBack_Копия_1"/>
      <w:bookmarkStart w:id="3" w:name="_GoBack_Копия_1"/>
      <w:bookmarkEnd w:id="3"/>
    </w:p>
    <w:p>
      <w:pPr>
        <w:pStyle w:val="Default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пс</w:t>
      </w:r>
      <w:r>
        <w:rPr>
          <w:sz w:val="28"/>
          <w:szCs w:val="28"/>
        </w:rPr>
        <w:t xml:space="preserve"> – количество отчетов о ходе реализации государственной программы (комплексной программы) и о ходе реализации структурных элементов за отчетный год, представленных в системе «Электронный бюджет» в сроки, установленные частью 66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Положения, за исключением отчетов по региональным проектам, направленным на достижение целей, показателей и решение задач национальных проектов;</w:t>
      </w:r>
    </w:p>
    <w:p>
      <w:pPr>
        <w:pStyle w:val="Default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 xml:space="preserve"> – общее количество отчетов о ходе реализации государственной программы (комплексной программы) и о ходе реализации структурных элементов за отчетный год, необходимых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к формированию в системе «Электронный бюджет», за исключением отчетов по региональным проектам, направленным на достижение целей, показателей и решение задач национальных проектов.</w:t>
      </w:r>
    </w:p>
    <w:p>
      <w:pPr>
        <w:pStyle w:val="Default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На основе полученной интегральной оценки государственная программа (комплексная программа) признается:</w:t>
      </w:r>
    </w:p>
    <w:p>
      <w:pPr>
        <w:pStyle w:val="Default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высокоэффективной – если эффективность реализации государственной программы (комплексной программы) составляет не менее 91 процента;</w:t>
      </w:r>
    </w:p>
    <w:p>
      <w:pPr>
        <w:pStyle w:val="Default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– если эффективность реализации государственной программы (комплексной программы) составляет не менее 85 процентов;</w:t>
      </w:r>
    </w:p>
    <w:p>
      <w:pPr>
        <w:pStyle w:val="Default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эффективной – если эффективность реализации государственной программы (комплексной программы) составляет не менее 75 процентов; </w:t>
      </w:r>
    </w:p>
    <w:p>
      <w:pPr>
        <w:pStyle w:val="Default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неэффективной – если эффективность реализации государственной программы (комплексной программы) составляет менее 75 процентов.»</w:t>
      </w:r>
      <w:bookmarkStart w:id="4" w:name="_GoBack"/>
      <w:bookmarkEnd w:id="4"/>
      <w:r>
        <w:rPr>
          <w:sz w:val="28"/>
          <w:szCs w:val="28"/>
        </w:rPr>
        <w:t>.</w:t>
      </w:r>
    </w:p>
    <w:sectPr>
      <w:headerReference w:type="default" r:id="rId3"/>
      <w:type w:val="nextPage"/>
      <w:pgSz w:w="11906" w:h="16838"/>
      <w:pgMar w:left="1418" w:right="851" w:gutter="0" w:header="0" w:top="1134" w:footer="0" w:bottom="1134"/>
      <w:pgNumType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sdt>
    <w:sdtPr>
      <w:docPartObj>
        <w:docPartGallery w:val="Page Numbers (Top of Page)"/>
        <w:docPartUnique w:val="true"/>
      </w:docPartObj>
      <w:id w:val="-1087611365"/>
    </w:sdtPr>
    <w:sdtContent>
      <w:p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11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64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CC7A-C262-435B-952A-3C31D1D5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LibreOffice/7.6.7.2$Linux_X86_64 LibreOffice_project/60$Build-2</Application>
  <AppVersion>15.0000</AppVersion>
  <Pages>11</Pages>
  <Words>2270</Words>
  <Characters>17701</Characters>
  <CharactersWithSpaces>19982</CharactersWithSpaces>
  <Paragraphs>160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2025-02-07T19:48:00Z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