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1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приложение к постановлению Правительства Камчатского края от 23.09.2024 № 465-П «Об утверждении Порядка предоставления в 2024–2026 годах из краевого бюджета государственной финансовой поддержки субъектам малого и среднего предпринимательства в целях создания и (или) развития бизнеса на территориях отдельных муниципальных образований в Камчатском крае и проведения отбора получателей субсидии»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23.09.2024 № 465-П «Об утверждении Порядка предоставления в 2024–2026 годах из краевого бюджета государственной финансовой поддержки субъектам малого и среднего предпринимательства в целях создания и (или) развития бизнеса на территориях отдельных муниципальных образований в Камчатском крае и проведения отбора получателей субсидии» следующие изменения: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пункте 16 части 16 после слова «запрашиваемая» дополнить словами «в бизнес-плане»;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34 изложить в следующей редукции: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«34. Получатель субсидии одновременно с отчетом, предусмотренным пунктом 2 части 33 настоящего Порядка, представляет в Министерство в электронном виде посредством системы «Электронный бюджет» (в случае отсутствия технической возможности в системе «Электронный бюджет» посредством почтового отправления или нарочно) копии документов, подтверждающих фактически произведенные расходы, и документов, подтверждающих получение получателем субсидии имущества (принятие работ, услуг), оплаченных за счет средств субсидии.»;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приложении 1: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части 6 слова «(при наличии)» заменить словами «в случае реализации проекта в рамках договора коммерческой концессии»;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z w:val="28"/>
        </w:rPr>
        <w:t>б) в части 7: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z w:val="28"/>
        </w:rPr>
        <w:t>в пункте 1 слова «,</w:t>
      </w:r>
      <w:r>
        <w:rPr>
          <w:rFonts w:ascii="Times New Roman" w:hAnsi="Times New Roman"/>
          <w:strike w:val="false"/>
          <w:dstrike w:val="false"/>
          <w:sz w:val="28"/>
        </w:rPr>
        <w:t xml:space="preserve"> физического лица, применяющего специальный налоговый режим «Налог на профессиональный доход» исключить;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trike w:val="false"/>
          <w:dstrike w:val="false"/>
          <w:sz w:val="28"/>
        </w:rPr>
        <w:t>в пункте 2 слова «, физического лица, применяющего специальный налоговый режим «Налог на профессиональный доход» исключить;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trike w:val="false"/>
          <w:dstrike w:val="false"/>
          <w:sz w:val="28"/>
        </w:rPr>
        <w:t>4) в приложении 2: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false"/>
          <w:dstrike w:val="false"/>
          <w:sz w:val="28"/>
        </w:rPr>
        <w:t xml:space="preserve">а) </w:t>
      </w:r>
      <w:r>
        <w:rPr>
          <w:rFonts w:ascii="Times New Roman" w:hAnsi="Times New Roman"/>
          <w:sz w:val="28"/>
        </w:rPr>
        <w:t>в части 7 слова «(при наличии)» заменить словами «в случае реализации проекта в рамках договора коммерческой концессии»;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z w:val="28"/>
        </w:rPr>
        <w:t>б) в части 8: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z w:val="28"/>
        </w:rPr>
        <w:t>в пункте 1 слова «,</w:t>
      </w:r>
      <w:r>
        <w:rPr>
          <w:rFonts w:ascii="Times New Roman" w:hAnsi="Times New Roman"/>
          <w:strike w:val="false"/>
          <w:dstrike w:val="false"/>
          <w:sz w:val="28"/>
        </w:rPr>
        <w:t xml:space="preserve"> физического лица, применяющего специальный налоговый режим «Налог на профессиональный доход» исключить;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trike w:val="false"/>
          <w:dstrike w:val="false"/>
          <w:sz w:val="28"/>
        </w:rPr>
        <w:t>в пункте 2 слова «, физического лица, применяющего специальный налоговый режим «Налог на профессиональный доход» исключить;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trike w:val="false"/>
          <w:dstrike w:val="false"/>
          <w:sz w:val="28"/>
        </w:rPr>
        <w:t>5) графу 5 строки 13 изложить в следующей редукции: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false"/>
          <w:dstrike w:val="false"/>
          <w:sz w:val="28"/>
        </w:rPr>
        <w:t>«</w:t>
      </w:r>
      <w:r>
        <w:rPr>
          <w:rFonts w:ascii="Times New Roman" w:hAnsi="Times New Roman"/>
          <w:sz w:val="28"/>
        </w:rPr>
        <w:t>10–0, где 100-максимальный балл (ответы на вопросы хорошо аргументированы и демонстрируют осведомленность в теме), 0 – минимальный балл (участник отбора не смог принять участие в защите проекта, ответы на вопросы не аргументированы)».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trike w:val="false"/>
          <w:dstrike w:val="false"/>
          <w:sz w:val="28"/>
        </w:rPr>
      </w:pPr>
      <w:r>
        <w:rPr>
          <w:rFonts w:ascii="Times New Roman" w:hAnsi="Times New Roman"/>
          <w:strike w:val="false"/>
          <w:dstrike w:val="false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1"/>
        <w:tblW w:w="9670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6"/>
        <w:gridCol w:w="3544"/>
        <w:gridCol w:w="2550"/>
      </w:tblGrid>
      <w:tr>
        <w:trPr>
          <w:trHeight w:val="2220" w:hRule="atLeast"/>
        </w:trPr>
        <w:tc>
          <w:tcPr>
            <w:tcW w:w="3576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 xml:space="preserve">Временно исполняющий обязанности Председателя Правительства </w:t>
            </w:r>
            <w:r>
              <w:rPr>
                <w:color w:themeColor="text1"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Камчатского края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-113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</w:t>
            </w:r>
            <w:bookmarkStart w:id="2" w:name="_GoBack"/>
            <w:bookmarkEnd w:id="2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оризонтальный штамп подписи 1]</w:t>
            </w:r>
            <w:bookmarkEnd w:id="1"/>
          </w:p>
        </w:tc>
        <w:tc>
          <w:tcPr>
            <w:tcW w:w="255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Ю.С. Морозова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default" r:id="rId3"/>
      <w:type w:val="nextPage"/>
      <w:pgSz w:w="11906" w:h="16838"/>
      <w:pgMar w:left="1418" w:right="851" w:gutter="0" w:header="709" w:top="1134" w:footer="0" w:bottom="1134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64" w:before="0" w:after="160"/>
      <w:ind w:hanging="0" w:left="0" w:right="0"/>
      <w:jc w:val="lef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instrText xml:space="preserve"> PAGE \* ARABIC </w:instrTex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.05pt;height:16.1pt;mso-wrap-distance-left:0pt;mso-wrap-distance-right:0pt;mso-wrap-distance-top:0pt;mso-wrap-distance-bottom:0pt;margin-top:0.05pt;mso-position-vertical-relative:text;margin-left:237.4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instrText xml:space="preserve"> PAGE \* ARABIC </w:instrTex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t>2</w:t>
                    </w:r>
                    <w:r>
                      <w:rPr>
                        <w:sz w:val="28"/>
                        <w:szCs w:val="28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91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1">
    <w:name w:val="Обычный1"/>
    <w:link w:val="111"/>
    <w:qFormat/>
    <w:rPr/>
  </w:style>
  <w:style w:type="character" w:styleId="Heading51">
    <w:name w:val="Heading 51"/>
    <w:qFormat/>
    <w:rPr>
      <w:rFonts w:ascii="XO Thames" w:hAnsi="XO Thames"/>
      <w:b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11">
    <w:name w:val="Основной шрифт абзаца1"/>
    <w:link w:val="112"/>
    <w:qFormat/>
    <w:rPr/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12">
    <w:name w:val="Гиперссылка1"/>
    <w:basedOn w:val="11"/>
    <w:link w:val="113"/>
    <w:qFormat/>
    <w:rPr>
      <w:color w:themeColor="hyperlink" w:val="0563C1"/>
      <w:u w:val="single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160"/>
      <w:ind w:hanging="0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">
    <w:name w:val="Обычный11"/>
    <w:link w:val="1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112">
    <w:name w:val="Основной шрифт абзаца11"/>
    <w:link w:val="11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3">
    <w:name w:val="Гиперссылка11"/>
    <w:basedOn w:val="112"/>
    <w:link w:val="12"/>
    <w:qFormat/>
    <w:pPr/>
    <w:rPr>
      <w:color w:themeColor="hyperlink" w:val="0563C1"/>
      <w:u w:val="single"/>
    </w:rPr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64" w:before="0" w:after="16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2">
    <w:name w:val="Содержимое врезки"/>
    <w:basedOn w:val="Normal"/>
    <w:qFormat/>
    <w:pPr/>
    <w:rPr/>
  </w:style>
  <w:style w:type="table" w:styleId="Style_30">
    <w:name w:val="Сетка таблицы1"/>
    <w:basedOn w:val="Style_1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1">
    <w:name w:val="Сетка таблицы2"/>
    <w:basedOn w:val="Style_1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2">
    <w:name w:val="Table Grid"/>
    <w:basedOn w:val="Style_1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2</Pages>
  <Words>381</Words>
  <Characters>2490</Characters>
  <CharactersWithSpaces>2843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2025-02-26T11:05:31Z</dcterms:modified>
  <cp:revision>1</cp:revision>
  <dc:subject/>
  <dc:title/>
</cp:coreProperties>
</file>