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августе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844,03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553,08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1218,86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390,48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304,23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1290,34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175,41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119,84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168,62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153,87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113,36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1373,37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48,87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83,32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135,25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130,76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131,76</w:t>
            </w:r>
          </w:p>
        </w:tc>
      </w:tr>
      <w:tr>
        <w:trPr>
          <w:trHeight w:hRule="atLeast" w:val="243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110,69</w:t>
            </w:r>
          </w:p>
        </w:tc>
      </w:tr>
      <w:tr>
        <w:trPr>
          <w:trHeight w:hRule="atLeast" w:val="22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110,55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222,06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105,85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99,23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95,72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114,77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337,84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pPr>
      <w:spacing w:after="0" w:line="240" w:lineRule="auto"/>
      <w:ind/>
    </w:pPr>
    <w:rPr>
      <w:rFonts w:ascii="Segoe UI" w:hAnsi="Segoe UI"/>
      <w:sz w:val="18"/>
    </w:rPr>
  </w:style>
  <w:style w:styleId="Style_8_ch" w:type="character">
    <w:name w:val="Balloon Text"/>
    <w:basedOn w:val="Style_2_ch"/>
    <w:link w:val="Style_8"/>
    <w:rPr>
      <w:rFonts w:ascii="Segoe UI" w:hAnsi="Segoe UI"/>
      <w:sz w:val="18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List Paragraph"/>
    <w:basedOn w:val="Style_2"/>
    <w:link w:val="Style_23_ch"/>
    <w:pPr>
      <w:ind w:firstLine="0" w:left="720"/>
      <w:contextualSpacing w:val="1"/>
    </w:pPr>
  </w:style>
  <w:style w:styleId="Style_23_ch" w:type="character">
    <w:name w:val="List Paragraph"/>
    <w:basedOn w:val="Style_2_ch"/>
    <w:link w:val="Style_23"/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2024-10-04T04:35:35Z</dcterms:modified>
</cp:coreProperties>
</file>