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710" w:rsidRPr="00101131" w:rsidRDefault="00040C4F" w:rsidP="00040C4F">
      <w:pPr>
        <w:pStyle w:val="21"/>
        <w:spacing w:line="240" w:lineRule="auto"/>
        <w:rPr>
          <w:szCs w:val="24"/>
        </w:rPr>
      </w:pPr>
      <w:r w:rsidRPr="00101131">
        <w:rPr>
          <w:szCs w:val="24"/>
        </w:rPr>
        <w:t xml:space="preserve">Аналитическая записка </w:t>
      </w:r>
    </w:p>
    <w:p w:rsidR="00245710" w:rsidRPr="00101131" w:rsidRDefault="00040C4F" w:rsidP="00040C4F">
      <w:pPr>
        <w:pStyle w:val="21"/>
        <w:spacing w:line="240" w:lineRule="auto"/>
        <w:rPr>
          <w:szCs w:val="24"/>
        </w:rPr>
      </w:pPr>
      <w:r w:rsidRPr="00101131">
        <w:rPr>
          <w:szCs w:val="24"/>
        </w:rPr>
        <w:t xml:space="preserve">о достигнутых значениях показателей </w:t>
      </w:r>
    </w:p>
    <w:p w:rsidR="00040C4F" w:rsidRPr="00101131" w:rsidRDefault="00040C4F" w:rsidP="00040C4F">
      <w:pPr>
        <w:pStyle w:val="21"/>
        <w:spacing w:line="240" w:lineRule="auto"/>
        <w:rPr>
          <w:szCs w:val="24"/>
        </w:rPr>
      </w:pPr>
      <w:r w:rsidRPr="00101131">
        <w:rPr>
          <w:szCs w:val="24"/>
        </w:rPr>
        <w:t xml:space="preserve">для оценки эффективности деятельности органов местного самоуправления </w:t>
      </w:r>
      <w:r w:rsidR="00245710" w:rsidRPr="00101131">
        <w:rPr>
          <w:szCs w:val="24"/>
        </w:rPr>
        <w:t>Усть-</w:t>
      </w:r>
      <w:r w:rsidR="00903577" w:rsidRPr="00101131">
        <w:rPr>
          <w:szCs w:val="24"/>
        </w:rPr>
        <w:t>Большерецкого</w:t>
      </w:r>
      <w:r w:rsidR="00245710" w:rsidRPr="00101131">
        <w:rPr>
          <w:szCs w:val="24"/>
        </w:rPr>
        <w:t xml:space="preserve"> муниципального района </w:t>
      </w:r>
      <w:r w:rsidR="0026599E" w:rsidRPr="00101131">
        <w:rPr>
          <w:szCs w:val="24"/>
        </w:rPr>
        <w:t>за 20</w:t>
      </w:r>
      <w:r w:rsidR="00E53DA4" w:rsidRPr="00101131">
        <w:rPr>
          <w:szCs w:val="24"/>
        </w:rPr>
        <w:t>2</w:t>
      </w:r>
      <w:r w:rsidR="00946164" w:rsidRPr="00101131">
        <w:rPr>
          <w:szCs w:val="24"/>
        </w:rPr>
        <w:t>4</w:t>
      </w:r>
      <w:r w:rsidRPr="00101131">
        <w:rPr>
          <w:szCs w:val="24"/>
        </w:rPr>
        <w:t xml:space="preserve"> год </w:t>
      </w:r>
    </w:p>
    <w:p w:rsidR="00040C4F" w:rsidRPr="00101131" w:rsidRDefault="00040C4F" w:rsidP="00040C4F">
      <w:pPr>
        <w:pStyle w:val="21"/>
        <w:spacing w:line="240" w:lineRule="auto"/>
        <w:rPr>
          <w:szCs w:val="24"/>
        </w:rPr>
      </w:pPr>
      <w:r w:rsidRPr="00101131">
        <w:rPr>
          <w:szCs w:val="24"/>
        </w:rPr>
        <w:t>и планируемых значени</w:t>
      </w:r>
      <w:r w:rsidR="00F41378" w:rsidRPr="00101131">
        <w:rPr>
          <w:szCs w:val="24"/>
        </w:rPr>
        <w:t>й</w:t>
      </w:r>
      <w:r w:rsidRPr="00101131">
        <w:rPr>
          <w:szCs w:val="24"/>
        </w:rPr>
        <w:t xml:space="preserve"> показателей на 3-летний период</w:t>
      </w:r>
    </w:p>
    <w:p w:rsidR="00040C4F" w:rsidRPr="00101131" w:rsidRDefault="00040C4F" w:rsidP="00040C4F">
      <w:pPr>
        <w:pStyle w:val="21"/>
        <w:spacing w:line="360" w:lineRule="exact"/>
        <w:jc w:val="both"/>
        <w:rPr>
          <w:b w:val="0"/>
          <w:bCs/>
          <w:szCs w:val="24"/>
        </w:rPr>
      </w:pPr>
    </w:p>
    <w:p w:rsidR="00040C4F" w:rsidRPr="00101131" w:rsidRDefault="00040C4F" w:rsidP="00047F60">
      <w:pPr>
        <w:pStyle w:val="21"/>
        <w:numPr>
          <w:ilvl w:val="0"/>
          <w:numId w:val="1"/>
        </w:numPr>
        <w:spacing w:line="240" w:lineRule="atLeast"/>
        <w:rPr>
          <w:i/>
          <w:szCs w:val="24"/>
        </w:rPr>
      </w:pPr>
      <w:r w:rsidRPr="00101131">
        <w:rPr>
          <w:i/>
          <w:szCs w:val="24"/>
        </w:rPr>
        <w:t>Экономическое развитие</w:t>
      </w:r>
    </w:p>
    <w:p w:rsidR="00EE0A80" w:rsidRPr="00101131" w:rsidRDefault="00EE0A80" w:rsidP="00EE0A80">
      <w:pPr>
        <w:ind w:firstLine="709"/>
        <w:jc w:val="both"/>
      </w:pPr>
      <w:r w:rsidRPr="00101131">
        <w:t>По состоянию на 01.01.202</w:t>
      </w:r>
      <w:r w:rsidR="000E102D" w:rsidRPr="00101131">
        <w:t>5</w:t>
      </w:r>
      <w:r w:rsidRPr="00101131">
        <w:t xml:space="preserve"> численность населения Усть-Большерецкого муниципального района составила </w:t>
      </w:r>
      <w:r w:rsidR="000E102D" w:rsidRPr="00101131">
        <w:t>5996</w:t>
      </w:r>
      <w:r w:rsidRPr="00101131">
        <w:t xml:space="preserve"> человек.</w:t>
      </w:r>
    </w:p>
    <w:p w:rsidR="00F846CE" w:rsidRPr="00101131" w:rsidRDefault="00F846CE" w:rsidP="00F846CE">
      <w:pPr>
        <w:ind w:firstLine="709"/>
        <w:jc w:val="both"/>
      </w:pPr>
      <w:r w:rsidRPr="00101131">
        <w:t>По состоянию на 01.01.2025 на территории Усть-Большерецкого муниципального района зарегистрировано 213 предприятий и организаций различных форм собственности или 99,1% к уровню 01.01.2024 года, в том числе по формам собственности:</w:t>
      </w:r>
    </w:p>
    <w:p w:rsidR="00F846CE" w:rsidRPr="00101131" w:rsidRDefault="00F846CE" w:rsidP="00F846CE">
      <w:pPr>
        <w:ind w:firstLine="709"/>
        <w:jc w:val="both"/>
      </w:pPr>
      <w:r w:rsidRPr="00101131">
        <w:t>государственная, включая муниципальную – 70 единиц;</w:t>
      </w:r>
    </w:p>
    <w:p w:rsidR="00F846CE" w:rsidRPr="00101131" w:rsidRDefault="00F846CE" w:rsidP="00F846CE">
      <w:pPr>
        <w:ind w:firstLine="709"/>
        <w:jc w:val="both"/>
      </w:pPr>
      <w:r w:rsidRPr="00101131">
        <w:t>частная – 134 единиц;</w:t>
      </w:r>
    </w:p>
    <w:p w:rsidR="00F846CE" w:rsidRPr="00101131" w:rsidRDefault="00F846CE" w:rsidP="00F846CE">
      <w:pPr>
        <w:ind w:firstLine="709"/>
        <w:jc w:val="both"/>
      </w:pPr>
      <w:r w:rsidRPr="00101131">
        <w:t>другие виды собственности – 9 единиц.</w:t>
      </w:r>
    </w:p>
    <w:p w:rsidR="00F846CE" w:rsidRPr="00101131" w:rsidRDefault="00F846CE" w:rsidP="00F846CE">
      <w:pPr>
        <w:ind w:firstLine="709"/>
        <w:jc w:val="both"/>
      </w:pPr>
      <w:r w:rsidRPr="00101131">
        <w:t>Среднемесячная номинальная начисленная заработная плата (без выплат социального характера) по организациям, не являющимся субъектами малого предпринимательства за январь-ноябрь 2024 года по району составила 161 070,5 рублей или 114,6% к аналогичному периоду 2023 года.</w:t>
      </w:r>
    </w:p>
    <w:p w:rsidR="00F846CE" w:rsidRPr="00101131" w:rsidRDefault="00F846CE" w:rsidP="00F846CE">
      <w:pPr>
        <w:ind w:firstLine="709"/>
        <w:jc w:val="both"/>
      </w:pPr>
      <w:r w:rsidRPr="00101131">
        <w:t>Прожиточный минимум в Камчатском крае на 2024 год на душу населения составил 27 602 рубля, для трудоспособного населения – 30 086 рублей, пенсионеров – 23 738 рублей, детей – 29 398 рублей. Муниципальный коэффициент по Усть-Большерецкого муниципальному району с 2022 года составляет 1,27.</w:t>
      </w:r>
    </w:p>
    <w:p w:rsidR="00F846CE" w:rsidRPr="00101131" w:rsidRDefault="00F846CE" w:rsidP="00F846CE">
      <w:pPr>
        <w:ind w:firstLine="709"/>
        <w:jc w:val="both"/>
      </w:pPr>
      <w:r w:rsidRPr="00101131">
        <w:t>Объем платных услуг населению по организациям, не являющимся к субъектам малого предпринимательства, за 2024 год составил 75,1 млн. рублей или 99,6 % к уровню аналогичного периода 2023 года.</w:t>
      </w:r>
    </w:p>
    <w:p w:rsidR="00F846CE" w:rsidRPr="00101131" w:rsidRDefault="00F846CE" w:rsidP="00F846CE">
      <w:pPr>
        <w:ind w:firstLine="709"/>
        <w:jc w:val="both"/>
      </w:pPr>
      <w:r w:rsidRPr="00101131">
        <w:t>Всего по состоянию на 01.01.2025 года по данным статистики на территории Усть-Большерецкого муниципального района зарегистрировано 151 индивидуальный предприниматель, что на 14 ИП больше, чем в 2023 году.</w:t>
      </w:r>
    </w:p>
    <w:p w:rsidR="00F846CE" w:rsidRPr="00101131" w:rsidRDefault="00F846CE" w:rsidP="00F846CE">
      <w:pPr>
        <w:ind w:firstLine="709"/>
        <w:jc w:val="both"/>
      </w:pPr>
      <w:r w:rsidRPr="00101131">
        <w:t>Оборот организаций за 2024 год составил 19 538,7 млн. рублей 120,2% к 2023 году.</w:t>
      </w:r>
    </w:p>
    <w:p w:rsidR="00F846CE" w:rsidRPr="00101131" w:rsidRDefault="00F846CE" w:rsidP="00F846CE">
      <w:pPr>
        <w:ind w:firstLine="709"/>
        <w:jc w:val="both"/>
      </w:pPr>
      <w:r w:rsidRPr="00101131">
        <w:t>Объем отгруженных товаров собственного производства, выполненных работ и услуг собственными силами, по фактическим видам деятельности за 2024 год составил 19 136,7 млн. рублей, что составляет 120,4% к 2023 году, в том числе по отдельным видам деятельности:</w:t>
      </w:r>
    </w:p>
    <w:p w:rsidR="00F846CE" w:rsidRPr="00101131" w:rsidRDefault="00F846CE" w:rsidP="00F846CE">
      <w:pPr>
        <w:ind w:firstLine="709"/>
        <w:jc w:val="both"/>
      </w:pPr>
      <w:r w:rsidRPr="00101131">
        <w:t>- обрабатывающие производства – 17 070,9 млн. рублей или 127,2 % к 2023 году;</w:t>
      </w:r>
    </w:p>
    <w:p w:rsidR="00F846CE" w:rsidRPr="00101131" w:rsidRDefault="00F846CE" w:rsidP="00F846CE">
      <w:pPr>
        <w:ind w:firstLine="709"/>
        <w:jc w:val="both"/>
      </w:pPr>
      <w:r w:rsidRPr="00101131">
        <w:t>- обеспечение электрической энергией, газом и паром; кондиционирование воздуха 1 379,6 млн. руб. или –81,7 % к 2023 году;</w:t>
      </w:r>
    </w:p>
    <w:p w:rsidR="00F846CE" w:rsidRPr="00101131" w:rsidRDefault="00F846CE" w:rsidP="00F846CE">
      <w:pPr>
        <w:ind w:firstLine="709"/>
        <w:jc w:val="both"/>
      </w:pPr>
      <w:r w:rsidRPr="00101131">
        <w:t>- водоснабжение; водоотведение, организация сбора и утилизации отходов, деятельность по ликвидации загрязнений 66,2 млн. руб. или 103,6 % к 2023 году;</w:t>
      </w:r>
    </w:p>
    <w:p w:rsidR="00F846CE" w:rsidRPr="00101131" w:rsidRDefault="00F846CE" w:rsidP="00F846CE">
      <w:pPr>
        <w:ind w:firstLine="709"/>
        <w:jc w:val="both"/>
      </w:pPr>
      <w:r w:rsidRPr="00101131">
        <w:t>Оборот розничной торговли в расчете на душу населения за 2024 год составил 31 333,8 рублей, что на – 829 рублей меньше, чем за аналогичный период 2023 года.</w:t>
      </w:r>
    </w:p>
    <w:p w:rsidR="00F846CE" w:rsidRPr="00101131" w:rsidRDefault="00F846CE" w:rsidP="00F846CE">
      <w:pPr>
        <w:ind w:firstLine="709"/>
        <w:jc w:val="both"/>
      </w:pPr>
      <w:r w:rsidRPr="00101131">
        <w:t xml:space="preserve">Оборот общественного питания за 2024 составил 103,5 % к аналогичному периоду 2023 года. </w:t>
      </w:r>
    </w:p>
    <w:p w:rsidR="00BB77C8" w:rsidRPr="00101131" w:rsidRDefault="00BB77C8" w:rsidP="00F846CE">
      <w:pPr>
        <w:ind w:firstLine="709"/>
        <w:jc w:val="both"/>
      </w:pPr>
      <w:r w:rsidRPr="00101131">
        <w:t xml:space="preserve">Производство рыбы переработанной и консервированной, ракообразных и моллюсков за </w:t>
      </w:r>
      <w:r w:rsidR="00006801" w:rsidRPr="00101131">
        <w:t>202</w:t>
      </w:r>
      <w:r w:rsidR="00F846CE" w:rsidRPr="00101131">
        <w:t>4</w:t>
      </w:r>
      <w:r w:rsidR="00006801" w:rsidRPr="00101131">
        <w:t xml:space="preserve"> год</w:t>
      </w:r>
      <w:r w:rsidRPr="00101131">
        <w:t xml:space="preserve"> составило </w:t>
      </w:r>
      <w:r w:rsidR="00F846CE" w:rsidRPr="00101131">
        <w:t>64 654,3</w:t>
      </w:r>
      <w:r w:rsidRPr="00101131">
        <w:t xml:space="preserve"> тонны или </w:t>
      </w:r>
      <w:r w:rsidR="00F846CE" w:rsidRPr="00101131">
        <w:t>88,1</w:t>
      </w:r>
      <w:r w:rsidRPr="00101131">
        <w:t>% к 202</w:t>
      </w:r>
      <w:r w:rsidR="00F846CE" w:rsidRPr="00101131">
        <w:t>3</w:t>
      </w:r>
      <w:r w:rsidR="00006801" w:rsidRPr="00101131">
        <w:t xml:space="preserve"> году</w:t>
      </w:r>
      <w:r w:rsidRPr="00101131">
        <w:t>.</w:t>
      </w:r>
    </w:p>
    <w:p w:rsidR="00F846CE" w:rsidRPr="00101131" w:rsidRDefault="00F846CE" w:rsidP="00F846CE">
      <w:pPr>
        <w:ind w:firstLine="709"/>
        <w:jc w:val="both"/>
      </w:pPr>
      <w:r w:rsidRPr="00101131">
        <w:t>По статистическим данным производство основных видов продукции сельского хозяйства за 2024 год составило:</w:t>
      </w:r>
    </w:p>
    <w:p w:rsidR="00F846CE" w:rsidRPr="00101131" w:rsidRDefault="00F846CE" w:rsidP="00F846CE">
      <w:pPr>
        <w:numPr>
          <w:ilvl w:val="0"/>
          <w:numId w:val="14"/>
        </w:numPr>
        <w:spacing w:after="200" w:line="276" w:lineRule="auto"/>
        <w:ind w:left="0" w:firstLine="709"/>
        <w:contextualSpacing/>
        <w:jc w:val="both"/>
      </w:pPr>
      <w:r w:rsidRPr="00101131">
        <w:t>мясо – 36,4 тонны или 71,3 % к аналогичному периоду 2023 года;</w:t>
      </w:r>
    </w:p>
    <w:p w:rsidR="00F846CE" w:rsidRPr="00101131" w:rsidRDefault="00F846CE" w:rsidP="00F846CE">
      <w:pPr>
        <w:numPr>
          <w:ilvl w:val="0"/>
          <w:numId w:val="14"/>
        </w:numPr>
        <w:spacing w:after="200" w:line="276" w:lineRule="auto"/>
        <w:ind w:left="0" w:firstLine="709"/>
        <w:contextualSpacing/>
        <w:jc w:val="both"/>
      </w:pPr>
      <w:r w:rsidRPr="00101131">
        <w:t>молоко – 933,9 тонны или 86,9 % к аналогичному периоду 2023 года;</w:t>
      </w:r>
    </w:p>
    <w:p w:rsidR="00F846CE" w:rsidRPr="00101131" w:rsidRDefault="00F846CE" w:rsidP="00F846CE">
      <w:pPr>
        <w:numPr>
          <w:ilvl w:val="0"/>
          <w:numId w:val="14"/>
        </w:numPr>
        <w:spacing w:after="200" w:line="276" w:lineRule="auto"/>
        <w:ind w:left="0" w:firstLine="709"/>
        <w:contextualSpacing/>
        <w:jc w:val="both"/>
      </w:pPr>
      <w:r w:rsidRPr="00101131">
        <w:t>яйцо – 248,8 тыс. штук или 99,62 % к аналогичному периоду 2023 года.</w:t>
      </w:r>
    </w:p>
    <w:p w:rsidR="00096B50" w:rsidRPr="00101131" w:rsidRDefault="00096B50" w:rsidP="00096B50">
      <w:pPr>
        <w:spacing w:line="240" w:lineRule="atLeast"/>
        <w:ind w:firstLine="567"/>
        <w:jc w:val="center"/>
        <w:rPr>
          <w:b/>
          <w:i/>
        </w:rPr>
      </w:pPr>
      <w:r w:rsidRPr="00101131">
        <w:rPr>
          <w:b/>
          <w:i/>
        </w:rPr>
        <w:t>Развитие малого и среднего предпринимательства</w:t>
      </w:r>
    </w:p>
    <w:p w:rsidR="00063260" w:rsidRPr="00101131" w:rsidRDefault="00063260" w:rsidP="00063260">
      <w:pPr>
        <w:spacing w:line="240" w:lineRule="atLeast"/>
        <w:ind w:firstLine="567"/>
        <w:jc w:val="both"/>
      </w:pPr>
      <w:r w:rsidRPr="00101131">
        <w:lastRenderedPageBreak/>
        <w:t>Одним из стимулирующих механизмов развития предпринимательства на территории Усть-Большерецкого муниципального района является реализация муниципальной программы «Развитие малого и среднего предпринимательства в Усть-Большерецком муниципальном районе».</w:t>
      </w:r>
    </w:p>
    <w:p w:rsidR="00063260" w:rsidRPr="00101131" w:rsidRDefault="00063260" w:rsidP="00063260">
      <w:pPr>
        <w:spacing w:line="240" w:lineRule="atLeast"/>
        <w:ind w:firstLine="567"/>
        <w:jc w:val="both"/>
      </w:pPr>
      <w:r w:rsidRPr="00101131">
        <w:t>В целях создания благоприятных условий для развития предпринимательства на 202</w:t>
      </w:r>
      <w:r w:rsidR="00F846CE" w:rsidRPr="00101131">
        <w:t>4</w:t>
      </w:r>
      <w:r w:rsidRPr="00101131">
        <w:t xml:space="preserve"> год в рамках реализации муниципальной программы «Развитие малого и среднего предпринимательства в Усть-Большерецком муниципальном районе» в бюджете муниципального района на поддержку малого и среднего бизнеса предусмотрено 1 </w:t>
      </w:r>
      <w:r w:rsidR="00F846CE" w:rsidRPr="00101131">
        <w:t>615</w:t>
      </w:r>
      <w:r w:rsidRPr="00101131">
        <w:t xml:space="preserve">,00 тыс. рублей, </w:t>
      </w:r>
      <w:r w:rsidR="00F846CE" w:rsidRPr="00101131">
        <w:t xml:space="preserve">на возмещение транспортных расходов по доставке продовольственных товаров в труднодоступные местности Усть-Большерецкого муниципального района Камчатского края </w:t>
      </w:r>
      <w:r w:rsidRPr="00101131">
        <w:t>в том числе за счет средств:</w:t>
      </w:r>
    </w:p>
    <w:p w:rsidR="00063260" w:rsidRPr="00101131" w:rsidRDefault="00063260" w:rsidP="00063260">
      <w:pPr>
        <w:spacing w:line="240" w:lineRule="atLeast"/>
        <w:ind w:firstLine="567"/>
        <w:jc w:val="both"/>
      </w:pPr>
      <w:r w:rsidRPr="00101131">
        <w:t xml:space="preserve">- краевого бюджета – </w:t>
      </w:r>
      <w:r w:rsidR="00AD508A" w:rsidRPr="00101131">
        <w:t>1515,0</w:t>
      </w:r>
      <w:r w:rsidRPr="00101131">
        <w:t xml:space="preserve"> тыс. рублей;</w:t>
      </w:r>
    </w:p>
    <w:p w:rsidR="00063260" w:rsidRPr="00101131" w:rsidRDefault="00063260" w:rsidP="00063260">
      <w:pPr>
        <w:spacing w:line="240" w:lineRule="atLeast"/>
        <w:ind w:firstLine="567"/>
        <w:jc w:val="both"/>
      </w:pPr>
      <w:r w:rsidRPr="00101131">
        <w:t xml:space="preserve">- местного бюджета – </w:t>
      </w:r>
      <w:r w:rsidR="00F846CE" w:rsidRPr="00101131">
        <w:t>1</w:t>
      </w:r>
      <w:r w:rsidRPr="00101131">
        <w:t>00,0 тыс. рублей;</w:t>
      </w:r>
    </w:p>
    <w:p w:rsidR="00063260" w:rsidRPr="00101131" w:rsidRDefault="00063260" w:rsidP="00063260">
      <w:pPr>
        <w:spacing w:line="240" w:lineRule="atLeast"/>
        <w:ind w:firstLine="567"/>
        <w:jc w:val="both"/>
      </w:pPr>
      <w:r w:rsidRPr="00101131">
        <w:t>С 2010 года в здании Администрации Усть-Большерецкого муниципального района оборудован консультационный (дистанционный) пункт для СМСП, действующий по настоящее время.</w:t>
      </w:r>
    </w:p>
    <w:p w:rsidR="00063260" w:rsidRPr="00101131" w:rsidRDefault="00063260" w:rsidP="00063260">
      <w:pPr>
        <w:spacing w:line="240" w:lineRule="atLeast"/>
        <w:ind w:firstLine="567"/>
        <w:jc w:val="both"/>
      </w:pPr>
      <w:r w:rsidRPr="00101131">
        <w:t xml:space="preserve">В рамках оказания информационной поддержки СМСП на официальном сайте Усть-Большерецкого муниципального района </w:t>
      </w:r>
      <w:r w:rsidRPr="00101131">
        <w:rPr>
          <w:lang w:val="en-US"/>
        </w:rPr>
        <w:t>http</w:t>
      </w:r>
      <w:r w:rsidRPr="00101131">
        <w:t xml:space="preserve">:убмр.рф в сети Интернет обеспечено функционирование раздела «Важно» </w:t>
      </w:r>
      <w:r w:rsidRPr="00101131">
        <w:rPr>
          <w:lang w:val="en-US"/>
        </w:rPr>
        <w:t>c</w:t>
      </w:r>
      <w:r w:rsidRPr="00101131">
        <w:t xml:space="preserve"> подразделами «Малый и средний бизнес», «Информация для крестьянских (фермерских) хозяйств и сельскохозяйственным товаропроизводителям», также оформлен информационный стенд. В Усть-Большерецкой еженедельной районной газете «Ударник» публикуется различный информационный материал для СМСП и на официальной странице социальной сети «ВКонтакте».</w:t>
      </w:r>
    </w:p>
    <w:p w:rsidR="00096B50" w:rsidRPr="00101131" w:rsidRDefault="00096B50" w:rsidP="00063260">
      <w:pPr>
        <w:spacing w:line="240" w:lineRule="atLeast"/>
        <w:ind w:firstLine="567"/>
        <w:jc w:val="center"/>
        <w:rPr>
          <w:b/>
          <w:i/>
        </w:rPr>
      </w:pPr>
      <w:r w:rsidRPr="00101131">
        <w:rPr>
          <w:b/>
          <w:i/>
        </w:rPr>
        <w:t>Улучшение инвестиционной привлекательности</w:t>
      </w:r>
    </w:p>
    <w:p w:rsidR="00892905" w:rsidRPr="00101131" w:rsidRDefault="00892905" w:rsidP="00892905">
      <w:pPr>
        <w:spacing w:line="240" w:lineRule="atLeast"/>
        <w:ind w:firstLine="567"/>
        <w:jc w:val="both"/>
      </w:pPr>
      <w:r w:rsidRPr="00101131">
        <w:t>Основными, наиболее привлекательными направлениями для инвестиционной деятельности на территории Усть-Большерецкого района являются: строительство и реконструкция объектов социальной сферы, жилищное строительство, дорожная деятельность, туризм, сельскохозяйственная отрасль, пищевая и перерабатывающая промышленности.</w:t>
      </w:r>
    </w:p>
    <w:p w:rsidR="00892905" w:rsidRPr="00101131" w:rsidRDefault="00892905" w:rsidP="00892905">
      <w:pPr>
        <w:spacing w:line="240" w:lineRule="atLeast"/>
        <w:ind w:firstLine="567"/>
        <w:jc w:val="both"/>
      </w:pPr>
      <w:r w:rsidRPr="00101131">
        <w:t>Для привлечения инвестиционных ресурсов сформирован перечень инвестиционных объектов, позволяющий в максимальной степени задействовать имеющиеся ресурсы и стимулировать развитие предпринимательской деятельности. Общедоступность информации обеспечена путем ее размещения в сети «Интернет» на официальных сайтах Администрации Усть-Большерецкого муниципального района и Правительства Камчатского края.</w:t>
      </w:r>
    </w:p>
    <w:p w:rsidR="00E12345" w:rsidRPr="00101131" w:rsidRDefault="00E12345" w:rsidP="00E12345">
      <w:pPr>
        <w:spacing w:line="240" w:lineRule="atLeast"/>
        <w:ind w:firstLine="567"/>
        <w:jc w:val="both"/>
      </w:pPr>
      <w:r w:rsidRPr="00101131">
        <w:t>В 2024 году Ассоциацией рыбопромышленников «Река Большая» бесплатно поставлялась рыбная продукция для социальных целей в сельские и городские поселения Усть-Большерецкого муниципального района.</w:t>
      </w:r>
    </w:p>
    <w:p w:rsidR="00E12345" w:rsidRPr="00101131" w:rsidRDefault="00E12345" w:rsidP="00E12345">
      <w:pPr>
        <w:spacing w:line="240" w:lineRule="atLeast"/>
        <w:ind w:firstLine="567"/>
        <w:jc w:val="both"/>
      </w:pPr>
      <w:r w:rsidRPr="00101131">
        <w:t xml:space="preserve">А так же в торговых точках на территории Усть-Большерецкого муниципального района в рамках проекта «Камчатская рыба» реализуется рыбная продукция по социальным ценам. Торговые точки, реализующие рыбную продукцию работают на всей территории Усть-Большерецкого муниципального района, тем самым созданы условия приобретения социальной рыбы для всех жителей Усть-Большерецкого муниципального района. </w:t>
      </w:r>
    </w:p>
    <w:p w:rsidR="00E12345" w:rsidRPr="00101131" w:rsidRDefault="00E12345" w:rsidP="00E12345">
      <w:pPr>
        <w:spacing w:line="240" w:lineRule="atLeast"/>
        <w:ind w:firstLine="567"/>
        <w:jc w:val="both"/>
      </w:pPr>
      <w:r w:rsidRPr="00101131">
        <w:t>Ежегодно обновляется и издается Инвестиционный паспорт Усть-Большерецкого муниципального района, позволяющий инвесторам получить разностороннюю информацию об инвестиционном потенциале района.</w:t>
      </w:r>
    </w:p>
    <w:p w:rsidR="00E12345" w:rsidRPr="00101131" w:rsidRDefault="00E12345" w:rsidP="00E12345">
      <w:pPr>
        <w:spacing w:line="240" w:lineRule="atLeast"/>
        <w:ind w:firstLine="567"/>
        <w:jc w:val="both"/>
      </w:pPr>
      <w:r w:rsidRPr="00101131">
        <w:t>Одним из основных показателей качества инвестиционной политики в муниципальном образовании является объем инвестиций в основной капитал.</w:t>
      </w:r>
    </w:p>
    <w:p w:rsidR="00E12345" w:rsidRPr="00101131" w:rsidRDefault="00E12345" w:rsidP="00E12345">
      <w:pPr>
        <w:spacing w:line="240" w:lineRule="atLeast"/>
        <w:ind w:firstLine="567"/>
        <w:jc w:val="both"/>
      </w:pPr>
      <w:r w:rsidRPr="00101131">
        <w:t>По итогам января-сентября 2024 года объём инвестиций в основной капитал составил 1 002 609 тыс. рублей, что составляет 90,7 % к январю-сентябрю 2023 года.</w:t>
      </w:r>
    </w:p>
    <w:p w:rsidR="00E12345" w:rsidRPr="00101131" w:rsidRDefault="00E12345" w:rsidP="00E12345">
      <w:pPr>
        <w:spacing w:line="240" w:lineRule="atLeast"/>
        <w:ind w:firstLine="567"/>
        <w:jc w:val="both"/>
      </w:pPr>
      <w:r w:rsidRPr="00101131">
        <w:lastRenderedPageBreak/>
        <w:t>В инвестиционной политике района развитие малого и среднего бизнеса играет одну из ключевых ролей.</w:t>
      </w:r>
    </w:p>
    <w:p w:rsidR="00E12345" w:rsidRPr="00101131" w:rsidRDefault="00E12345" w:rsidP="00E12345">
      <w:pPr>
        <w:spacing w:line="240" w:lineRule="atLeast"/>
        <w:ind w:firstLine="567"/>
        <w:jc w:val="both"/>
      </w:pPr>
      <w:r w:rsidRPr="00101131">
        <w:t>В Усть-Большерецком муниципальном районе продолжает работать Комиссия по контролю за своевременной выплатой заработной платы и содействию в осуществлении контроля за полнотой уплаты налогов (сборов) в местный бюджет и в государственные внебюджетные фонды и Рабочая группа по снижению неформальной занятости, легализации «серой» заработной платы, повышению собираемости страховых взносов в Пенсионный фонд Российской Федерации на территории Усть-Большерецкого муниципального района.</w:t>
      </w:r>
    </w:p>
    <w:p w:rsidR="00E12345" w:rsidRPr="00101131" w:rsidRDefault="00E12345" w:rsidP="00E12345">
      <w:pPr>
        <w:spacing w:line="240" w:lineRule="atLeast"/>
        <w:ind w:firstLine="567"/>
        <w:jc w:val="both"/>
      </w:pPr>
      <w:r w:rsidRPr="00101131">
        <w:t>Комиссией по контролю за своевременной выплатой заработной платы и содействию в осуществлении контроля за полнотой уплаты налогов (сборов) в местный бюджет и в государственные внебюджетные фонды на территории Усть-Большерецкого муниципального района за 2024 год было проведено 4 заседания.</w:t>
      </w:r>
    </w:p>
    <w:p w:rsidR="00E12345" w:rsidRPr="00101131" w:rsidRDefault="00E12345" w:rsidP="00E12345">
      <w:pPr>
        <w:spacing w:line="240" w:lineRule="atLeast"/>
        <w:ind w:firstLine="567"/>
        <w:jc w:val="both"/>
      </w:pPr>
      <w:r w:rsidRPr="00101131">
        <w:t>На постоянной основе в адреса юридических и физических лиц, допустивших образование задолженности по имущественным налогам, Администрацией Усть-Большерецкого муниципального района направляются письма о необходимости погашения имеющегося долга, должники приглашаются на заседания комиссии.</w:t>
      </w:r>
    </w:p>
    <w:p w:rsidR="00E12345" w:rsidRPr="00101131" w:rsidRDefault="00E12345" w:rsidP="00E12345">
      <w:pPr>
        <w:spacing w:line="240" w:lineRule="atLeast"/>
        <w:ind w:firstLine="567"/>
        <w:jc w:val="both"/>
      </w:pPr>
      <w:r w:rsidRPr="00101131">
        <w:t xml:space="preserve">За истекший период 2024 года, Рабочей группой на постоянной основе среди поселений проводятся еженедельные рейды социального опроса. </w:t>
      </w:r>
    </w:p>
    <w:p w:rsidR="00E12345" w:rsidRPr="00101131" w:rsidRDefault="00E12345" w:rsidP="00E12345">
      <w:pPr>
        <w:spacing w:line="240" w:lineRule="atLeast"/>
        <w:ind w:firstLine="567"/>
        <w:jc w:val="both"/>
      </w:pPr>
      <w:r w:rsidRPr="00101131">
        <w:t xml:space="preserve">За 2024 год с 31 работниками были заключены трудовые договора, это 231% от целевого показателя, который установлен Усть-Большерецкому муниципальному району на 2024г. </w:t>
      </w:r>
    </w:p>
    <w:p w:rsidR="009D4ACF" w:rsidRPr="00101131" w:rsidRDefault="009D4ACF" w:rsidP="009D4ACF">
      <w:pPr>
        <w:spacing w:line="240" w:lineRule="atLeast"/>
        <w:ind w:firstLine="567"/>
        <w:jc w:val="both"/>
      </w:pPr>
      <w:r w:rsidRPr="00101131">
        <w:t>На территории района действует муниципальная программа «Развитие образования в Усть-Большерецком муниципальном районе». На ее исполнение расходуется значительная часть бюджета. В рамках программы обновляется материально-техническая база образовательных учреждений, обеспечивается комплексная безопасность, соблюдение санитарно-эпидемиологических требований, обеспечивается комфортное пребывание детей в образовательных организациях, организовывается отдых и оздоровление детей, защита прав ребенка.</w:t>
      </w:r>
    </w:p>
    <w:p w:rsidR="009D4ACF" w:rsidRPr="00101131" w:rsidRDefault="009D4ACF" w:rsidP="009D4ACF">
      <w:pPr>
        <w:spacing w:line="240" w:lineRule="atLeast"/>
        <w:ind w:firstLine="567"/>
        <w:jc w:val="both"/>
      </w:pPr>
      <w:r w:rsidRPr="00101131">
        <w:t>В с. Кавалерское в апреле 2024 года начался образовательный процесс в новом здании школы. Строительство было выполнено благодаря национальному проекту “Образование”, который реализуется по поручению Президента Российской Федерации Владимира Путина. На сегодняшний день эта сельская школа по многим параметрам считается самой современной в Камчатском крае.</w:t>
      </w:r>
    </w:p>
    <w:p w:rsidR="009D4ACF" w:rsidRPr="00101131" w:rsidRDefault="009D4ACF" w:rsidP="009D4ACF">
      <w:pPr>
        <w:spacing w:line="240" w:lineRule="atLeast"/>
        <w:ind w:firstLine="567"/>
        <w:jc w:val="both"/>
      </w:pPr>
      <w:r w:rsidRPr="00101131">
        <w:t>В МБОУ Большерецкая СОШ № 5 в 2024 году в рамках федерального проекта «Современная школа» нацпроекта «Образование» открылся центр образования «Точка роста» (пятый в Усть-Большерецком районе). Кабинеты центра оборудованы современными средствами обучения и воспитания для работы учащихся и педагогов – цифровыми лабораториями по физике, химии, биологии, оборудованием для изучения основ робототехники, механики и программирования. Для работы «Точек роста» в школу поступили ноутбуки, принтеры, микроскопы, конструкторы для робототехники.</w:t>
      </w:r>
    </w:p>
    <w:p w:rsidR="009D4ACF" w:rsidRPr="00101131" w:rsidRDefault="009D4ACF" w:rsidP="009D4ACF">
      <w:pPr>
        <w:spacing w:line="240" w:lineRule="atLeast"/>
        <w:ind w:firstLine="567"/>
        <w:jc w:val="both"/>
      </w:pPr>
      <w:r w:rsidRPr="00101131">
        <w:t>В июле 2024 года заключен контракт на строительство модульного спортивного зала для школы №2 в Усть-Большерецке. Ввод объекта в эксплуатацию запланирован в 2025 году. Работы проведут в рамках федерального проекта «50 спортивных залов в ДФО». Площадь спортивного зала 900 м2. В проекте предусмотрены раздевалки, душевые, санузлы, тренерская и другие помещения, отвечающие современным требованиям спортивных залов.</w:t>
      </w:r>
    </w:p>
    <w:p w:rsidR="009D4ACF" w:rsidRPr="00101131" w:rsidRDefault="009D4ACF" w:rsidP="009D4ACF">
      <w:pPr>
        <w:spacing w:line="240" w:lineRule="atLeast"/>
        <w:ind w:firstLine="567"/>
        <w:jc w:val="both"/>
      </w:pPr>
      <w:r w:rsidRPr="00101131">
        <w:t>В 2024 году в рамках регионального проекта «Успех каждого ребёнка» в Усть-Большерецком районе было организовано 30 новых мест для дополнительного образования детей. В проекте участвовали 3 общеобразовательные школы. Свои двери для школьников открыли 1 школьный медиацентр, 1 театр, 2 спортивных клуба, 1 музей.</w:t>
      </w:r>
    </w:p>
    <w:p w:rsidR="009D4ACF" w:rsidRPr="00101131" w:rsidRDefault="009D4ACF" w:rsidP="009D4ACF">
      <w:pPr>
        <w:spacing w:line="240" w:lineRule="atLeast"/>
        <w:ind w:firstLine="567"/>
        <w:jc w:val="both"/>
      </w:pPr>
      <w:r w:rsidRPr="00101131">
        <w:lastRenderedPageBreak/>
        <w:t>Семьи участников СВО освобождены от родительской платы за детский сад, дети участников СВО получают бесплатное питание в школе и бесплатно посещают пришкольные оздоровительные лагеря с дневным пребыванием.</w:t>
      </w:r>
    </w:p>
    <w:p w:rsidR="009D4ACF" w:rsidRPr="00101131" w:rsidRDefault="009D4ACF" w:rsidP="009D4ACF">
      <w:pPr>
        <w:spacing w:line="240" w:lineRule="atLeast"/>
        <w:ind w:firstLine="567"/>
        <w:jc w:val="both"/>
      </w:pPr>
      <w:r w:rsidRPr="00101131">
        <w:t>Продолжается работа по приведению образовательных организаций района в соответствие с современным законодательством. На 2026 и последующие годы запланированы капитальные работы в детском саду «Ромашка» и Апачинской школе № 7.</w:t>
      </w:r>
    </w:p>
    <w:p w:rsidR="009D4ACF" w:rsidRPr="00101131" w:rsidRDefault="009D4ACF" w:rsidP="009D4ACF">
      <w:pPr>
        <w:spacing w:line="240" w:lineRule="atLeast"/>
        <w:ind w:firstLine="567"/>
        <w:jc w:val="both"/>
      </w:pPr>
      <w:r w:rsidRPr="00101131">
        <w:t>В культурной сфере Усть-Большерецкого района – в 2024 году МКУ КСЦ «Рыбак» Октябрьского городского поселения в рамках Государственной программы Камчатского края «Развитие культуры в камчатском крае», проведены закупки сценического оборудования</w:t>
      </w:r>
    </w:p>
    <w:p w:rsidR="009D4ACF" w:rsidRPr="00101131" w:rsidRDefault="009D4ACF" w:rsidP="009D4ACF">
      <w:pPr>
        <w:spacing w:line="240" w:lineRule="atLeast"/>
        <w:ind w:firstLine="567"/>
        <w:jc w:val="both"/>
      </w:pPr>
      <w:r w:rsidRPr="00101131">
        <w:t>Проводятся работы по капитальному ремонту мостового перехода через р. Быстрая на автомобильной дороге Начикинский совхоз – Усть-Большерецк – п. Октябрьский с подъездом к пристани Косоево – колхоз им. Октябрьской революции, которые были начаты в 2022 году. Завершение работ запланировано в 2025 году.</w:t>
      </w:r>
    </w:p>
    <w:p w:rsidR="009D4ACF" w:rsidRPr="00101131" w:rsidRDefault="009D4ACF" w:rsidP="009D4ACF">
      <w:pPr>
        <w:spacing w:line="240" w:lineRule="atLeast"/>
        <w:ind w:firstLine="567"/>
        <w:jc w:val="both"/>
      </w:pPr>
      <w:r w:rsidRPr="00101131">
        <w:t>На территории поселений Усть-Большерецкого муниципального района в рамках проекта «Решаем вместе» проводились работы по благоустройству:</w:t>
      </w:r>
    </w:p>
    <w:p w:rsidR="009D4ACF" w:rsidRPr="00101131" w:rsidRDefault="009D4ACF" w:rsidP="009D4ACF">
      <w:pPr>
        <w:spacing w:line="240" w:lineRule="atLeast"/>
        <w:ind w:firstLine="567"/>
        <w:jc w:val="both"/>
      </w:pPr>
      <w:r w:rsidRPr="00101131">
        <w:t>Октябрьское ГП: «Благоустройство центральной площади» - устройство бетонного основания.</w:t>
      </w:r>
    </w:p>
    <w:p w:rsidR="009D4ACF" w:rsidRPr="00101131" w:rsidRDefault="009D4ACF" w:rsidP="009D4ACF">
      <w:pPr>
        <w:spacing w:line="240" w:lineRule="atLeast"/>
        <w:ind w:firstLine="567"/>
        <w:jc w:val="both"/>
      </w:pPr>
      <w:r w:rsidRPr="00101131">
        <w:t>Запорожское СП: «Ремонт детской площадки» - обустройство и монтаж покрытия, ограждения, установка видеонаблюдения и освещения. Установка спортивного элемента.</w:t>
      </w:r>
    </w:p>
    <w:p w:rsidR="009D4ACF" w:rsidRPr="00101131" w:rsidRDefault="009D4ACF" w:rsidP="009D4ACF">
      <w:pPr>
        <w:spacing w:line="240" w:lineRule="atLeast"/>
        <w:ind w:firstLine="567"/>
        <w:jc w:val="both"/>
      </w:pPr>
      <w:r w:rsidRPr="00101131">
        <w:t>Общая сумма освоенных денежных средств составила 8 529,86300 тыс. рублей.</w:t>
      </w:r>
    </w:p>
    <w:p w:rsidR="00FC1CDF" w:rsidRPr="00101131" w:rsidRDefault="00FC1CDF" w:rsidP="00E75296">
      <w:pPr>
        <w:spacing w:line="240" w:lineRule="atLeast"/>
        <w:ind w:firstLine="567"/>
        <w:jc w:val="both"/>
      </w:pPr>
      <w:r w:rsidRPr="00101131">
        <w:rPr>
          <w:b/>
          <w:i/>
        </w:rPr>
        <w:t>Сельское хозяйство</w:t>
      </w:r>
    </w:p>
    <w:p w:rsidR="00B24F18" w:rsidRPr="00101131" w:rsidRDefault="00963E00" w:rsidP="00B24F18">
      <w:pPr>
        <w:ind w:firstLine="709"/>
        <w:jc w:val="both"/>
      </w:pPr>
      <w:r w:rsidRPr="00101131">
        <w:t xml:space="preserve">Молочное животноводство в Усть-Большерецком муниципальном районе представлено Сельскохозяйственной артелью «Апачинская» и ООО СХП «Озерновское», </w:t>
      </w:r>
      <w:r w:rsidR="00B24F18" w:rsidRPr="00101131">
        <w:t>и более 500 личными подсобными хозяйствами.</w:t>
      </w:r>
    </w:p>
    <w:p w:rsidR="00B24F18" w:rsidRPr="00101131" w:rsidRDefault="00B24F18" w:rsidP="00B24F18">
      <w:pPr>
        <w:ind w:firstLine="709"/>
        <w:jc w:val="both"/>
      </w:pPr>
      <w:r w:rsidRPr="00101131">
        <w:t xml:space="preserve">Животноводство Усть-Большерецкого муниципального района представляет собой основной блок сельскохозяйственного производства. </w:t>
      </w:r>
    </w:p>
    <w:p w:rsidR="00390B21" w:rsidRPr="00101131" w:rsidRDefault="00390B21" w:rsidP="00390B21">
      <w:pPr>
        <w:ind w:firstLine="709"/>
        <w:jc w:val="both"/>
      </w:pPr>
      <w:r w:rsidRPr="00101131">
        <w:t>Ведущими предприятиями хлебопекарной отрасли в Усть-Большерецком муниципальном</w:t>
      </w:r>
      <w:r w:rsidR="00286514" w:rsidRPr="00101131">
        <w:t xml:space="preserve"> районе являются: ООО «Орлан», </w:t>
      </w:r>
      <w:r w:rsidRPr="00101131">
        <w:t>ИП Хархиев Малик Магомедович</w:t>
      </w:r>
      <w:r w:rsidR="00286514" w:rsidRPr="00101131">
        <w:t xml:space="preserve"> и ИП Кучкорова Наила Уткировна</w:t>
      </w:r>
      <w:r w:rsidRPr="00101131">
        <w:t xml:space="preserve">. </w:t>
      </w:r>
    </w:p>
    <w:p w:rsidR="00390B21" w:rsidRPr="00101131" w:rsidRDefault="00390B21" w:rsidP="008C6D8F">
      <w:pPr>
        <w:ind w:firstLine="709"/>
        <w:jc w:val="both"/>
      </w:pPr>
      <w:r w:rsidRPr="00101131">
        <w:t>Объем производства хлебобулочных изделий ООО «Орлан» за 202</w:t>
      </w:r>
      <w:r w:rsidR="00286514" w:rsidRPr="00101131">
        <w:t>4</w:t>
      </w:r>
      <w:r w:rsidRPr="00101131">
        <w:t xml:space="preserve"> год составил </w:t>
      </w:r>
      <w:r w:rsidR="00286514" w:rsidRPr="00101131">
        <w:t>94,42</w:t>
      </w:r>
      <w:r w:rsidRPr="00101131">
        <w:t xml:space="preserve"> тонны,</w:t>
      </w:r>
      <w:r w:rsidR="00286514" w:rsidRPr="00101131">
        <w:t xml:space="preserve"> ИП Хархиев М.М. составил 11,03 тонны что на 7,53 больше чем в 2023 году (3,5 тонны), ИП Кучкорова Н.У. 6,6 тонн (в 202</w:t>
      </w:r>
      <w:r w:rsidR="008C6D8F" w:rsidRPr="00101131">
        <w:t>4</w:t>
      </w:r>
      <w:r w:rsidR="00286514" w:rsidRPr="00101131">
        <w:t xml:space="preserve"> году только открылись)</w:t>
      </w:r>
      <w:r w:rsidRPr="00101131">
        <w:t xml:space="preserve">. </w:t>
      </w:r>
    </w:p>
    <w:p w:rsidR="003560BC" w:rsidRPr="00101131" w:rsidRDefault="00390B21" w:rsidP="008C6D8F">
      <w:pPr>
        <w:ind w:firstLine="709"/>
        <w:jc w:val="both"/>
      </w:pPr>
      <w:r w:rsidRPr="00101131">
        <w:t>В целях развития сельскохозяйственного производства, пищевой и перерабатывающей промышленности в рамках реализации мероприятий муниципальной программы «Поддержка развития сельского хозяйства, пищевой и перерабатывающей промышленности в Усть-Большерецком муниципальном районе»</w:t>
      </w:r>
      <w:r w:rsidR="003560BC" w:rsidRPr="00101131">
        <w:t>.</w:t>
      </w:r>
      <w:r w:rsidRPr="00101131">
        <w:t xml:space="preserve"> </w:t>
      </w:r>
      <w:r w:rsidR="003560BC" w:rsidRPr="00101131">
        <w:t>На 202</w:t>
      </w:r>
      <w:r w:rsidR="00286514" w:rsidRPr="00101131">
        <w:t>4</w:t>
      </w:r>
      <w:r w:rsidR="003560BC" w:rsidRPr="00101131">
        <w:t xml:space="preserve"> год </w:t>
      </w:r>
      <w:r w:rsidR="003560BC" w:rsidRPr="00101131">
        <w:rPr>
          <w:b/>
        </w:rPr>
        <w:t>из средств местного бюджета</w:t>
      </w:r>
      <w:r w:rsidR="003560BC" w:rsidRPr="00101131">
        <w:t xml:space="preserve"> было предусмотрено </w:t>
      </w:r>
      <w:r w:rsidR="00286514" w:rsidRPr="00101131">
        <w:t>2 346,868 тыс.</w:t>
      </w:r>
      <w:r w:rsidR="003560BC" w:rsidRPr="00101131">
        <w:t xml:space="preserve"> руб., и из средств краевого бюджета </w:t>
      </w:r>
      <w:r w:rsidR="00286514" w:rsidRPr="00101131">
        <w:t>1</w:t>
      </w:r>
      <w:r w:rsidR="003560BC" w:rsidRPr="00101131">
        <w:t>8</w:t>
      </w:r>
      <w:r w:rsidR="00286514" w:rsidRPr="00101131">
        <w:t> </w:t>
      </w:r>
      <w:r w:rsidR="003560BC" w:rsidRPr="00101131">
        <w:t>000</w:t>
      </w:r>
      <w:r w:rsidR="00286514" w:rsidRPr="00101131">
        <w:t>,</w:t>
      </w:r>
      <w:r w:rsidR="003560BC" w:rsidRPr="00101131">
        <w:t> 000</w:t>
      </w:r>
      <w:r w:rsidR="00286514" w:rsidRPr="00101131">
        <w:t xml:space="preserve"> тыс. </w:t>
      </w:r>
      <w:r w:rsidR="003560BC" w:rsidRPr="00101131">
        <w:t xml:space="preserve"> руб.</w:t>
      </w:r>
      <w:r w:rsidR="00C554FF" w:rsidRPr="00101131">
        <w:t xml:space="preserve"> Субсидия была направлена на:</w:t>
      </w:r>
    </w:p>
    <w:p w:rsidR="003560BC" w:rsidRPr="00101131" w:rsidRDefault="003560BC" w:rsidP="008C6D8F">
      <w:pPr>
        <w:ind w:firstLine="709"/>
        <w:jc w:val="both"/>
      </w:pPr>
      <w:r w:rsidRPr="00101131">
        <w:t xml:space="preserve">создание молочного цеха </w:t>
      </w:r>
      <w:r w:rsidR="00286514" w:rsidRPr="00101131">
        <w:t>20 000,</w:t>
      </w:r>
      <w:r w:rsidRPr="00101131">
        <w:t xml:space="preserve">000 </w:t>
      </w:r>
      <w:r w:rsidR="00286514" w:rsidRPr="00101131">
        <w:t xml:space="preserve">тыс. </w:t>
      </w:r>
      <w:r w:rsidRPr="00101131">
        <w:t xml:space="preserve">руб. </w:t>
      </w:r>
    </w:p>
    <w:p w:rsidR="003560BC" w:rsidRPr="00101131" w:rsidRDefault="003560BC" w:rsidP="008C6D8F">
      <w:pPr>
        <w:ind w:firstLine="709"/>
        <w:jc w:val="both"/>
      </w:pPr>
      <w:r w:rsidRPr="00101131">
        <w:t xml:space="preserve">возмещение затрат, сельхоз товаропроизводителям по искусственному осеменению крупного рогатого скота </w:t>
      </w:r>
      <w:r w:rsidR="00286514" w:rsidRPr="00101131">
        <w:t>346,868 тыс.</w:t>
      </w:r>
      <w:r w:rsidRPr="00101131">
        <w:t xml:space="preserve"> руб.</w:t>
      </w:r>
    </w:p>
    <w:p w:rsidR="008C6D8F" w:rsidRPr="00101131" w:rsidRDefault="008C6D8F" w:rsidP="008C6D8F">
      <w:pPr>
        <w:spacing w:line="240" w:lineRule="atLeast"/>
        <w:ind w:firstLine="709"/>
        <w:jc w:val="both"/>
      </w:pPr>
      <w:r w:rsidRPr="00101131">
        <w:t>Остаток средств местного бюджета в размере 1 245 065,34 руб. а также софинансирование Анисимова А.В. в размере 3 000 000,00 освоение переноситься на 2025 год. Открытие молочного цеха запланировано на июль 2025 года.</w:t>
      </w:r>
    </w:p>
    <w:p w:rsidR="00192032" w:rsidRPr="00101131" w:rsidRDefault="00192032" w:rsidP="00192032">
      <w:pPr>
        <w:spacing w:line="240" w:lineRule="atLeast"/>
        <w:ind w:firstLine="567"/>
        <w:jc w:val="center"/>
        <w:rPr>
          <w:b/>
          <w:i/>
        </w:rPr>
      </w:pPr>
      <w:r w:rsidRPr="00101131">
        <w:rPr>
          <w:b/>
          <w:i/>
        </w:rPr>
        <w:t>Дорожное хозяйство и транспорт</w:t>
      </w:r>
    </w:p>
    <w:p w:rsidR="00192032" w:rsidRPr="00101131" w:rsidRDefault="00192032" w:rsidP="00192032">
      <w:pPr>
        <w:spacing w:line="240" w:lineRule="atLeast"/>
        <w:ind w:firstLine="567"/>
        <w:jc w:val="both"/>
      </w:pPr>
      <w:r w:rsidRPr="00101131">
        <w:t xml:space="preserve">Территория района обслуживается автомобильным, воздушным и морским транспортом. Сеть автомобильных дорог общего пользования Усть-Большерецкого муниципального района развита удовлетворительно, имеет протяженность 216,652 км. Основу сети составляют региональные и межмуниципальные дороги – 172,76 км, поселковые – 43,892 км. </w:t>
      </w:r>
    </w:p>
    <w:p w:rsidR="00192032" w:rsidRPr="00101131" w:rsidRDefault="00192032" w:rsidP="00192032">
      <w:pPr>
        <w:tabs>
          <w:tab w:val="left" w:pos="360"/>
          <w:tab w:val="left" w:pos="972"/>
        </w:tabs>
        <w:spacing w:line="240" w:lineRule="atLeast"/>
        <w:ind w:firstLine="567"/>
        <w:jc w:val="both"/>
      </w:pPr>
      <w:r w:rsidRPr="00101131">
        <w:lastRenderedPageBreak/>
        <w:t xml:space="preserve">Не все дороги имеют твердое покрытие. Южная часть района связана воздушным и морским транспортом. Капитальный ремонт дорог всех уровней производился частично небольшими участками. </w:t>
      </w:r>
    </w:p>
    <w:p w:rsidR="00192032" w:rsidRPr="00101131" w:rsidRDefault="00192032" w:rsidP="00192032">
      <w:pPr>
        <w:tabs>
          <w:tab w:val="left" w:pos="360"/>
          <w:tab w:val="left" w:pos="972"/>
        </w:tabs>
        <w:spacing w:line="240" w:lineRule="atLeast"/>
        <w:ind w:firstLine="567"/>
        <w:jc w:val="both"/>
      </w:pPr>
      <w:r w:rsidRPr="00101131">
        <w:t>В 2019 году начались работы по подготовке к асфальтированию автомобильной трассы, связывающей Усть-Большерецкий муниципальный район с краевым центром. В рамках государственной программы Камчатского края «Развитие транспортной системы в Камчатском крае» в 2022 году были завершены работы по реконструкции автомобильной дороги на участке дороги Начикинский совхоз – с. Усть-Большерецк – п. Октябрьский с нулевого по пятый километр.</w:t>
      </w:r>
    </w:p>
    <w:p w:rsidR="00192032" w:rsidRPr="00101131" w:rsidRDefault="00192032" w:rsidP="00192032">
      <w:pPr>
        <w:tabs>
          <w:tab w:val="left" w:pos="360"/>
          <w:tab w:val="left" w:pos="972"/>
        </w:tabs>
        <w:spacing w:line="240" w:lineRule="atLeast"/>
        <w:ind w:firstLine="567"/>
        <w:jc w:val="both"/>
      </w:pPr>
      <w:r w:rsidRPr="00101131">
        <w:t>В 2022 году проведены проектные работы по реконструкции автомобильной дороги Начикинский совхоз – с. Усть-Большерецк – п. Октябрьский на участке 5-10 км. Работы по реконструкции на указанном участке автомобильной дороги планируется завершить в 2026 году. Также, в 2023 году начата разработка проектной документации на капитальный ремонт участка км 11 – км 40. В рамках проекта запланированы работы по укладке асфальтобетонного покрытия проезжей части.</w:t>
      </w:r>
    </w:p>
    <w:p w:rsidR="00192032" w:rsidRPr="00101131" w:rsidRDefault="00192032" w:rsidP="00192032">
      <w:pPr>
        <w:tabs>
          <w:tab w:val="left" w:pos="360"/>
          <w:tab w:val="left" w:pos="972"/>
        </w:tabs>
        <w:spacing w:line="240" w:lineRule="atLeast"/>
        <w:ind w:firstLine="567"/>
        <w:jc w:val="both"/>
      </w:pPr>
      <w:r w:rsidRPr="00101131">
        <w:t>Разработана проектная документация по реконструкции мостовых переходов через р. Гольцовка на км 78+280, р. Амчигача (км 103), р. Амчигача (с. Усть-Большерецк, подъезд к пристани Косоево).</w:t>
      </w:r>
    </w:p>
    <w:p w:rsidR="00192032" w:rsidRPr="00101131" w:rsidRDefault="00192032" w:rsidP="00192032">
      <w:pPr>
        <w:tabs>
          <w:tab w:val="left" w:pos="360"/>
          <w:tab w:val="left" w:pos="972"/>
        </w:tabs>
        <w:spacing w:line="240" w:lineRule="atLeast"/>
        <w:ind w:firstLine="567"/>
        <w:jc w:val="both"/>
      </w:pPr>
      <w:r w:rsidRPr="00101131">
        <w:t>Работы по указанным ремонтам дорог и мостов будут выполнены при определении источников финансирования в соответствии с доведенными лимитами.</w:t>
      </w:r>
    </w:p>
    <w:p w:rsidR="00192032" w:rsidRPr="00101131" w:rsidRDefault="00192032" w:rsidP="00192032">
      <w:pPr>
        <w:tabs>
          <w:tab w:val="left" w:pos="360"/>
          <w:tab w:val="left" w:pos="972"/>
        </w:tabs>
        <w:spacing w:line="240" w:lineRule="atLeast"/>
        <w:ind w:firstLine="567"/>
        <w:jc w:val="both"/>
      </w:pPr>
      <w:r w:rsidRPr="00101131">
        <w:t>В 2024 году продолжают проводиться работы по капитальному ремонту мостового перехода через р. Быстрая на автомобильной дороге Начикинский совхоз – Усть-Большерецк – п. Октябрьский с подъездом к пристани Косоево – колхоз им. Октябрьской революции, которые были начаты в 2022 году. Данные работы планируется завершить к концу 2025 года.</w:t>
      </w:r>
    </w:p>
    <w:p w:rsidR="00192032" w:rsidRPr="00101131" w:rsidRDefault="00192032" w:rsidP="00192032">
      <w:pPr>
        <w:tabs>
          <w:tab w:val="left" w:pos="360"/>
          <w:tab w:val="left" w:pos="972"/>
        </w:tabs>
        <w:spacing w:line="240" w:lineRule="atLeast"/>
        <w:ind w:firstLine="567"/>
        <w:jc w:val="both"/>
        <w:rPr>
          <w:b/>
        </w:rPr>
      </w:pPr>
      <w:r w:rsidRPr="00101131">
        <w:t>По поручению Губернатора Министерство транспорта и дорожного строительства Камчатского края прорабатывает возможность одновременного проведения работ по реконструкции трассы со стороны Начикинского совхоза и Усть-Большерецка.</w:t>
      </w:r>
    </w:p>
    <w:p w:rsidR="00192032" w:rsidRPr="00101131" w:rsidRDefault="00192032" w:rsidP="00192032">
      <w:pPr>
        <w:tabs>
          <w:tab w:val="left" w:pos="360"/>
          <w:tab w:val="left" w:pos="972"/>
        </w:tabs>
        <w:spacing w:line="240" w:lineRule="atLeast"/>
        <w:ind w:firstLine="567"/>
        <w:jc w:val="both"/>
      </w:pPr>
      <w:r w:rsidRPr="00101131">
        <w:t>В целях ликвидации чрезвычайной ситуации в п. Паужетка, возникшей в 2023 году из-за прохождения паводка, в результате которого смыло мост через реку Паужетка, были проведены ремонтно-восстановительные работы поврежденного моста через реку Паужетка и аварийно-восстановительные работы по берегоукреплению жилой зоны п. Паужетка. В 2025 году планируется продолжить проведение аварийно-восстановительных работ по берегоукреплению жилой зоны п. Паужетка на сумму 3 498,11 тыс. рублей.</w:t>
      </w:r>
    </w:p>
    <w:p w:rsidR="00192032" w:rsidRPr="00101131" w:rsidRDefault="00192032" w:rsidP="00192032">
      <w:pPr>
        <w:tabs>
          <w:tab w:val="left" w:pos="360"/>
          <w:tab w:val="left" w:pos="972"/>
        </w:tabs>
        <w:spacing w:line="240" w:lineRule="atLeast"/>
        <w:ind w:firstLine="567"/>
        <w:jc w:val="both"/>
      </w:pPr>
      <w:r w:rsidRPr="00101131">
        <w:t>Администрацией Усть-Большерецкого муниципального района организовано автобусное сообщение (перевозка пассажиров) на основании заключенных договоров (контрактов) фрахтования транспортных средств по следующим маршрутам:</w:t>
      </w:r>
    </w:p>
    <w:p w:rsidR="00192032" w:rsidRPr="00101131" w:rsidRDefault="00192032" w:rsidP="00192032">
      <w:pPr>
        <w:tabs>
          <w:tab w:val="left" w:pos="360"/>
          <w:tab w:val="left" w:pos="972"/>
        </w:tabs>
        <w:spacing w:line="240" w:lineRule="atLeast"/>
        <w:ind w:firstLine="567"/>
        <w:jc w:val="both"/>
      </w:pPr>
      <w:r w:rsidRPr="00101131">
        <w:t>- с. Усть-Большерецк - с. Кавалерское - с. Апача – ДРП Апача;</w:t>
      </w:r>
    </w:p>
    <w:p w:rsidR="00192032" w:rsidRPr="00101131" w:rsidRDefault="00192032" w:rsidP="00192032">
      <w:pPr>
        <w:tabs>
          <w:tab w:val="left" w:pos="360"/>
          <w:tab w:val="left" w:pos="972"/>
        </w:tabs>
        <w:spacing w:line="240" w:lineRule="atLeast"/>
        <w:ind w:firstLine="567"/>
        <w:jc w:val="both"/>
      </w:pPr>
      <w:r w:rsidRPr="00101131">
        <w:t>- п. Озерновский – с. Запорожье;</w:t>
      </w:r>
    </w:p>
    <w:p w:rsidR="000E102D" w:rsidRPr="00101131" w:rsidRDefault="00192032" w:rsidP="00192032">
      <w:pPr>
        <w:tabs>
          <w:tab w:val="left" w:pos="360"/>
          <w:tab w:val="left" w:pos="972"/>
        </w:tabs>
        <w:spacing w:line="240" w:lineRule="atLeast"/>
        <w:ind w:firstLine="567"/>
        <w:jc w:val="both"/>
      </w:pPr>
      <w:r w:rsidRPr="00101131">
        <w:t>- с. Усть-Большерецк – п. Октябрьский</w:t>
      </w:r>
    </w:p>
    <w:p w:rsidR="00B34C6B" w:rsidRPr="00101131" w:rsidRDefault="00B34C6B" w:rsidP="00B34C6B">
      <w:pPr>
        <w:tabs>
          <w:tab w:val="left" w:pos="360"/>
          <w:tab w:val="left" w:pos="972"/>
        </w:tabs>
        <w:spacing w:line="240" w:lineRule="atLeast"/>
        <w:ind w:firstLine="567"/>
        <w:jc w:val="both"/>
      </w:pPr>
    </w:p>
    <w:p w:rsidR="00BB4E26" w:rsidRPr="00101131" w:rsidRDefault="00687F08" w:rsidP="00CE3203">
      <w:pPr>
        <w:spacing w:line="240" w:lineRule="atLeast"/>
        <w:ind w:firstLine="567"/>
        <w:jc w:val="center"/>
        <w:rPr>
          <w:b/>
          <w:i/>
        </w:rPr>
      </w:pPr>
      <w:r w:rsidRPr="00101131">
        <w:rPr>
          <w:b/>
          <w:i/>
        </w:rPr>
        <w:t>Уровень доходов</w:t>
      </w:r>
      <w:r w:rsidR="00113019" w:rsidRPr="00101131">
        <w:rPr>
          <w:b/>
          <w:i/>
        </w:rPr>
        <w:t xml:space="preserve"> населения</w:t>
      </w:r>
      <w:r w:rsidR="00E82586" w:rsidRPr="00101131">
        <w:rPr>
          <w:b/>
          <w:i/>
        </w:rPr>
        <w:t>, занятость</w:t>
      </w:r>
    </w:p>
    <w:p w:rsidR="00C774FE" w:rsidRPr="00101131" w:rsidRDefault="00C774FE" w:rsidP="00C774FE">
      <w:pPr>
        <w:tabs>
          <w:tab w:val="left" w:pos="9639"/>
        </w:tabs>
        <w:ind w:firstLine="851"/>
        <w:jc w:val="both"/>
      </w:pPr>
      <w:r w:rsidRPr="00101131">
        <w:t>По сведениям отделения КГКУ центр занятости населения Камчатского края в  Усть-Большерецком районе»:</w:t>
      </w:r>
    </w:p>
    <w:p w:rsidR="00C774FE" w:rsidRPr="00101131" w:rsidRDefault="00C774FE" w:rsidP="00C774FE">
      <w:pPr>
        <w:tabs>
          <w:tab w:val="left" w:pos="9639"/>
        </w:tabs>
        <w:ind w:firstLine="851"/>
        <w:jc w:val="both"/>
      </w:pPr>
      <w:r w:rsidRPr="00101131">
        <w:t>- численность экономически активного населения за четвертый квартал 2024 года составила 3 645 человек, что на 791 человека меньше, чем за аналогичный период 2023 года. Прогнозная численность за 2024 год составит 3 640 человек.</w:t>
      </w:r>
    </w:p>
    <w:p w:rsidR="00C774FE" w:rsidRPr="00101131" w:rsidRDefault="00C774FE" w:rsidP="00C774FE">
      <w:pPr>
        <w:tabs>
          <w:tab w:val="left" w:pos="9639"/>
        </w:tabs>
        <w:ind w:firstLine="851"/>
        <w:jc w:val="both"/>
      </w:pPr>
      <w:r w:rsidRPr="00101131">
        <w:t>- уровень зарегистрированной безработицы по району за январь-декабрь 2024 год</w:t>
      </w:r>
    </w:p>
    <w:p w:rsidR="00C774FE" w:rsidRPr="00101131" w:rsidRDefault="00C774FE" w:rsidP="00C774FE">
      <w:pPr>
        <w:tabs>
          <w:tab w:val="left" w:pos="9639"/>
        </w:tabs>
        <w:jc w:val="both"/>
      </w:pPr>
      <w:r w:rsidRPr="00101131">
        <w:t>уменьшился на 0,9% процентных пункта по сравнению с аналогичным периодом 2023 года и составила 1,9%.</w:t>
      </w:r>
    </w:p>
    <w:p w:rsidR="00C774FE" w:rsidRPr="00101131" w:rsidRDefault="00C774FE" w:rsidP="00C774FE">
      <w:pPr>
        <w:tabs>
          <w:tab w:val="left" w:pos="9639"/>
        </w:tabs>
        <w:ind w:firstLine="851"/>
        <w:jc w:val="both"/>
      </w:pPr>
      <w:r w:rsidRPr="00101131">
        <w:t xml:space="preserve"> За январь – декабрь 2024 года Центром занятости проведены:</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2268"/>
      </w:tblGrid>
      <w:tr w:rsidR="00C774FE" w:rsidRPr="00101131" w:rsidTr="0099473A">
        <w:tc>
          <w:tcPr>
            <w:tcW w:w="7338" w:type="dxa"/>
            <w:shd w:val="clear" w:color="auto" w:fill="auto"/>
            <w:vAlign w:val="center"/>
          </w:tcPr>
          <w:p w:rsidR="00C774FE" w:rsidRPr="00101131" w:rsidRDefault="00C774FE" w:rsidP="0099473A">
            <w:pPr>
              <w:jc w:val="center"/>
            </w:pPr>
            <w:r w:rsidRPr="00101131">
              <w:t>Наименование мероприятия</w:t>
            </w:r>
          </w:p>
        </w:tc>
        <w:tc>
          <w:tcPr>
            <w:tcW w:w="2268" w:type="dxa"/>
          </w:tcPr>
          <w:p w:rsidR="00C774FE" w:rsidRPr="00101131" w:rsidRDefault="00C774FE" w:rsidP="0099473A">
            <w:pPr>
              <w:jc w:val="center"/>
            </w:pPr>
            <w:r w:rsidRPr="00101131">
              <w:t>2024 год</w:t>
            </w:r>
          </w:p>
        </w:tc>
      </w:tr>
      <w:tr w:rsidR="00C774FE" w:rsidRPr="00101131" w:rsidTr="0099473A">
        <w:tc>
          <w:tcPr>
            <w:tcW w:w="7338" w:type="dxa"/>
            <w:shd w:val="clear" w:color="auto" w:fill="auto"/>
          </w:tcPr>
          <w:p w:rsidR="00C774FE" w:rsidRPr="00101131" w:rsidRDefault="00C774FE" w:rsidP="0099473A">
            <w:pPr>
              <w:jc w:val="both"/>
            </w:pPr>
            <w:r w:rsidRPr="00101131">
              <w:lastRenderedPageBreak/>
              <w:t xml:space="preserve">Количество организованных ярмарок вакантных и учебных рабочих мест </w:t>
            </w:r>
          </w:p>
        </w:tc>
        <w:tc>
          <w:tcPr>
            <w:tcW w:w="2268" w:type="dxa"/>
            <w:vAlign w:val="center"/>
          </w:tcPr>
          <w:p w:rsidR="00C774FE" w:rsidRPr="00101131" w:rsidRDefault="00C774FE" w:rsidP="0099473A">
            <w:pPr>
              <w:jc w:val="center"/>
            </w:pPr>
            <w:r w:rsidRPr="00101131">
              <w:t>3</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граждан, принявших участие в ярмарках вакантных и учебных рабочих мест (чел.)</w:t>
            </w:r>
          </w:p>
        </w:tc>
        <w:tc>
          <w:tcPr>
            <w:tcW w:w="2268" w:type="dxa"/>
            <w:vAlign w:val="center"/>
          </w:tcPr>
          <w:p w:rsidR="00C774FE" w:rsidRPr="00101131" w:rsidRDefault="00C774FE" w:rsidP="0099473A">
            <w:pPr>
              <w:jc w:val="center"/>
            </w:pPr>
            <w:r w:rsidRPr="00101131">
              <w:t>56</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временно трудоустроенных несовершеннолетних граждан в возрасте от 14 до 18 лет (чел.)</w:t>
            </w:r>
          </w:p>
        </w:tc>
        <w:tc>
          <w:tcPr>
            <w:tcW w:w="2268" w:type="dxa"/>
            <w:vAlign w:val="center"/>
          </w:tcPr>
          <w:p w:rsidR="00C774FE" w:rsidRPr="00101131" w:rsidRDefault="00C774FE" w:rsidP="0099473A">
            <w:pPr>
              <w:jc w:val="center"/>
            </w:pPr>
            <w:r w:rsidRPr="00101131">
              <w:t>154</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граждан, трудоустроенных на общественных работах (чел.)</w:t>
            </w:r>
          </w:p>
        </w:tc>
        <w:tc>
          <w:tcPr>
            <w:tcW w:w="2268" w:type="dxa"/>
            <w:vAlign w:val="center"/>
          </w:tcPr>
          <w:p w:rsidR="00C774FE" w:rsidRPr="00101131" w:rsidRDefault="00C774FE" w:rsidP="0099473A">
            <w:pPr>
              <w:jc w:val="center"/>
            </w:pPr>
            <w:r w:rsidRPr="00101131">
              <w:t>26</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временно трудоустроенных граждан, испытывающих трудности в поиске работы (чел.)</w:t>
            </w:r>
          </w:p>
        </w:tc>
        <w:tc>
          <w:tcPr>
            <w:tcW w:w="2268" w:type="dxa"/>
            <w:vAlign w:val="center"/>
          </w:tcPr>
          <w:p w:rsidR="00C774FE" w:rsidRPr="00101131" w:rsidRDefault="00C774FE" w:rsidP="0099473A">
            <w:pPr>
              <w:jc w:val="center"/>
            </w:pPr>
            <w:r w:rsidRPr="00101131">
              <w:t>5</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безработных граждан, приступивших к  профессиональному обучению (чел.)</w:t>
            </w:r>
          </w:p>
        </w:tc>
        <w:tc>
          <w:tcPr>
            <w:tcW w:w="2268" w:type="dxa"/>
            <w:vAlign w:val="center"/>
          </w:tcPr>
          <w:p w:rsidR="00C774FE" w:rsidRPr="00101131" w:rsidRDefault="00C774FE" w:rsidP="0099473A">
            <w:pPr>
              <w:jc w:val="center"/>
            </w:pPr>
            <w:r w:rsidRPr="00101131">
              <w:t>19</w:t>
            </w:r>
          </w:p>
        </w:tc>
      </w:tr>
      <w:tr w:rsidR="00C774FE" w:rsidRPr="00101131" w:rsidTr="0099473A">
        <w:tc>
          <w:tcPr>
            <w:tcW w:w="7338" w:type="dxa"/>
            <w:shd w:val="clear" w:color="auto" w:fill="auto"/>
          </w:tcPr>
          <w:p w:rsidR="00C774FE" w:rsidRPr="00101131" w:rsidRDefault="00C774FE" w:rsidP="0099473A">
            <w:pPr>
              <w:jc w:val="both"/>
            </w:pPr>
            <w:r w:rsidRPr="00101131">
              <w:t>Количество граждан, получивших профессиональную ориентацию (чел.)</w:t>
            </w:r>
          </w:p>
        </w:tc>
        <w:tc>
          <w:tcPr>
            <w:tcW w:w="2268" w:type="dxa"/>
            <w:vAlign w:val="center"/>
          </w:tcPr>
          <w:p w:rsidR="00C774FE" w:rsidRPr="00101131" w:rsidRDefault="00C774FE" w:rsidP="0099473A">
            <w:pPr>
              <w:jc w:val="center"/>
            </w:pPr>
            <w:r w:rsidRPr="00101131">
              <w:t>116</w:t>
            </w:r>
          </w:p>
        </w:tc>
      </w:tr>
      <w:tr w:rsidR="00C774FE" w:rsidRPr="00101131" w:rsidTr="0099473A">
        <w:tc>
          <w:tcPr>
            <w:tcW w:w="7338" w:type="dxa"/>
            <w:shd w:val="clear" w:color="auto" w:fill="auto"/>
          </w:tcPr>
          <w:p w:rsidR="00C774FE" w:rsidRPr="00101131" w:rsidRDefault="00C774FE" w:rsidP="0099473A">
            <w:pPr>
              <w:jc w:val="both"/>
            </w:pPr>
            <w:r w:rsidRPr="00101131">
              <w:rPr>
                <w:spacing w:val="-6"/>
              </w:rPr>
              <w:t>Социальная</w:t>
            </w:r>
            <w:r w:rsidRPr="00101131">
              <w:rPr>
                <w:spacing w:val="-4"/>
              </w:rPr>
              <w:t xml:space="preserve"> </w:t>
            </w:r>
            <w:r w:rsidRPr="00101131">
              <w:rPr>
                <w:spacing w:val="-6"/>
              </w:rPr>
              <w:t>адаптация</w:t>
            </w:r>
            <w:r w:rsidRPr="00101131">
              <w:rPr>
                <w:spacing w:val="6"/>
              </w:rPr>
              <w:t xml:space="preserve"> </w:t>
            </w:r>
            <w:r w:rsidRPr="00101131">
              <w:rPr>
                <w:spacing w:val="-6"/>
              </w:rPr>
              <w:t>безработных</w:t>
            </w:r>
            <w:r w:rsidRPr="00101131">
              <w:rPr>
                <w:spacing w:val="14"/>
              </w:rPr>
              <w:t xml:space="preserve"> </w:t>
            </w:r>
            <w:r w:rsidRPr="00101131">
              <w:rPr>
                <w:spacing w:val="-6"/>
              </w:rPr>
              <w:t>граждан</w:t>
            </w:r>
            <w:r w:rsidRPr="00101131">
              <w:rPr>
                <w:spacing w:val="-1"/>
              </w:rPr>
              <w:t xml:space="preserve"> </w:t>
            </w:r>
            <w:r w:rsidRPr="00101131">
              <w:rPr>
                <w:spacing w:val="-6"/>
              </w:rPr>
              <w:t>на</w:t>
            </w:r>
            <w:r w:rsidRPr="00101131">
              <w:rPr>
                <w:spacing w:val="-10"/>
              </w:rPr>
              <w:t xml:space="preserve"> </w:t>
            </w:r>
            <w:r w:rsidRPr="00101131">
              <w:rPr>
                <w:spacing w:val="-6"/>
              </w:rPr>
              <w:t>рынке</w:t>
            </w:r>
            <w:r w:rsidRPr="00101131">
              <w:rPr>
                <w:spacing w:val="-8"/>
              </w:rPr>
              <w:t xml:space="preserve"> </w:t>
            </w:r>
            <w:r w:rsidRPr="00101131">
              <w:rPr>
                <w:spacing w:val="-6"/>
              </w:rPr>
              <w:t>труда</w:t>
            </w:r>
          </w:p>
        </w:tc>
        <w:tc>
          <w:tcPr>
            <w:tcW w:w="2268" w:type="dxa"/>
            <w:vAlign w:val="center"/>
          </w:tcPr>
          <w:p w:rsidR="00C774FE" w:rsidRPr="00101131" w:rsidRDefault="00C774FE" w:rsidP="0099473A">
            <w:pPr>
              <w:jc w:val="center"/>
            </w:pPr>
            <w:r w:rsidRPr="00101131">
              <w:t>20</w:t>
            </w:r>
          </w:p>
        </w:tc>
      </w:tr>
      <w:tr w:rsidR="00C774FE" w:rsidRPr="00101131" w:rsidTr="0099473A">
        <w:tc>
          <w:tcPr>
            <w:tcW w:w="7338" w:type="dxa"/>
            <w:shd w:val="clear" w:color="auto" w:fill="auto"/>
          </w:tcPr>
          <w:p w:rsidR="00C774FE" w:rsidRPr="00101131" w:rsidRDefault="00C774FE" w:rsidP="0099473A">
            <w:pPr>
              <w:jc w:val="both"/>
              <w:rPr>
                <w:spacing w:val="-6"/>
              </w:rPr>
            </w:pPr>
            <w:r w:rsidRPr="00101131">
              <w:rPr>
                <w:spacing w:val="-6"/>
              </w:rPr>
              <w:t>Организация</w:t>
            </w:r>
            <w:r w:rsidRPr="00101131">
              <w:rPr>
                <w:spacing w:val="-7"/>
              </w:rPr>
              <w:t xml:space="preserve"> </w:t>
            </w:r>
            <w:r w:rsidRPr="00101131">
              <w:rPr>
                <w:spacing w:val="-6"/>
              </w:rPr>
              <w:t>психологической</w:t>
            </w:r>
            <w:r w:rsidRPr="00101131">
              <w:rPr>
                <w:spacing w:val="-9"/>
              </w:rPr>
              <w:t xml:space="preserve"> </w:t>
            </w:r>
            <w:r w:rsidRPr="00101131">
              <w:rPr>
                <w:spacing w:val="-6"/>
              </w:rPr>
              <w:t>поддержки</w:t>
            </w:r>
            <w:r w:rsidRPr="00101131">
              <w:rPr>
                <w:spacing w:val="-8"/>
              </w:rPr>
              <w:t xml:space="preserve"> </w:t>
            </w:r>
            <w:r w:rsidRPr="00101131">
              <w:rPr>
                <w:spacing w:val="-6"/>
              </w:rPr>
              <w:t xml:space="preserve">безработных </w:t>
            </w:r>
            <w:r w:rsidRPr="00101131">
              <w:rPr>
                <w:spacing w:val="-2"/>
              </w:rPr>
              <w:t>граждан</w:t>
            </w:r>
          </w:p>
        </w:tc>
        <w:tc>
          <w:tcPr>
            <w:tcW w:w="2268" w:type="dxa"/>
            <w:vAlign w:val="center"/>
          </w:tcPr>
          <w:p w:rsidR="00C774FE" w:rsidRPr="00101131" w:rsidRDefault="00C774FE" w:rsidP="0099473A">
            <w:pPr>
              <w:jc w:val="center"/>
            </w:pPr>
            <w:r w:rsidRPr="00101131">
              <w:t>23</w:t>
            </w:r>
          </w:p>
        </w:tc>
      </w:tr>
    </w:tbl>
    <w:p w:rsidR="00C774FE" w:rsidRPr="00101131" w:rsidRDefault="00C774FE" w:rsidP="00C774FE"/>
    <w:p w:rsidR="00282DB8" w:rsidRPr="00101131" w:rsidRDefault="00282DB8" w:rsidP="007B3B06">
      <w:pPr>
        <w:tabs>
          <w:tab w:val="left" w:pos="4103"/>
        </w:tabs>
        <w:spacing w:line="240" w:lineRule="atLeast"/>
        <w:jc w:val="center"/>
        <w:rPr>
          <w:b/>
          <w:i/>
        </w:rPr>
      </w:pPr>
      <w:r w:rsidRPr="00101131">
        <w:rPr>
          <w:b/>
          <w:i/>
          <w:noProof/>
        </w:rPr>
        <w:drawing>
          <wp:inline distT="0" distB="0" distL="0" distR="0" wp14:anchorId="1696FE5D" wp14:editId="39A8F2C7">
            <wp:extent cx="6103089" cy="2276475"/>
            <wp:effectExtent l="0" t="0" r="0" b="0"/>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6656" w:rsidRPr="00101131" w:rsidRDefault="001553DC" w:rsidP="007B3B06">
      <w:pPr>
        <w:tabs>
          <w:tab w:val="left" w:pos="4103"/>
        </w:tabs>
        <w:spacing w:line="240" w:lineRule="atLeast"/>
        <w:jc w:val="center"/>
        <w:rPr>
          <w:b/>
          <w:i/>
        </w:rPr>
      </w:pPr>
      <w:r w:rsidRPr="00101131">
        <w:rPr>
          <w:b/>
          <w:i/>
          <w:lang w:val="en-US"/>
        </w:rPr>
        <w:t>III</w:t>
      </w:r>
      <w:r w:rsidRPr="00101131">
        <w:rPr>
          <w:b/>
          <w:i/>
        </w:rPr>
        <w:t xml:space="preserve"> </w:t>
      </w:r>
      <w:r w:rsidR="00E75371" w:rsidRPr="00101131">
        <w:rPr>
          <w:b/>
          <w:i/>
        </w:rPr>
        <w:t>Дошкольное</w:t>
      </w:r>
      <w:r w:rsidR="00706656" w:rsidRPr="00101131">
        <w:rPr>
          <w:b/>
          <w:i/>
        </w:rPr>
        <w:t xml:space="preserve"> образование</w:t>
      </w:r>
    </w:p>
    <w:p w:rsidR="005646D9" w:rsidRDefault="005646D9" w:rsidP="005646D9">
      <w:pPr>
        <w:spacing w:line="276" w:lineRule="auto"/>
        <w:ind w:firstLine="708"/>
        <w:jc w:val="both"/>
      </w:pPr>
      <w:r>
        <w:t>На территории Усть-Большерецкого муниципального района находится 15 образовательных учреждений, численность детей составляет:</w:t>
      </w:r>
    </w:p>
    <w:p w:rsidR="005646D9" w:rsidRDefault="005646D9" w:rsidP="005646D9">
      <w:pPr>
        <w:spacing w:line="276" w:lineRule="auto"/>
        <w:jc w:val="both"/>
      </w:pPr>
      <w:r>
        <w:t>Воспитанников – 220</w:t>
      </w:r>
    </w:p>
    <w:p w:rsidR="005646D9" w:rsidRDefault="005646D9" w:rsidP="005646D9">
      <w:pPr>
        <w:spacing w:line="276" w:lineRule="auto"/>
        <w:jc w:val="both"/>
      </w:pPr>
      <w:r>
        <w:t>Обучающихся - 643</w:t>
      </w:r>
    </w:p>
    <w:p w:rsidR="005646D9" w:rsidRDefault="005646D9" w:rsidP="005646D9">
      <w:pPr>
        <w:spacing w:line="276" w:lineRule="auto"/>
        <w:jc w:val="both"/>
      </w:pPr>
      <w:r>
        <w:t>Занятых в системе дополнительного образования – 493 ребенка</w:t>
      </w:r>
    </w:p>
    <w:p w:rsidR="005646D9" w:rsidRDefault="005646D9" w:rsidP="005646D9">
      <w:pPr>
        <w:spacing w:line="276" w:lineRule="auto"/>
        <w:ind w:firstLine="708"/>
        <w:jc w:val="both"/>
      </w:pPr>
      <w:r w:rsidRPr="003E4B36">
        <w:t>В с. Кавалерское в апреле 2024 года начался образовательный процесс в новом здании школы</w:t>
      </w:r>
      <w:r>
        <w:t xml:space="preserve">. </w:t>
      </w:r>
      <w:r w:rsidRPr="003E4B36">
        <w:t>Строительство было выполнено</w:t>
      </w:r>
      <w:r>
        <w:t xml:space="preserve"> в 2022-2023 году</w:t>
      </w:r>
      <w:r w:rsidRPr="003E4B36">
        <w:t xml:space="preserve"> благодаря национальному проекту “Образование”, который реализуется по поручению Президента Российской Федерации Владимира Путина.</w:t>
      </w:r>
      <w:r>
        <w:t xml:space="preserve"> Школа оснащена и соответствует всем современным образовательным стандартам.</w:t>
      </w:r>
      <w:r w:rsidRPr="0006097D">
        <w:t xml:space="preserve"> </w:t>
      </w:r>
    </w:p>
    <w:p w:rsidR="005646D9" w:rsidRDefault="005646D9" w:rsidP="005646D9">
      <w:pPr>
        <w:spacing w:line="276" w:lineRule="auto"/>
        <w:ind w:firstLine="708"/>
        <w:jc w:val="both"/>
        <w:rPr>
          <w:rFonts w:eastAsia="Calibri"/>
        </w:rPr>
      </w:pPr>
      <w:r w:rsidRPr="00452CB5">
        <w:rPr>
          <w:rFonts w:eastAsia="Calibri"/>
        </w:rPr>
        <w:t>В июле 2024 года заключен контракт на строительство модульного спортивного зала для школы №2 в Усть-Большерецке, ввод объекта в эксплуатацию в 2025 году. Работы проведут в рамках федерального проекта «50 спортивных залов в ДФО». Площадь спортивного зала 900 м2. В проекте предусмотрены раздевалки, душевые, санузлы, тренерская и другие помещения, отвечающие современным требованиям спортивных залов.</w:t>
      </w:r>
    </w:p>
    <w:p w:rsidR="005646D9" w:rsidRPr="005330E4" w:rsidRDefault="005646D9" w:rsidP="005646D9">
      <w:pPr>
        <w:spacing w:line="276" w:lineRule="auto"/>
        <w:ind w:firstLine="708"/>
        <w:jc w:val="both"/>
        <w:rPr>
          <w:rFonts w:eastAsia="Calibri"/>
        </w:rPr>
      </w:pPr>
      <w:r w:rsidRPr="00596316">
        <w:rPr>
          <w:rFonts w:eastAsia="Calibri"/>
        </w:rPr>
        <w:t>В 2024 году в рамках регионального п</w:t>
      </w:r>
      <w:r>
        <w:rPr>
          <w:rFonts w:eastAsia="Calibri"/>
        </w:rPr>
        <w:t xml:space="preserve">роекта «Успех каждого ребёнка» </w:t>
      </w:r>
      <w:r w:rsidRPr="00596316">
        <w:rPr>
          <w:rFonts w:eastAsia="Calibri"/>
        </w:rPr>
        <w:t xml:space="preserve">в Усть-Большерецком районе было организовано 30 новых мест для дополнительного </w:t>
      </w:r>
      <w:r w:rsidRPr="00596316">
        <w:rPr>
          <w:rFonts w:eastAsia="Calibri"/>
        </w:rPr>
        <w:lastRenderedPageBreak/>
        <w:t>образования детей. В проекте участвовали 3 общеобразовательные школы. Свои двери для школьников открыли 1 школьный медиацентр, 1 театр, 2 спортивных клуба, 1 музей.</w:t>
      </w:r>
    </w:p>
    <w:p w:rsidR="005646D9" w:rsidRDefault="005646D9" w:rsidP="005646D9">
      <w:pPr>
        <w:spacing w:line="276" w:lineRule="auto"/>
        <w:ind w:firstLine="708"/>
        <w:jc w:val="both"/>
      </w:pPr>
      <w:r>
        <w:t>В МАДОУ детский сад «Светлячок» логопедический кабинет пополнился современным оборудованием.</w:t>
      </w:r>
    </w:p>
    <w:p w:rsidR="005646D9" w:rsidRDefault="005646D9" w:rsidP="005646D9">
      <w:pPr>
        <w:spacing w:line="276" w:lineRule="auto"/>
        <w:ind w:firstLine="708"/>
        <w:jc w:val="both"/>
      </w:pPr>
      <w:r>
        <w:t xml:space="preserve">Ежегодно учебной литературой пополняется библиотечный фонд. </w:t>
      </w:r>
    </w:p>
    <w:p w:rsidR="005646D9" w:rsidRPr="00926275" w:rsidRDefault="005646D9" w:rsidP="005646D9">
      <w:pPr>
        <w:spacing w:line="276" w:lineRule="auto"/>
        <w:ind w:firstLine="708"/>
        <w:jc w:val="both"/>
      </w:pPr>
      <w:r w:rsidRPr="00926275">
        <w:rPr>
          <w:shd w:val="clear" w:color="auto" w:fill="FFFFFF"/>
        </w:rPr>
        <w:t xml:space="preserve">Налажено сотрудничество с привлечением спонсорской помощи для </w:t>
      </w:r>
      <w:r w:rsidRPr="00926275">
        <w:rPr>
          <w:bCs/>
          <w:shd w:val="clear" w:color="auto" w:fill="FFFFFF"/>
        </w:rPr>
        <w:t>образовательных</w:t>
      </w:r>
      <w:r w:rsidRPr="00926275">
        <w:rPr>
          <w:shd w:val="clear" w:color="auto" w:fill="FFFFFF"/>
        </w:rPr>
        <w:t> </w:t>
      </w:r>
      <w:r w:rsidRPr="00926275">
        <w:rPr>
          <w:bCs/>
          <w:shd w:val="clear" w:color="auto" w:fill="FFFFFF"/>
        </w:rPr>
        <w:t xml:space="preserve">учреждений. Рыбопромышленные предприятия предоставляют более 2,5 тонн продукции лососевых пород для организации питания в детских учреждениях, а также безвозмездной финансовой помощи. </w:t>
      </w:r>
    </w:p>
    <w:p w:rsidR="005646D9" w:rsidRDefault="005646D9" w:rsidP="005646D9">
      <w:pPr>
        <w:spacing w:line="276" w:lineRule="auto"/>
        <w:ind w:firstLine="708"/>
        <w:jc w:val="both"/>
      </w:pPr>
      <w:r w:rsidRPr="00F95BBB">
        <w:t xml:space="preserve">Усть-Большерецкий муниципальный район </w:t>
      </w:r>
      <w:r>
        <w:t>продолжает принимать</w:t>
      </w:r>
      <w:r w:rsidRPr="00F95BBB">
        <w:t xml:space="preserve"> участие в реализации регионального проекта «Растем здоровыми». Все дети района от 3-х до 1</w:t>
      </w:r>
      <w:r>
        <w:t>8</w:t>
      </w:r>
      <w:r w:rsidRPr="00F95BBB">
        <w:t xml:space="preserve"> лет включительно</w:t>
      </w:r>
      <w:r>
        <w:t xml:space="preserve"> </w:t>
      </w:r>
      <w:r w:rsidRPr="00F95BBB">
        <w:t>получили возможность принимать необходимую пищевую добавку «Омега-3» из камчатского лосося абсолютно бесплатно.</w:t>
      </w:r>
      <w:r>
        <w:t xml:space="preserve"> </w:t>
      </w:r>
    </w:p>
    <w:p w:rsidR="005646D9" w:rsidRDefault="005646D9" w:rsidP="005646D9">
      <w:pPr>
        <w:spacing w:line="276" w:lineRule="auto"/>
        <w:ind w:firstLine="708"/>
        <w:jc w:val="both"/>
      </w:pPr>
      <w:r>
        <w:t>Семьи участников СВО освобождены от родительской платы за детский сад, дети участников СВО получают бесплатное питание в школе, данная категория родителей освобождена от оплаты путёвок в пришкольные оздоровительные лагеря с дневным пребыванием.</w:t>
      </w:r>
    </w:p>
    <w:p w:rsidR="005646D9" w:rsidRDefault="005646D9" w:rsidP="005646D9">
      <w:pPr>
        <w:spacing w:line="276" w:lineRule="auto"/>
        <w:ind w:firstLine="708"/>
        <w:jc w:val="both"/>
      </w:pPr>
      <w:r w:rsidRPr="00DB03C3">
        <w:t>Школ</w:t>
      </w:r>
      <w:r>
        <w:t>ы</w:t>
      </w:r>
      <w:r w:rsidRPr="00DB03C3">
        <w:t xml:space="preserve"> не осталась в стороне от важных социальных инициатив. В течение года было проведено несколько благотворительных ярмарок, средства от которых были направлены на помощь бойцам СВО.</w:t>
      </w:r>
    </w:p>
    <w:p w:rsidR="005646D9" w:rsidRDefault="005646D9" w:rsidP="005646D9">
      <w:pPr>
        <w:spacing w:line="276" w:lineRule="auto"/>
        <w:ind w:firstLine="708"/>
        <w:jc w:val="both"/>
      </w:pPr>
      <w:r>
        <w:t>В образовательных учреждениях реализуется несколько проектов социальной патриотической направленности такие как:</w:t>
      </w:r>
    </w:p>
    <w:p w:rsidR="005646D9" w:rsidRDefault="005646D9" w:rsidP="005646D9">
      <w:pPr>
        <w:spacing w:line="276" w:lineRule="auto"/>
        <w:ind w:firstLine="708"/>
        <w:jc w:val="both"/>
      </w:pPr>
      <w:r>
        <w:t>Проект «Стать наставником России» в МБОУ Усть-Большерецкая СОШ №2. С данным проектом школа принимает участие в международной премии «Служение».</w:t>
      </w:r>
    </w:p>
    <w:p w:rsidR="005646D9" w:rsidRDefault="005646D9" w:rsidP="005646D9">
      <w:pPr>
        <w:spacing w:line="276" w:lineRule="auto"/>
        <w:ind w:firstLine="708"/>
        <w:jc w:val="both"/>
      </w:pPr>
      <w:r>
        <w:t>Участие в региональном этапе военно-спортивной игры «Зарница-2.0». Участники команды МБОУ Октябрьская СОШ №1 награждены Дипломами 3 степени в номинации «Кибербезопасность», «Ратные истории Отечества».</w:t>
      </w:r>
    </w:p>
    <w:p w:rsidR="005646D9" w:rsidRDefault="005646D9" w:rsidP="005646D9">
      <w:pPr>
        <w:spacing w:line="276" w:lineRule="auto"/>
        <w:ind w:firstLine="708"/>
        <w:jc w:val="both"/>
      </w:pPr>
      <w:r>
        <w:t>«Нарисуй защитника Отечества» - региональный конкурс рисунков, проводимый филиалом фонда «Защитники Отечества», практически в каждой возрастной категории есть победители и призеры.</w:t>
      </w:r>
    </w:p>
    <w:p w:rsidR="005646D9" w:rsidRDefault="005646D9" w:rsidP="005646D9">
      <w:pPr>
        <w:spacing w:line="276" w:lineRule="auto"/>
        <w:ind w:firstLine="708"/>
        <w:jc w:val="both"/>
        <w:rPr>
          <w:shd w:val="clear" w:color="auto" w:fill="FFFFFF"/>
        </w:rPr>
      </w:pPr>
      <w:r w:rsidRPr="008833CC">
        <w:t xml:space="preserve">Команда Юных Инспекторов Движения </w:t>
      </w:r>
      <w:r>
        <w:t xml:space="preserve">«БИБ»  Усть-Большерецкого района </w:t>
      </w:r>
      <w:r w:rsidRPr="008833CC">
        <w:t xml:space="preserve">заняла </w:t>
      </w:r>
      <w:r>
        <w:t xml:space="preserve">третье </w:t>
      </w:r>
      <w:r w:rsidRPr="008833CC">
        <w:t xml:space="preserve">место на </w:t>
      </w:r>
      <w:r w:rsidRPr="008833CC">
        <w:rPr>
          <w:shd w:val="clear" w:color="auto" w:fill="FFFFFF"/>
        </w:rPr>
        <w:t>региональном этапе Всероссийского конкурса «Безопасное колесо — 202</w:t>
      </w:r>
      <w:r>
        <w:rPr>
          <w:shd w:val="clear" w:color="auto" w:fill="FFFFFF"/>
        </w:rPr>
        <w:t>4</w:t>
      </w:r>
      <w:r w:rsidRPr="008833CC">
        <w:rPr>
          <w:shd w:val="clear" w:color="auto" w:fill="FFFFFF"/>
        </w:rPr>
        <w:t xml:space="preserve">», </w:t>
      </w:r>
      <w:r>
        <w:rPr>
          <w:shd w:val="clear" w:color="auto" w:fill="FFFFFF"/>
        </w:rPr>
        <w:t xml:space="preserve">первое место - «Дороги без опасности». Команда «БИБ» была награждена поездкой в ВДЦ «Океан». </w:t>
      </w:r>
    </w:p>
    <w:p w:rsidR="005646D9" w:rsidRDefault="005646D9" w:rsidP="005646D9">
      <w:pPr>
        <w:spacing w:line="276" w:lineRule="auto"/>
        <w:ind w:firstLine="708"/>
        <w:jc w:val="both"/>
        <w:rPr>
          <w:shd w:val="clear" w:color="auto" w:fill="FFFFFF"/>
        </w:rPr>
      </w:pPr>
      <w:r w:rsidRPr="00151C0B">
        <w:t>В целях внедрения в Камчатском крае Регионального социального стандарта по поручению Министерства социального благополучия и политики Камчатского края Усть-Большерецкая СОШ 2 в 2023-2024 году осуществляла работу по механизму реализации программы, рекомендованному АСИ (Агентством стратегических инициатив) для внедрения модели работы «Дружелюбная организация в социальной сфере». По итогам 3 этапов был сформирован отчет и рекомендации по составлению «Дорожной карты развития учреждения».</w:t>
      </w:r>
    </w:p>
    <w:p w:rsidR="005646D9" w:rsidRDefault="005646D9" w:rsidP="005646D9">
      <w:pPr>
        <w:spacing w:line="276" w:lineRule="auto"/>
        <w:ind w:firstLine="708"/>
        <w:jc w:val="both"/>
      </w:pPr>
      <w:r w:rsidRPr="00351D1D">
        <w:t>Образовательные учреждения укомплектованы достаточным количеством педагогических работников, что позволяет обеспечивать стабильные качественные результаты образовательных достижений обучающихся.</w:t>
      </w:r>
    </w:p>
    <w:p w:rsidR="005646D9" w:rsidRDefault="005646D9" w:rsidP="005646D9">
      <w:pPr>
        <w:spacing w:line="276" w:lineRule="auto"/>
        <w:ind w:firstLine="708"/>
        <w:jc w:val="both"/>
      </w:pPr>
      <w:r>
        <w:lastRenderedPageBreak/>
        <w:t xml:space="preserve">Количество педагогических работников образовательных учреждений составляет 92 человека, из них с высшей квалификационной категорией – 17 человек, с первой – 10 человек. </w:t>
      </w:r>
    </w:p>
    <w:p w:rsidR="005646D9" w:rsidRPr="00351D1D" w:rsidRDefault="005646D9" w:rsidP="005646D9">
      <w:pPr>
        <w:spacing w:line="276" w:lineRule="auto"/>
        <w:ind w:firstLine="708"/>
        <w:jc w:val="both"/>
      </w:pPr>
      <w:r>
        <w:t>В дошкольных образовательных учреждениях, в учреждениях дополнительного образования работает – 78 человек, из них высшую квалификационную категорию имеют – 2 человека, первую - 2 человека.</w:t>
      </w:r>
    </w:p>
    <w:p w:rsidR="005646D9" w:rsidRPr="00CD23BE" w:rsidRDefault="005646D9" w:rsidP="005646D9">
      <w:pPr>
        <w:tabs>
          <w:tab w:val="left" w:pos="709"/>
        </w:tabs>
        <w:spacing w:line="276" w:lineRule="auto"/>
        <w:jc w:val="both"/>
        <w:rPr>
          <w:rFonts w:eastAsia="Calibri"/>
          <w:lang w:eastAsia="ar-SA"/>
        </w:rPr>
      </w:pPr>
      <w:r>
        <w:rPr>
          <w:rFonts w:eastAsia="Calibri"/>
          <w:lang w:eastAsia="ar-SA"/>
        </w:rPr>
        <w:tab/>
        <w:t>На р</w:t>
      </w:r>
      <w:r w:rsidRPr="00CD23BE">
        <w:rPr>
          <w:rFonts w:eastAsia="Calibri"/>
          <w:lang w:eastAsia="ar-SA"/>
        </w:rPr>
        <w:t>егиональн</w:t>
      </w:r>
      <w:r>
        <w:rPr>
          <w:rFonts w:eastAsia="Calibri"/>
          <w:lang w:eastAsia="ar-SA"/>
        </w:rPr>
        <w:t>ом</w:t>
      </w:r>
      <w:r w:rsidRPr="00CD23BE">
        <w:rPr>
          <w:rFonts w:eastAsia="Calibri"/>
          <w:lang w:eastAsia="ar-SA"/>
        </w:rPr>
        <w:t xml:space="preserve"> конкурс</w:t>
      </w:r>
      <w:r>
        <w:rPr>
          <w:rFonts w:eastAsia="Calibri"/>
          <w:lang w:eastAsia="ar-SA"/>
        </w:rPr>
        <w:t>е</w:t>
      </w:r>
      <w:r w:rsidRPr="00CD23BE">
        <w:rPr>
          <w:rFonts w:eastAsia="Calibri"/>
          <w:lang w:eastAsia="ar-SA"/>
        </w:rPr>
        <w:t xml:space="preserve"> профессионального мастерства педагогов общеобразовательных, дошкольных организаций, учреждений дополнительного образования, а также высшего и среднего профессионального образования "Год учителя закончился, век учителя настал",</w:t>
      </w:r>
      <w:r w:rsidRPr="00476F76">
        <w:rPr>
          <w:rFonts w:eastAsia="Calibri"/>
          <w:lang w:eastAsia="ar-SA"/>
        </w:rPr>
        <w:t xml:space="preserve"> </w:t>
      </w:r>
      <w:r>
        <w:rPr>
          <w:rFonts w:eastAsia="Calibri"/>
          <w:lang w:eastAsia="ar-SA"/>
        </w:rPr>
        <w:t xml:space="preserve">было заявлено </w:t>
      </w:r>
      <w:r w:rsidRPr="00476F76">
        <w:rPr>
          <w:rFonts w:eastAsia="Calibri"/>
          <w:lang w:eastAsia="ar-SA"/>
        </w:rPr>
        <w:t>5</w:t>
      </w:r>
      <w:r w:rsidRPr="00CD23BE">
        <w:rPr>
          <w:rFonts w:eastAsia="Calibri"/>
          <w:lang w:eastAsia="ar-SA"/>
        </w:rPr>
        <w:t xml:space="preserve"> работ</w:t>
      </w:r>
      <w:r w:rsidRPr="00476F76">
        <w:rPr>
          <w:rFonts w:eastAsia="Calibri"/>
          <w:lang w:eastAsia="ar-SA"/>
        </w:rPr>
        <w:t xml:space="preserve">, из них </w:t>
      </w:r>
      <w:r>
        <w:rPr>
          <w:rFonts w:eastAsia="Calibri"/>
          <w:lang w:eastAsia="ar-SA"/>
        </w:rPr>
        <w:t>2</w:t>
      </w:r>
      <w:r w:rsidRPr="00476F76">
        <w:rPr>
          <w:rFonts w:eastAsia="Calibri"/>
          <w:lang w:eastAsia="ar-SA"/>
        </w:rPr>
        <w:t xml:space="preserve"> </w:t>
      </w:r>
      <w:r>
        <w:rPr>
          <w:rFonts w:eastAsia="Calibri"/>
          <w:lang w:eastAsia="ar-SA"/>
        </w:rPr>
        <w:t xml:space="preserve">участника награждены Дипломом Участника, </w:t>
      </w:r>
      <w:r w:rsidRPr="00476F76">
        <w:rPr>
          <w:rFonts w:eastAsia="Calibri"/>
          <w:lang w:eastAsia="ar-SA"/>
        </w:rPr>
        <w:t>1 – педагог награжден</w:t>
      </w:r>
      <w:r>
        <w:rPr>
          <w:rFonts w:eastAsia="Calibri"/>
          <w:lang w:eastAsia="ar-SA"/>
        </w:rPr>
        <w:t xml:space="preserve"> Дипломом лауреата – МАОУ Озерновская СОШ № 3, 2 – участника награждены Дипломом участника – МБОУ Усть-Большерецкая СОШ 2.</w:t>
      </w:r>
    </w:p>
    <w:p w:rsidR="005646D9" w:rsidRDefault="005646D9" w:rsidP="005646D9">
      <w:pPr>
        <w:tabs>
          <w:tab w:val="left" w:pos="709"/>
        </w:tabs>
        <w:spacing w:line="276" w:lineRule="auto"/>
        <w:contextualSpacing/>
        <w:jc w:val="both"/>
        <w:rPr>
          <w:rFonts w:eastAsia="Calibri"/>
          <w:lang w:eastAsia="ar-SA"/>
        </w:rPr>
      </w:pPr>
      <w:r>
        <w:rPr>
          <w:rFonts w:eastAsia="Calibri"/>
          <w:lang w:eastAsia="ar-SA"/>
        </w:rPr>
        <w:tab/>
        <w:t>На площадке «Сириус» в Сочи на Всемирном фестивале молодежи в составе делегации Камчатского края принимал участие педагог Дома детского творчества.</w:t>
      </w:r>
    </w:p>
    <w:p w:rsidR="005646D9" w:rsidRDefault="005646D9" w:rsidP="005646D9">
      <w:pPr>
        <w:spacing w:line="276" w:lineRule="auto"/>
        <w:ind w:firstLine="708"/>
        <w:contextualSpacing/>
        <w:jc w:val="both"/>
      </w:pPr>
      <w:r w:rsidRPr="00960C44">
        <w:t xml:space="preserve">Средний показатель </w:t>
      </w:r>
      <w:r w:rsidRPr="00C93A9C">
        <w:t xml:space="preserve">участия школьников в </w:t>
      </w:r>
      <w:r w:rsidRPr="00960C44">
        <w:t xml:space="preserve">региональном и </w:t>
      </w:r>
      <w:r w:rsidRPr="00C93A9C">
        <w:t>муниципальном этап</w:t>
      </w:r>
      <w:r w:rsidRPr="00960C44">
        <w:t>ах</w:t>
      </w:r>
      <w:r w:rsidRPr="00C93A9C">
        <w:t xml:space="preserve"> Всероссийской олимпиады школьников</w:t>
      </w:r>
      <w:r w:rsidRPr="00960C44">
        <w:t xml:space="preserve"> по итогам 2024 года</w:t>
      </w:r>
      <w:r w:rsidRPr="00C93A9C">
        <w:t xml:space="preserve"> выше по сравнению с прошлым учебным годом.</w:t>
      </w:r>
    </w:p>
    <w:p w:rsidR="005646D9" w:rsidRPr="00960C44" w:rsidRDefault="005646D9" w:rsidP="005646D9">
      <w:pPr>
        <w:spacing w:line="276" w:lineRule="auto"/>
        <w:ind w:firstLine="708"/>
        <w:contextualSpacing/>
        <w:jc w:val="both"/>
      </w:pPr>
      <w:r w:rsidRPr="00C93A9C">
        <w:t xml:space="preserve"> В 2024 году </w:t>
      </w:r>
      <w:r w:rsidRPr="00960C44">
        <w:t>ученицы МАОУ Озерновская СОШ № 3</w:t>
      </w:r>
      <w:r w:rsidRPr="00C93A9C">
        <w:t xml:space="preserve"> Григорьев</w:t>
      </w:r>
      <w:r w:rsidRPr="00960C44">
        <w:t>а</w:t>
      </w:r>
      <w:r w:rsidRPr="00C93A9C">
        <w:t xml:space="preserve"> Дарь</w:t>
      </w:r>
      <w:r w:rsidRPr="00960C44">
        <w:t>я закончила обучение</w:t>
      </w:r>
      <w:r w:rsidRPr="00C93A9C">
        <w:t xml:space="preserve"> с аттестатом о среднем общем образовании </w:t>
      </w:r>
      <w:r w:rsidRPr="00960C44">
        <w:t xml:space="preserve">с отличием и золотой медалью, </w:t>
      </w:r>
      <w:r w:rsidRPr="00C93A9C">
        <w:t>Алейников</w:t>
      </w:r>
      <w:r w:rsidRPr="00960C44">
        <w:t>а</w:t>
      </w:r>
      <w:r w:rsidRPr="00C93A9C">
        <w:t xml:space="preserve"> Амали</w:t>
      </w:r>
      <w:r w:rsidRPr="00960C44">
        <w:t xml:space="preserve">я </w:t>
      </w:r>
      <w:r w:rsidRPr="00C93A9C">
        <w:t>также с аттестатом об основном общем образовании с отличием.</w:t>
      </w:r>
    </w:p>
    <w:p w:rsidR="005646D9" w:rsidRDefault="005646D9" w:rsidP="005646D9">
      <w:pPr>
        <w:spacing w:line="276" w:lineRule="auto"/>
        <w:ind w:firstLine="708"/>
        <w:contextualSpacing/>
        <w:jc w:val="both"/>
      </w:pPr>
      <w:r w:rsidRPr="00960C44">
        <w:t>Лубенецкому Владимиру</w:t>
      </w:r>
      <w:r>
        <w:t xml:space="preserve">, </w:t>
      </w:r>
      <w:r w:rsidRPr="00960C44">
        <w:t>ученику МБОУ Усть-Большерецкая СОШ 2</w:t>
      </w:r>
      <w:r>
        <w:t xml:space="preserve">, </w:t>
      </w:r>
      <w:r w:rsidRPr="00960C44">
        <w:t>присуждена ежемесячная именная стипендия Губернатора Камчатского края.</w:t>
      </w:r>
      <w:r w:rsidRPr="00C36925">
        <w:t xml:space="preserve"> </w:t>
      </w:r>
    </w:p>
    <w:p w:rsidR="005646D9" w:rsidRDefault="005646D9" w:rsidP="005646D9">
      <w:pPr>
        <w:spacing w:line="276" w:lineRule="auto"/>
        <w:ind w:firstLine="709"/>
        <w:contextualSpacing/>
        <w:jc w:val="both"/>
      </w:pPr>
      <w:r>
        <w:rPr>
          <w:rFonts w:eastAsia="Calibri"/>
          <w:lang w:eastAsia="ar-SA"/>
        </w:rPr>
        <w:t>На международном форуме молодых исследователей «Шаг в будущее» в Москве 2 призовое место заняла работа ученика МБОУ Апачинская СОШ № 7</w:t>
      </w:r>
    </w:p>
    <w:p w:rsidR="005646D9" w:rsidRDefault="005646D9" w:rsidP="005646D9">
      <w:pPr>
        <w:spacing w:line="276" w:lineRule="auto"/>
        <w:ind w:firstLine="709"/>
        <w:contextualSpacing/>
        <w:jc w:val="both"/>
        <w:rPr>
          <w:rFonts w:eastAsia="Calibri"/>
        </w:rPr>
      </w:pPr>
      <w:r>
        <w:t>Спортсмены Усть-Большерецкой РСШ неоднократно представляли Усть-Большерецкий район в региональных соревнованиях, в соревнованиях на уровне ДФО, занимая призовые места.</w:t>
      </w:r>
      <w:r w:rsidRPr="00C16903">
        <w:rPr>
          <w:rFonts w:eastAsia="Calibri"/>
        </w:rPr>
        <w:t xml:space="preserve"> </w:t>
      </w:r>
    </w:p>
    <w:p w:rsidR="005646D9" w:rsidRDefault="005646D9" w:rsidP="005646D9">
      <w:pPr>
        <w:spacing w:line="276" w:lineRule="auto"/>
        <w:ind w:firstLine="709"/>
        <w:contextualSpacing/>
        <w:jc w:val="both"/>
      </w:pPr>
      <w:r w:rsidRPr="003F7AFF">
        <w:rPr>
          <w:rFonts w:eastAsia="Calibri"/>
        </w:rPr>
        <w:t>Следуя Указу Президента Российской Федерации и федеральному закону от 14 июля 2022 г. № 261-ФЗ "О российском движении детей и молодежи" во всех школах района успешно функционирует детское и молодежное объединение Российского движения детей и молодежи Движение Первых</w:t>
      </w:r>
    </w:p>
    <w:p w:rsidR="005646D9" w:rsidRDefault="005646D9" w:rsidP="005646D9">
      <w:pPr>
        <w:spacing w:line="276" w:lineRule="auto"/>
        <w:ind w:firstLine="708"/>
        <w:jc w:val="both"/>
      </w:pPr>
      <w:r>
        <w:t>На территории района действует муниципальная программа «Развитие образования в Усть-Большерецком муниципальном районе». На ее исполнение расходуется значительная часть бюджета. В рамках программы обновляется материально-техническая база образовательных учреждений, обеспечивается комплексная безопасность, соблюдение санитарно-эпидемиологических требований, обеспечивается комфортное пребывание детей в образовательных организациях, организовывается отдых и оздоровление детей, защита прав ребенка, а также обеспечивается устойчивый рост качества образования.</w:t>
      </w:r>
    </w:p>
    <w:p w:rsidR="005646D9" w:rsidRPr="00C16903" w:rsidRDefault="005646D9" w:rsidP="005646D9">
      <w:pPr>
        <w:spacing w:line="276" w:lineRule="auto"/>
        <w:ind w:firstLine="708"/>
        <w:jc w:val="both"/>
        <w:rPr>
          <w:rFonts w:eastAsia="Calibri"/>
        </w:rPr>
      </w:pPr>
      <w:r w:rsidRPr="00C16903">
        <w:rPr>
          <w:rFonts w:eastAsia="Calibri"/>
        </w:rPr>
        <w:t>Продолжается работа по приведению образовательных организаций района в соответствие с современным законодательством. На 2026 и последующие запланированы капитальные работы в детском саду «Ромашка» и Апачинской школе № 7. Это планомерная и каждодневная работа, требующая значительных финансовых затрат.</w:t>
      </w:r>
    </w:p>
    <w:p w:rsidR="005646D9" w:rsidRDefault="005646D9" w:rsidP="005646D9">
      <w:pPr>
        <w:spacing w:line="276" w:lineRule="auto"/>
        <w:ind w:firstLine="426"/>
        <w:jc w:val="center"/>
      </w:pPr>
      <w:r>
        <w:t>В</w:t>
      </w:r>
      <w:r w:rsidRPr="00C72841">
        <w:t xml:space="preserve"> 20</w:t>
      </w:r>
      <w:r>
        <w:t>24</w:t>
      </w:r>
      <w:r w:rsidRPr="00C72841">
        <w:t xml:space="preserve"> году на развитие образовательной сферы нашего района были выделены</w:t>
      </w:r>
      <w:r>
        <w:t xml:space="preserve"> </w:t>
      </w:r>
      <w:r w:rsidRPr="00C72841">
        <w:t>средства</w:t>
      </w:r>
      <w:r>
        <w:t>. Однако их объем по сравнению с прошлым годом существенно снизился.</w:t>
      </w:r>
    </w:p>
    <w:p w:rsidR="00A46437" w:rsidRPr="00101131" w:rsidRDefault="00A46437" w:rsidP="005646D9">
      <w:pPr>
        <w:spacing w:line="276" w:lineRule="auto"/>
        <w:ind w:firstLine="426"/>
        <w:jc w:val="center"/>
        <w:rPr>
          <w:b/>
        </w:rPr>
      </w:pPr>
      <w:bookmarkStart w:id="0" w:name="_GoBack"/>
      <w:bookmarkEnd w:id="0"/>
      <w:r w:rsidRPr="00101131">
        <w:rPr>
          <w:b/>
        </w:rPr>
        <w:lastRenderedPageBreak/>
        <w:t>Опека и попечительство</w:t>
      </w:r>
    </w:p>
    <w:p w:rsidR="00C554FF" w:rsidRPr="00101131" w:rsidRDefault="00C554FF" w:rsidP="00C554FF">
      <w:pPr>
        <w:ind w:firstLine="709"/>
        <w:jc w:val="both"/>
        <w:rPr>
          <w:color w:val="000000"/>
        </w:rPr>
      </w:pPr>
      <w:r w:rsidRPr="00101131">
        <w:rPr>
          <w:color w:val="000000"/>
        </w:rPr>
        <w:t xml:space="preserve">Основными направлениями деятельности органов опеки и попечительства являются: профилактика социального сиротства; обеспечение приоритета семейных форм жизнеустройства детей-сирот и детей, оставшихся без попечения родителей; профилактика возвратов детей из замещающих семей. Самой распространенной формой устройства в замещающие семьи района остаётся приемная семья. </w:t>
      </w:r>
    </w:p>
    <w:p w:rsidR="001A7DE7" w:rsidRPr="00101131" w:rsidRDefault="00C554FF" w:rsidP="00C554FF">
      <w:pPr>
        <w:ind w:firstLine="709"/>
        <w:jc w:val="both"/>
        <w:rPr>
          <w:color w:val="000000"/>
        </w:rPr>
      </w:pPr>
      <w:r w:rsidRPr="00101131">
        <w:rPr>
          <w:color w:val="000000"/>
        </w:rPr>
        <w:t>По данным на 01.01.202</w:t>
      </w:r>
      <w:r w:rsidR="001A7DE7" w:rsidRPr="00101131">
        <w:rPr>
          <w:color w:val="000000"/>
        </w:rPr>
        <w:t>5</w:t>
      </w:r>
      <w:r w:rsidRPr="00101131">
        <w:rPr>
          <w:color w:val="000000"/>
        </w:rPr>
        <w:t xml:space="preserve"> г. </w:t>
      </w:r>
      <w:r w:rsidR="001A7DE7" w:rsidRPr="00101131">
        <w:rPr>
          <w:color w:val="000000"/>
        </w:rPr>
        <w:t xml:space="preserve">на учёте состоит 30 детей данной категории (4-сирот, 20-ОБПР, 6-без статуса). В районе 6 опекунских семей, 17 приемных семей. В настоящее время замещающим семьям оказываются все необходимые меры государственной поддержки. Так, при всех формах устройства ребенка в семью выплачивается единовременное пособие в размере 39 368, 00, усыновителю в размере 150 000,00 тыс. рублей, что имеет огромное значение для повышения уровня социальной защищенности принимающих семей и создает стимулы для дальнейшего развития семейных форм устройства. </w:t>
      </w:r>
    </w:p>
    <w:p w:rsidR="001A7DE7" w:rsidRPr="00101131" w:rsidRDefault="00C554FF" w:rsidP="001A7DE7">
      <w:pPr>
        <w:ind w:firstLine="709"/>
        <w:jc w:val="both"/>
        <w:rPr>
          <w:color w:val="000000"/>
        </w:rPr>
      </w:pPr>
      <w:r w:rsidRPr="00101131">
        <w:rPr>
          <w:color w:val="000000"/>
        </w:rPr>
        <w:t>За 202</w:t>
      </w:r>
      <w:r w:rsidR="001A7DE7" w:rsidRPr="00101131">
        <w:rPr>
          <w:color w:val="000000"/>
        </w:rPr>
        <w:t>4</w:t>
      </w:r>
      <w:r w:rsidRPr="00101131">
        <w:rPr>
          <w:color w:val="000000"/>
        </w:rPr>
        <w:t xml:space="preserve"> год </w:t>
      </w:r>
      <w:r w:rsidR="001A7DE7" w:rsidRPr="00101131">
        <w:rPr>
          <w:color w:val="000000"/>
        </w:rPr>
        <w:t>в Усть-Большерецком районе органами опеки и попечительства:</w:t>
      </w:r>
    </w:p>
    <w:p w:rsidR="001A7DE7" w:rsidRPr="00101131" w:rsidRDefault="001A7DE7" w:rsidP="001A7DE7">
      <w:pPr>
        <w:ind w:firstLine="709"/>
        <w:jc w:val="both"/>
        <w:rPr>
          <w:color w:val="000000"/>
        </w:rPr>
      </w:pPr>
      <w:r w:rsidRPr="00101131">
        <w:rPr>
          <w:color w:val="000000"/>
        </w:rPr>
        <w:t></w:t>
      </w:r>
      <w:r w:rsidRPr="00101131">
        <w:rPr>
          <w:color w:val="000000"/>
        </w:rPr>
        <w:tab/>
        <w:t xml:space="preserve">выявлен один факт угрозы жизни и здоровью ребёнка и отобрания; </w:t>
      </w:r>
    </w:p>
    <w:p w:rsidR="001A7DE7" w:rsidRPr="00101131" w:rsidRDefault="001A7DE7" w:rsidP="001A7DE7">
      <w:pPr>
        <w:ind w:firstLine="709"/>
        <w:jc w:val="both"/>
        <w:rPr>
          <w:color w:val="000000"/>
        </w:rPr>
      </w:pPr>
      <w:r w:rsidRPr="00101131">
        <w:rPr>
          <w:color w:val="000000"/>
        </w:rPr>
        <w:t></w:t>
      </w:r>
      <w:r w:rsidRPr="00101131">
        <w:rPr>
          <w:color w:val="000000"/>
        </w:rPr>
        <w:tab/>
        <w:t xml:space="preserve"> устроено на воспитание в семьи 3 детей;</w:t>
      </w:r>
    </w:p>
    <w:p w:rsidR="001A7DE7" w:rsidRPr="00101131" w:rsidRDefault="001A7DE7" w:rsidP="001A7DE7">
      <w:pPr>
        <w:ind w:firstLine="709"/>
        <w:jc w:val="both"/>
        <w:rPr>
          <w:color w:val="000000"/>
        </w:rPr>
      </w:pPr>
      <w:r w:rsidRPr="00101131">
        <w:rPr>
          <w:color w:val="000000"/>
        </w:rPr>
        <w:t></w:t>
      </w:r>
      <w:r w:rsidRPr="00101131">
        <w:rPr>
          <w:color w:val="000000"/>
        </w:rPr>
        <w:tab/>
        <w:t>подготовлено 9 постановлений, касающихся защиты прав детей: 5 - об  установлении опеки, 1- об отобрании; 1 - о снятии с опекунского учета, 0 – о назначении ежемесячной выплаты денежных средств,  2 - по защите жилищных прав, 0 - о даче разрешения на изменение имени, фамилии;</w:t>
      </w:r>
    </w:p>
    <w:p w:rsidR="001A7DE7" w:rsidRPr="00101131" w:rsidRDefault="001A7DE7" w:rsidP="001A7DE7">
      <w:pPr>
        <w:ind w:firstLine="709"/>
        <w:jc w:val="both"/>
        <w:rPr>
          <w:color w:val="000000"/>
        </w:rPr>
      </w:pPr>
      <w:r w:rsidRPr="00101131">
        <w:rPr>
          <w:color w:val="000000"/>
        </w:rPr>
        <w:t></w:t>
      </w:r>
      <w:r w:rsidRPr="00101131">
        <w:rPr>
          <w:color w:val="000000"/>
        </w:rPr>
        <w:tab/>
        <w:t>в журнале учёта посетителей зафиксировано 49 обращений, всем гражданам дана консультация, приняты необходимые меры в интересах несовершеннолетних.</w:t>
      </w:r>
    </w:p>
    <w:p w:rsidR="001A7DE7" w:rsidRPr="00101131" w:rsidRDefault="001A7DE7" w:rsidP="001A7DE7">
      <w:pPr>
        <w:ind w:firstLine="709"/>
        <w:jc w:val="both"/>
        <w:rPr>
          <w:color w:val="000000"/>
        </w:rPr>
      </w:pPr>
      <w:r w:rsidRPr="00101131">
        <w:rPr>
          <w:color w:val="000000"/>
        </w:rPr>
        <w:t></w:t>
      </w:r>
      <w:r w:rsidRPr="00101131">
        <w:rPr>
          <w:color w:val="000000"/>
        </w:rPr>
        <w:tab/>
        <w:t>Проведено 109 проверок правомерности права на материнский капитал в части лишения родительских прав граждан, претендующих на него, ограничения в родительских правах, отобрания, отмене усыновления в интересах несовершеннолетних детей и подготовлено 109 ответов в адрес клиентской службы и центра по выплате государственных и социальных пособий Усть-Большерецкого района.</w:t>
      </w:r>
    </w:p>
    <w:p w:rsidR="001A7DE7" w:rsidRPr="00101131" w:rsidRDefault="001A7DE7" w:rsidP="001A7DE7">
      <w:pPr>
        <w:ind w:firstLine="709"/>
        <w:jc w:val="both"/>
        <w:rPr>
          <w:color w:val="000000"/>
        </w:rPr>
      </w:pPr>
      <w:r w:rsidRPr="00101131">
        <w:rPr>
          <w:color w:val="000000"/>
        </w:rPr>
        <w:t>Денежные средства на содержание детей, находящихся под опекой или попечительством, выплачиваются в следующих размерах:</w:t>
      </w:r>
    </w:p>
    <w:p w:rsidR="001A7DE7" w:rsidRPr="00101131" w:rsidRDefault="001A7DE7" w:rsidP="001A7DE7">
      <w:pPr>
        <w:ind w:firstLine="709"/>
        <w:jc w:val="both"/>
        <w:rPr>
          <w:color w:val="000000"/>
        </w:rPr>
      </w:pPr>
      <w:r w:rsidRPr="00101131">
        <w:rPr>
          <w:color w:val="000000"/>
        </w:rPr>
        <w:t>1) на ребенка, не достигшего возраста семи лет, - в размере величины прожиточного минимума для детей, установленной в Камчатском крае в соответствии с Федеральным законом от 24.10.1997 N 134-ФЗ "О прожиточном минимуме в Российской Федерации" на текущий календарный год (далее - величина прожиточного минимума для детей);</w:t>
      </w:r>
    </w:p>
    <w:p w:rsidR="001A7DE7" w:rsidRPr="00101131" w:rsidRDefault="001A7DE7" w:rsidP="001A7DE7">
      <w:pPr>
        <w:ind w:firstLine="709"/>
        <w:jc w:val="both"/>
        <w:rPr>
          <w:color w:val="000000"/>
        </w:rPr>
      </w:pPr>
      <w:r w:rsidRPr="00101131">
        <w:rPr>
          <w:color w:val="000000"/>
        </w:rPr>
        <w:t>2) на ребенка в возрасте от семи до одиннадцати лет - в размере величины прожиточного минимума для детей, увеличенной на коэффициент 1,07;</w:t>
      </w:r>
    </w:p>
    <w:p w:rsidR="001A7DE7" w:rsidRPr="00101131" w:rsidRDefault="001A7DE7" w:rsidP="001A7DE7">
      <w:pPr>
        <w:ind w:firstLine="709"/>
        <w:jc w:val="both"/>
        <w:rPr>
          <w:color w:val="000000"/>
        </w:rPr>
      </w:pPr>
      <w:r w:rsidRPr="00101131">
        <w:rPr>
          <w:color w:val="000000"/>
        </w:rPr>
        <w:t>3) на ребенка в возрасте от одиннадцати до восемнадцати лет - в размере величины прожиточного минимума для детей, увеличенной на коэффициент 1,14.</w:t>
      </w:r>
    </w:p>
    <w:p w:rsidR="007B3B06" w:rsidRPr="00101131" w:rsidRDefault="007B3B06" w:rsidP="001A7DE7">
      <w:pPr>
        <w:ind w:firstLine="709"/>
        <w:jc w:val="center"/>
        <w:rPr>
          <w:b/>
          <w:i/>
        </w:rPr>
      </w:pPr>
      <w:r w:rsidRPr="00101131">
        <w:rPr>
          <w:b/>
          <w:i/>
          <w:lang w:val="en-US"/>
        </w:rPr>
        <w:t>IV</w:t>
      </w:r>
      <w:r w:rsidRPr="00101131">
        <w:rPr>
          <w:b/>
          <w:i/>
        </w:rPr>
        <w:t>. Культура</w:t>
      </w:r>
    </w:p>
    <w:p w:rsidR="007B3B06" w:rsidRPr="00101131" w:rsidRDefault="007B3B06" w:rsidP="001A7DE7">
      <w:pPr>
        <w:spacing w:line="240" w:lineRule="atLeast"/>
        <w:ind w:firstLine="567"/>
        <w:jc w:val="center"/>
        <w:rPr>
          <w:b/>
          <w:i/>
        </w:rPr>
      </w:pPr>
      <w:r w:rsidRPr="00101131">
        <w:rPr>
          <w:b/>
          <w:i/>
        </w:rPr>
        <w:t>Уровень фактической обеспеченности учреждениями культуры от нормативной потребности:</w:t>
      </w:r>
    </w:p>
    <w:p w:rsidR="00423931" w:rsidRPr="00101131" w:rsidRDefault="00423931" w:rsidP="00423931">
      <w:pPr>
        <w:numPr>
          <w:ilvl w:val="0"/>
          <w:numId w:val="2"/>
        </w:numPr>
        <w:spacing w:after="200" w:line="276" w:lineRule="auto"/>
        <w:ind w:left="0" w:firstLine="567"/>
        <w:contextualSpacing/>
        <w:jc w:val="both"/>
      </w:pPr>
      <w:r w:rsidRPr="00101131">
        <w:rPr>
          <w:i/>
          <w:u w:val="single"/>
        </w:rPr>
        <w:t>Клубами и учреждениями клубного типа</w:t>
      </w:r>
      <w:r w:rsidRPr="00101131">
        <w:rPr>
          <w:u w:val="single"/>
        </w:rPr>
        <w:t>.</w:t>
      </w:r>
      <w:r w:rsidRPr="00101131">
        <w:t xml:space="preserve"> На территории Усть-Большерецкого муниципального района осуществляют свою деятельность 6 клубов и учреждений клубного типа. В соответствии с Методикой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РФ от 19 октября 1999 г. № 1683-р уровень фактической обеспеченности клубами и учреждениями клубного типа от нормативной потребности в 2024 году составил 95,8 </w:t>
      </w:r>
    </w:p>
    <w:p w:rsidR="00423931" w:rsidRPr="00101131" w:rsidRDefault="00423931" w:rsidP="00423931">
      <w:pPr>
        <w:numPr>
          <w:ilvl w:val="0"/>
          <w:numId w:val="2"/>
        </w:numPr>
        <w:spacing w:after="200" w:line="276" w:lineRule="auto"/>
        <w:ind w:left="0" w:firstLine="567"/>
        <w:contextualSpacing/>
        <w:jc w:val="both"/>
      </w:pPr>
      <w:r w:rsidRPr="00101131">
        <w:rPr>
          <w:i/>
          <w:u w:val="single"/>
        </w:rPr>
        <w:t>Библиотеками</w:t>
      </w:r>
      <w:r w:rsidRPr="00101131">
        <w:t xml:space="preserve">. В Усть-Большерецком муниципальном районе действует МБУК «Межпоселенческая централизованная библиотечная система», в состав которого </w:t>
      </w:r>
      <w:r w:rsidRPr="00101131">
        <w:lastRenderedPageBreak/>
        <w:t>входит межпоселенческая центральная библиотека в с. Усть-Большерецк, филиал – Детская библиотека в с. Усть-Большерецк, филиалы-библиотеки в с. Апача, с. Кавалерское, с. Запорожье, п. Озерновский, п. Октябрьский. В каждом муниципальном образовании района действует библиотека, поэтому в соответствии с Методикой определения нормативной потребности субъектов Российской Федерации в объектах социальной инфраструктуры, уровень фактической обеспеченности в библиотеках в 2024 году составил 100%.</w:t>
      </w:r>
    </w:p>
    <w:p w:rsidR="00423931" w:rsidRPr="00101131" w:rsidRDefault="00423931" w:rsidP="00423931">
      <w:pPr>
        <w:spacing w:after="200" w:line="276" w:lineRule="auto"/>
        <w:ind w:firstLine="567"/>
        <w:contextualSpacing/>
        <w:jc w:val="both"/>
      </w:pPr>
      <w:r w:rsidRPr="00101131">
        <w:t xml:space="preserve">В 2025-2027 годах сокращение филиалов библиотек в Усть-Большерецком муниципальном районе не планируется. </w:t>
      </w:r>
    </w:p>
    <w:p w:rsidR="00423931" w:rsidRPr="00101131" w:rsidRDefault="00423931" w:rsidP="00423931">
      <w:pPr>
        <w:spacing w:after="200" w:line="276" w:lineRule="auto"/>
        <w:ind w:firstLine="567"/>
        <w:contextualSpacing/>
        <w:jc w:val="both"/>
      </w:pPr>
      <w:r w:rsidRPr="00101131">
        <w:t xml:space="preserve">3. </w:t>
      </w:r>
      <w:r w:rsidRPr="00101131">
        <w:rPr>
          <w:u w:val="single"/>
        </w:rPr>
        <w:t>Парками культуры и отдыха</w:t>
      </w:r>
      <w:r w:rsidRPr="00101131">
        <w:t>. В Усть-Большерецком муниципальном районе отсутствуют парки культуры и отдыха и строительство их не планируется.</w:t>
      </w:r>
    </w:p>
    <w:p w:rsidR="00423931" w:rsidRPr="00101131" w:rsidRDefault="00423931" w:rsidP="00423931">
      <w:pPr>
        <w:spacing w:after="200" w:line="276" w:lineRule="auto"/>
        <w:ind w:firstLine="567"/>
        <w:contextualSpacing/>
        <w:jc w:val="both"/>
      </w:pPr>
      <w:r w:rsidRPr="00101131">
        <w:t>Доля муниципальных учреждений культуры, здания, которые находятся в аварийном состоянии или требуют капитального ремонта, в общем количестве муниципальных учреждений культуры:</w:t>
      </w:r>
    </w:p>
    <w:p w:rsidR="00423931" w:rsidRPr="00101131" w:rsidRDefault="00423931" w:rsidP="00423931">
      <w:pPr>
        <w:spacing w:after="200" w:line="276" w:lineRule="auto"/>
        <w:ind w:firstLine="567"/>
        <w:contextualSpacing/>
        <w:jc w:val="both"/>
        <w:rPr>
          <w:b/>
          <w:i/>
        </w:rPr>
      </w:pPr>
      <w:r w:rsidRPr="00101131">
        <w:t>Данные о зданиях, которые находятся в аварийном состоянии или требуют капитального ремонта обобщаются на основании федеральных статистических наблюдений: форма-7 НК «Сведения об организации культурно-досугового типа», форма 6-НК «Свод годовых сведений об общедоступных (публичных) библиотеках», форма 8-НК «Сведения о деятельности музея», форма № 1-ДМШ «Сведения о детской музыкальной школе и школе искусств».</w:t>
      </w:r>
    </w:p>
    <w:p w:rsidR="00423931" w:rsidRPr="00101131" w:rsidRDefault="00423931" w:rsidP="00423931">
      <w:pPr>
        <w:spacing w:after="200" w:line="276" w:lineRule="auto"/>
        <w:ind w:firstLine="567"/>
        <w:contextualSpacing/>
        <w:jc w:val="both"/>
        <w:rPr>
          <w:b/>
          <w:i/>
        </w:rPr>
      </w:pPr>
      <w:r w:rsidRPr="00101131">
        <w:t xml:space="preserve">Доля, требующих ремонт зданий учреждений культуры в 2024 году составила 27,2 %. </w:t>
      </w:r>
    </w:p>
    <w:p w:rsidR="00423931" w:rsidRPr="00101131" w:rsidRDefault="00423931" w:rsidP="00423931">
      <w:pPr>
        <w:spacing w:after="200" w:line="276" w:lineRule="auto"/>
        <w:ind w:firstLine="567"/>
        <w:contextualSpacing/>
        <w:jc w:val="both"/>
      </w:pPr>
      <w:r w:rsidRPr="00101131">
        <w:t>В Усть-Большерецком муниципальном районе отсутствуют объекты культурного наследия, находящиеся в муниципальной собственности и требующие консервации или реставрации.</w:t>
      </w:r>
    </w:p>
    <w:p w:rsidR="00423931" w:rsidRPr="00101131" w:rsidRDefault="00423931" w:rsidP="00423931">
      <w:pPr>
        <w:ind w:firstLine="567"/>
        <w:jc w:val="center"/>
        <w:rPr>
          <w:b/>
          <w:i/>
        </w:rPr>
      </w:pPr>
      <w:r w:rsidRPr="00101131">
        <w:rPr>
          <w:b/>
          <w:i/>
          <w:lang w:val="en-US"/>
        </w:rPr>
        <w:t>V</w:t>
      </w:r>
      <w:r w:rsidRPr="00101131">
        <w:rPr>
          <w:b/>
          <w:i/>
        </w:rPr>
        <w:t>. Физическая культура и спорт</w:t>
      </w:r>
    </w:p>
    <w:p w:rsidR="00423931" w:rsidRPr="00101131" w:rsidRDefault="00423931" w:rsidP="00423931">
      <w:pPr>
        <w:ind w:firstLine="708"/>
        <w:jc w:val="both"/>
      </w:pPr>
      <w:r w:rsidRPr="00101131">
        <w:t xml:space="preserve">В 2024 году количество систематически занимающихся физической культурой и спортом составило 3740 человек, что составило 69,4% от среднегодовой численности постоянного населения. </w:t>
      </w:r>
    </w:p>
    <w:p w:rsidR="00423931" w:rsidRPr="00101131" w:rsidRDefault="00423931" w:rsidP="00423931"/>
    <w:p w:rsidR="007B3B06" w:rsidRPr="00101131" w:rsidRDefault="007B3B06" w:rsidP="007B3B06"/>
    <w:p w:rsidR="000E102D" w:rsidRPr="00101131" w:rsidRDefault="000E102D" w:rsidP="000E102D">
      <w:pPr>
        <w:spacing w:line="240" w:lineRule="atLeast"/>
        <w:ind w:firstLine="567"/>
        <w:jc w:val="center"/>
        <w:rPr>
          <w:b/>
          <w:i/>
        </w:rPr>
      </w:pPr>
      <w:r w:rsidRPr="00101131">
        <w:rPr>
          <w:b/>
          <w:i/>
          <w:lang w:val="en-US"/>
        </w:rPr>
        <w:t>VI</w:t>
      </w:r>
      <w:r w:rsidRPr="00101131">
        <w:rPr>
          <w:b/>
          <w:i/>
        </w:rPr>
        <w:t>.    Жилищное строительство и обеспечение граждан жильем</w:t>
      </w:r>
    </w:p>
    <w:p w:rsidR="000E102D" w:rsidRPr="00101131" w:rsidRDefault="000E102D" w:rsidP="000E102D">
      <w:pPr>
        <w:spacing w:line="240" w:lineRule="atLeast"/>
        <w:ind w:firstLine="567"/>
        <w:jc w:val="both"/>
      </w:pPr>
      <w:r w:rsidRPr="00101131">
        <w:t xml:space="preserve">Общая площадь жилых помещений, приходящаяся в среднем на одного жителя Усть-Большерецкого муниципального района, составляет 31,18 кв. метров, что на 1,51 кв. метр меньше чем в 2023 году. </w:t>
      </w:r>
    </w:p>
    <w:p w:rsidR="000E102D" w:rsidRPr="00101131" w:rsidRDefault="000E102D" w:rsidP="000E102D">
      <w:pPr>
        <w:spacing w:line="240" w:lineRule="atLeast"/>
        <w:ind w:firstLine="567"/>
        <w:jc w:val="both"/>
      </w:pPr>
    </w:p>
    <w:p w:rsidR="000E102D" w:rsidRPr="00101131" w:rsidRDefault="000E102D" w:rsidP="000E102D">
      <w:pPr>
        <w:tabs>
          <w:tab w:val="left" w:pos="4103"/>
        </w:tabs>
        <w:spacing w:line="240" w:lineRule="atLeast"/>
        <w:ind w:firstLine="567"/>
        <w:jc w:val="center"/>
        <w:rPr>
          <w:b/>
          <w:i/>
        </w:rPr>
      </w:pPr>
      <w:r w:rsidRPr="00101131">
        <w:rPr>
          <w:b/>
          <w:i/>
          <w:lang w:val="en-US"/>
        </w:rPr>
        <w:t>VII</w:t>
      </w:r>
      <w:r w:rsidRPr="00101131">
        <w:rPr>
          <w:b/>
          <w:i/>
        </w:rPr>
        <w:t>.   Жилищно-коммунальное хозяйство</w:t>
      </w:r>
    </w:p>
    <w:p w:rsidR="000E102D" w:rsidRPr="00101131" w:rsidRDefault="000E102D" w:rsidP="000E102D">
      <w:pPr>
        <w:spacing w:line="240" w:lineRule="atLeast"/>
        <w:ind w:firstLine="567"/>
        <w:jc w:val="both"/>
      </w:pPr>
      <w:r w:rsidRPr="00101131">
        <w:t>Стабильно и бесперебойно в отчетном году население района обеспечивалось коммунальными услугами. В поселениях на объектах энергетики и инженерных коммуникациях не было крупных аварий, повлекших нарушение жизнеобеспечения какого-либо населенного пункта. Имевшие же место аварии устранялись оперативно и в нормативные сроки.</w:t>
      </w:r>
    </w:p>
    <w:p w:rsidR="000E102D" w:rsidRPr="00101131" w:rsidRDefault="000E102D" w:rsidP="000E102D">
      <w:pPr>
        <w:spacing w:line="240" w:lineRule="atLeast"/>
        <w:ind w:firstLine="567"/>
        <w:jc w:val="both"/>
      </w:pPr>
      <w:r w:rsidRPr="00101131">
        <w:t xml:space="preserve">С целью организации обеспечения надежного теплоснабжения потребителей на территориях поселений Усть-Большерецкого муниципального района, Администрацией Усть-Большерецкого муниципального района заключены соглашения с 4-мя поселениями Усть-Большерецкого муниципального района (Апачинское, Кавалерское, Усть-Большерецкое сельские поселения, Октябрьское городское поселение) о передаче полномочий по организации в границах поселении теплоснабжения Усть-Большерецкому </w:t>
      </w:r>
      <w:r w:rsidRPr="00101131">
        <w:lastRenderedPageBreak/>
        <w:t>муниципальному району. В Запорожском сельском поселении обеспечением теплоснабжением потребителей на территории поселения занимается АО «Тепло Земли».</w:t>
      </w:r>
    </w:p>
    <w:p w:rsidR="000E102D" w:rsidRPr="00101131" w:rsidRDefault="000E102D" w:rsidP="000E102D">
      <w:pPr>
        <w:spacing w:line="240" w:lineRule="atLeast"/>
        <w:ind w:firstLine="567"/>
        <w:jc w:val="both"/>
      </w:pPr>
      <w:r w:rsidRPr="00101131">
        <w:t>В соответствии с Планом мероприятий по подготовке к зиме 2024-20265 гг. объектов жилфонда в 2024 году произведены работы по обследованию и текущему ремонту внутридомовых инженерных систем 75 многоквартирных домов общей площадью 97,685 тыс. кв. м. за счет средств управляющих компаний на общую сумму 3 541,510 тыс. рублей.</w:t>
      </w:r>
    </w:p>
    <w:p w:rsidR="000E102D" w:rsidRPr="00101131" w:rsidRDefault="000E102D" w:rsidP="000E102D">
      <w:pPr>
        <w:spacing w:line="240" w:lineRule="atLeast"/>
        <w:ind w:firstLine="567"/>
        <w:jc w:val="both"/>
      </w:pPr>
      <w:r w:rsidRPr="00101131">
        <w:t>В соответствии с Планом мероприятий по подготовке к зиме 2024-2025 гг. объектов жилищно-коммунального хозяйства в 2024 году во всех поселениях района проведено обследование, профилактика и ремонт водозаборов, водопроводных сетей, водонасосных станций, канализационных сетей, канализационных насосных станций.</w:t>
      </w:r>
    </w:p>
    <w:p w:rsidR="000E102D" w:rsidRPr="00101131" w:rsidRDefault="000E102D" w:rsidP="000E102D">
      <w:pPr>
        <w:spacing w:line="240" w:lineRule="atLeast"/>
        <w:ind w:firstLine="567"/>
        <w:jc w:val="both"/>
      </w:pPr>
      <w:r w:rsidRPr="00101131">
        <w:t>Теплоснабжающими организациями Усть-Большерецкого муниципального района является АО «Камчатэнергосервис» и АО «Тепло Земли». Указанными организациями отопительный период проводится без срывов, запас топлива на котельных сформирован в полном объеме. Платежи населения поступают непосредственно в кассы АО «Камчатэнергосервис», что положительно влияет на своевременное проведение необходимых ремонтов и поставки топлива.</w:t>
      </w:r>
    </w:p>
    <w:p w:rsidR="000E102D" w:rsidRPr="00101131" w:rsidRDefault="000E102D" w:rsidP="000E102D">
      <w:pPr>
        <w:spacing w:line="240" w:lineRule="atLeast"/>
        <w:ind w:firstLine="567"/>
        <w:jc w:val="both"/>
      </w:pPr>
      <w:r w:rsidRPr="00101131">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96,76 % и в сравнение с предыдущим годом данный показатель увеличился на 66,96 %.</w:t>
      </w:r>
    </w:p>
    <w:p w:rsidR="000E102D" w:rsidRPr="00101131" w:rsidRDefault="000E102D" w:rsidP="000E102D">
      <w:pPr>
        <w:spacing w:line="240" w:lineRule="atLeast"/>
        <w:ind w:firstLine="567"/>
        <w:jc w:val="both"/>
      </w:pPr>
      <w:r w:rsidRPr="00101131">
        <w:t xml:space="preserve">Доля организаций коммунального комплекса, осуществляющих производство товаров, оказание услуг по водо-, тепло-,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муниципального района составляет 75 % и в сравнение с предыдущим годом данный показатель увеличился на 5,8%. </w:t>
      </w:r>
    </w:p>
    <w:p w:rsidR="000E102D" w:rsidRPr="00101131" w:rsidRDefault="000E102D" w:rsidP="000E102D">
      <w:pPr>
        <w:spacing w:line="240" w:lineRule="atLeast"/>
        <w:ind w:firstLine="567"/>
        <w:jc w:val="both"/>
      </w:pPr>
      <w:r w:rsidRPr="00101131">
        <w:t>Доля населения, получившего жилые помещения и улучившего жилищные условия в отчетном году, в общей численности населения, состоящего на учете в качестве нуждающегося в жилых помещениях, согласно информации, полученной от администраций поселений Усть-Большерецкого муниципального района, в 2024 году составила 40 % и данный показатель увеличился на 18% в сравнении с 2023 годом.</w:t>
      </w:r>
    </w:p>
    <w:p w:rsidR="000E102D" w:rsidRPr="00101131" w:rsidRDefault="000E102D" w:rsidP="000E102D">
      <w:pPr>
        <w:spacing w:line="240" w:lineRule="atLeast"/>
        <w:ind w:firstLine="567"/>
        <w:jc w:val="both"/>
      </w:pPr>
      <w:r w:rsidRPr="00101131">
        <w:t>Удельная величина потребления энергетических ресурсов в многоквартирных домах и муниципальных бюджетных учреждениях имеет не значительные колебания в сторону уменьшения, по некоторым позициям в сторону увеличения, потребления энергетических ресурсов.</w:t>
      </w:r>
    </w:p>
    <w:p w:rsidR="00A9720F" w:rsidRPr="00101131" w:rsidRDefault="009910DC" w:rsidP="00CE3203">
      <w:pPr>
        <w:spacing w:line="240" w:lineRule="atLeast"/>
        <w:ind w:firstLine="567"/>
        <w:jc w:val="center"/>
        <w:rPr>
          <w:b/>
          <w:i/>
        </w:rPr>
      </w:pPr>
      <w:r w:rsidRPr="00101131">
        <w:rPr>
          <w:b/>
          <w:i/>
          <w:lang w:val="en-US"/>
        </w:rPr>
        <w:t>VIII</w:t>
      </w:r>
      <w:r w:rsidR="00C87E15" w:rsidRPr="00101131">
        <w:rPr>
          <w:b/>
          <w:i/>
        </w:rPr>
        <w:t xml:space="preserve">. </w:t>
      </w:r>
      <w:r w:rsidR="006C62E3" w:rsidRPr="00101131">
        <w:rPr>
          <w:b/>
          <w:i/>
        </w:rPr>
        <w:t>Организация муниципального управления</w:t>
      </w:r>
    </w:p>
    <w:p w:rsidR="007151D0" w:rsidRPr="00101131" w:rsidRDefault="007151D0" w:rsidP="007151D0">
      <w:pPr>
        <w:ind w:firstLine="567"/>
        <w:jc w:val="center"/>
        <w:rPr>
          <w:b/>
        </w:rPr>
      </w:pPr>
      <w:r w:rsidRPr="00101131">
        <w:rPr>
          <w:b/>
        </w:rPr>
        <w:t>Организация муниципального управления</w:t>
      </w:r>
    </w:p>
    <w:p w:rsidR="007151D0" w:rsidRPr="00101131" w:rsidRDefault="007151D0" w:rsidP="007151D0">
      <w:pPr>
        <w:ind w:firstLine="567"/>
        <w:jc w:val="center"/>
      </w:pPr>
    </w:p>
    <w:p w:rsidR="00C774FE" w:rsidRPr="00101131" w:rsidRDefault="00C774FE" w:rsidP="00C774FE">
      <w:pPr>
        <w:spacing w:line="240" w:lineRule="atLeast"/>
        <w:ind w:firstLine="567"/>
        <w:jc w:val="both"/>
      </w:pPr>
      <w:r w:rsidRPr="00101131">
        <w:t>Основные направления бюджетной политики Усть-Большерецкого муниципального района на 2024 год и на плановый период 2025 и 2026 годов разработаны в целях формирования основы для составления проекта местного бюджета.</w:t>
      </w:r>
    </w:p>
    <w:p w:rsidR="00C774FE" w:rsidRPr="00101131" w:rsidRDefault="00C774FE" w:rsidP="00C774FE">
      <w:pPr>
        <w:spacing w:line="240" w:lineRule="atLeast"/>
        <w:ind w:firstLine="567"/>
        <w:jc w:val="both"/>
      </w:pPr>
      <w:r w:rsidRPr="00101131">
        <w:tab/>
        <w:t>Бюджетная политика Усть-Большерецкого муниципального района на 2024 год и на плановый период 2025 и 2026 годов:</w:t>
      </w:r>
    </w:p>
    <w:p w:rsidR="00C774FE" w:rsidRPr="00101131" w:rsidRDefault="00C774FE" w:rsidP="00C774FE">
      <w:pPr>
        <w:spacing w:line="240" w:lineRule="atLeast"/>
        <w:ind w:firstLine="567"/>
        <w:jc w:val="both"/>
      </w:pPr>
      <w:r w:rsidRPr="00101131">
        <w:tab/>
        <w:t>- ориентирована на положения основных направлений бюджетной политики Российской Федерации и бюджетной политики Камчатского края на соответствующий период;</w:t>
      </w:r>
    </w:p>
    <w:p w:rsidR="00C774FE" w:rsidRPr="00101131" w:rsidRDefault="00C774FE" w:rsidP="00C774FE">
      <w:pPr>
        <w:spacing w:line="240" w:lineRule="atLeast"/>
        <w:ind w:firstLine="567"/>
        <w:jc w:val="both"/>
      </w:pPr>
      <w:r w:rsidRPr="00101131">
        <w:tab/>
        <w:t xml:space="preserve">- нацелена на сохранение социальной и экономической стабильности Усть-Большерецкого муниципального района, безусловное исполнение в полном объеме </w:t>
      </w:r>
      <w:r w:rsidRPr="00101131">
        <w:lastRenderedPageBreak/>
        <w:t>приоритетных действующих расходных обязательств Усть-Большерецкого муниципального района.</w:t>
      </w:r>
    </w:p>
    <w:p w:rsidR="00C774FE" w:rsidRPr="00101131" w:rsidRDefault="00C774FE" w:rsidP="00C774FE">
      <w:pPr>
        <w:spacing w:line="240" w:lineRule="atLeast"/>
        <w:ind w:firstLine="567"/>
        <w:jc w:val="both"/>
      </w:pPr>
      <w:r w:rsidRPr="00101131">
        <w:tab/>
        <w:t>Основная задача бюджетной политики – обеспечение долгосрочной сбалансированности и устойчивости бюджетной системы в Усть-Большерецком муниципальном районе как базового принципа ответственной бюджетной политики и выполнение задач, поставленных в указах и поручениях Президента Российской Федерации, правительства Российской Федерации, Губернатора Камчатского края, Правительства Камчатского края. Исходя из этого, планирование бюджетных ассигнований, как и прежде, следует осуществлять с учетом необходимости безусловного исполнения действующих расходных обязательств, главным образом, законодательно установленных публично-нормативных и иных социально-значимых обязательств. При формировании бюджета принимаемых обязательств необходимо расставлять приоритеты расходов с учетом реальных возможностей бюджета. При выполнении мероприятий, определенных указами и поручениями Президента Российской Федерации, правительства Российской Федерации, Губернатора Камчатского края, Правительства Камчатского края, необходимо в пределах доведенного финансового обеспечения реализации отраслевых муниципальных программ Усть-Большерецкого муниципального района в полной мере задействовать внутренние резервы главных распорядителей бюджетных средств и подведомственных им учреждений, в частности отменять реализацию неэффективных мероприятий, реализовывать мероприятия по оптимизации численности работающих, повышению эффективности использования находящегося в их распоряжении имущества, привлечению дополнительных средств от оказания платных услуг. Главная задача главных распорядителей бюджетных средств на трехлетний период – активная оптимизация расходов в пределах ведомственного бюджета, перераспределение ресурсов от низкоэффективных подпрограмм и мероприятий в пользу отраслевых приоритетов.</w:t>
      </w:r>
    </w:p>
    <w:p w:rsidR="00C774FE" w:rsidRPr="00101131" w:rsidRDefault="00C774FE" w:rsidP="00C774FE">
      <w:pPr>
        <w:spacing w:line="240" w:lineRule="atLeast"/>
        <w:ind w:firstLine="567"/>
        <w:jc w:val="both"/>
      </w:pPr>
      <w:r w:rsidRPr="00101131">
        <w:t>Доходная часть местного бюджета в 2024 году формировалась за счет налоговых и неналоговых доходов, безвозмездных поступлений и ее объем на 01.01.2025 год составил 1 603 969,56 тыс. рублей или 98,3 % от плановых (прогнозных) назначений 2024 года.</w:t>
      </w:r>
    </w:p>
    <w:p w:rsidR="00C774FE" w:rsidRPr="00101131" w:rsidRDefault="00C774FE" w:rsidP="00C774FE">
      <w:pPr>
        <w:spacing w:line="240" w:lineRule="atLeast"/>
        <w:ind w:firstLine="567"/>
        <w:jc w:val="both"/>
      </w:pPr>
      <w:r w:rsidRPr="00101131">
        <w:t>Поступления налоговых и неналоговых доходов за 2024 год составили 660 546,07 тыс. рублей или 97,4 % от плановых (прогнозных) назначений 2024 года. Удельный вес налоговых и неналоговых доходов в общем объеме доходов составил 41,2 %.</w:t>
      </w:r>
    </w:p>
    <w:p w:rsidR="00C774FE" w:rsidRPr="00101131" w:rsidRDefault="00C774FE" w:rsidP="00C774FE">
      <w:pPr>
        <w:spacing w:line="240" w:lineRule="atLeast"/>
        <w:ind w:firstLine="567"/>
        <w:jc w:val="both"/>
      </w:pPr>
      <w:r w:rsidRPr="00101131">
        <w:t xml:space="preserve">Поступления налоговых доходов в 2024 году составили 615 038,85 тыс. рублей или 96,7 % от годовых плановых (прогнозных) назначений. Удельный вес налоговых доходов в общем объеме доходов составил 38,3 %. </w:t>
      </w:r>
    </w:p>
    <w:p w:rsidR="00C774FE" w:rsidRPr="00101131" w:rsidRDefault="00C774FE" w:rsidP="00C774FE">
      <w:pPr>
        <w:spacing w:line="240" w:lineRule="atLeast"/>
        <w:ind w:firstLine="567"/>
        <w:jc w:val="both"/>
      </w:pPr>
      <w:r w:rsidRPr="00101131">
        <w:t>За 2023 год поступления налоговых доходов составили 575 532,20 тыс. рублей или 89,5 % от годовых плановых (прогнозных) назначений. Удельный вес налоговых доходов в общем объеме доходов составил 39,4 %.</w:t>
      </w:r>
    </w:p>
    <w:p w:rsidR="00C774FE" w:rsidRPr="00101131" w:rsidRDefault="00C774FE" w:rsidP="00C774FE">
      <w:pPr>
        <w:spacing w:line="240" w:lineRule="atLeast"/>
        <w:ind w:firstLine="567"/>
        <w:jc w:val="both"/>
      </w:pPr>
      <w:r w:rsidRPr="00101131">
        <w:t>В целом, поступления налоговых доходов по сравнению с 2023 годом увеличилось на 39 506,65 тыс. рублей или 6,4 %.</w:t>
      </w:r>
    </w:p>
    <w:p w:rsidR="00C774FE" w:rsidRPr="00101131" w:rsidRDefault="00C774FE" w:rsidP="00C774FE">
      <w:pPr>
        <w:spacing w:line="240" w:lineRule="atLeast"/>
        <w:ind w:firstLine="567"/>
        <w:jc w:val="both"/>
      </w:pPr>
      <w:r w:rsidRPr="00101131">
        <w:t>В 2024 год по сравнению с 2023 годом произошло снижение только по единому сельскохозяйственному налогу в сумме 6 895,18574 тыс. рублей. За 2024 год поступления по единому сельскохозяйственному налогу сократились по сравнению с 2023 годом на 8,1%. Уменьшение связано со снижением уплаты налога предприятиями рыбной отрасли, осуществляющих деятельность на территории Усть-Большерецкого муниципального района. По остальным видам налоговых и неналоговых доходов существует прирост поступлений, в том числе по:</w:t>
      </w:r>
    </w:p>
    <w:p w:rsidR="00C774FE" w:rsidRPr="00101131" w:rsidRDefault="00C774FE" w:rsidP="00C774FE">
      <w:pPr>
        <w:spacing w:line="240" w:lineRule="atLeast"/>
        <w:ind w:firstLine="567"/>
        <w:jc w:val="both"/>
      </w:pPr>
      <w:r w:rsidRPr="00101131">
        <w:t>- Налогу на прибыль в связи с изменениями в Бюджетный кодекс Российской Федерации, в отношении межбюджетного распределения, с 2024 года налог 100% зачисляется в бюджет края +12 271,47758 тыс. рублей по сравнению с 2023 годом);</w:t>
      </w:r>
    </w:p>
    <w:p w:rsidR="00C774FE" w:rsidRPr="00101131" w:rsidRDefault="00C774FE" w:rsidP="00C774FE">
      <w:pPr>
        <w:spacing w:line="240" w:lineRule="atLeast"/>
        <w:ind w:firstLine="567"/>
        <w:jc w:val="both"/>
      </w:pPr>
      <w:r w:rsidRPr="00101131">
        <w:t>- Налогу на доходы физических лиц снижение на 17 704,73712 тыс. рублей из-за увеличения размера выплачиваемых дивидендов за 2024 год предприятиями рыбохозяйственного комплекса;</w:t>
      </w:r>
    </w:p>
    <w:p w:rsidR="00C774FE" w:rsidRPr="00101131" w:rsidRDefault="00C774FE" w:rsidP="00C774FE">
      <w:pPr>
        <w:spacing w:line="240" w:lineRule="atLeast"/>
        <w:ind w:firstLine="567"/>
        <w:jc w:val="both"/>
      </w:pPr>
      <w:r w:rsidRPr="00101131">
        <w:lastRenderedPageBreak/>
        <w:t>- Земельному налогу в связи проведением переоценки земельных участков в связи вступлением в силу приказа Министерства имущественных и земельных отношений Камчатского края от 26.10.2022 № П-39, в сумме 317,795800 тыс. рублей;</w:t>
      </w:r>
    </w:p>
    <w:p w:rsidR="00C774FE" w:rsidRPr="00101131" w:rsidRDefault="00C774FE" w:rsidP="00C774FE">
      <w:pPr>
        <w:spacing w:line="240" w:lineRule="atLeast"/>
        <w:ind w:firstLine="567"/>
        <w:jc w:val="both"/>
      </w:pPr>
      <w:r w:rsidRPr="00101131">
        <w:t>- Налогу на имущество организаций на 2 004,12908 тыс. рублей обусловлено переоценкой кадастровой стоимости объектов и постановкой на учет новых объектов;</w:t>
      </w:r>
    </w:p>
    <w:p w:rsidR="00C774FE" w:rsidRPr="00101131" w:rsidRDefault="00C774FE" w:rsidP="00C774FE">
      <w:pPr>
        <w:spacing w:line="240" w:lineRule="atLeast"/>
        <w:ind w:firstLine="567"/>
        <w:jc w:val="both"/>
      </w:pPr>
      <w:r w:rsidRPr="00101131">
        <w:t>- Налогу, взимаемому в связи с применением упрощенной системы налогообложения поступления к уровню прошлого года, выросли на 10 530,59255 тыс. рублей, что обусловлено ростом дохода по отдельным налогоплательщикам;</w:t>
      </w:r>
    </w:p>
    <w:p w:rsidR="00C774FE" w:rsidRPr="00101131" w:rsidRDefault="00C774FE" w:rsidP="00C774FE">
      <w:pPr>
        <w:spacing w:line="240" w:lineRule="atLeast"/>
        <w:ind w:firstLine="567"/>
        <w:jc w:val="both"/>
      </w:pPr>
      <w:r w:rsidRPr="00101131">
        <w:t>- Доходам от использования имущества, находящегося в муниципальной собственности на 3 207,47674 тыс. рублей в связи с проведением оценки рыночной стоимости арендной платы и поступлением задолженности арендаторов за периоды прошлых лет;</w:t>
      </w:r>
    </w:p>
    <w:p w:rsidR="00C774FE" w:rsidRPr="00101131" w:rsidRDefault="00C774FE" w:rsidP="00C774FE">
      <w:pPr>
        <w:spacing w:line="240" w:lineRule="atLeast"/>
        <w:ind w:firstLine="567"/>
        <w:jc w:val="both"/>
      </w:pPr>
      <w:r w:rsidRPr="00101131">
        <w:t>- Доходам от продажи земельных участков на 3 230,95606 тыс. рублей, в связи с увеличением количества заключенных договоров купли-продажи земельных участков.</w:t>
      </w:r>
    </w:p>
    <w:p w:rsidR="00C774FE" w:rsidRPr="00101131" w:rsidRDefault="00C774FE" w:rsidP="00C774FE">
      <w:pPr>
        <w:spacing w:line="240" w:lineRule="atLeast"/>
        <w:ind w:firstLine="567"/>
        <w:jc w:val="both"/>
      </w:pPr>
      <w:r w:rsidRPr="00101131">
        <w:t>Основная доля налоговых поступлений в 2024 году обеспечена:</w:t>
      </w:r>
    </w:p>
    <w:p w:rsidR="00C774FE" w:rsidRPr="00101131" w:rsidRDefault="00C774FE" w:rsidP="00C774FE">
      <w:pPr>
        <w:spacing w:line="240" w:lineRule="atLeast"/>
        <w:ind w:firstLine="567"/>
        <w:jc w:val="both"/>
      </w:pPr>
      <w:r w:rsidRPr="00101131">
        <w:t>- налогом на доходы физических лиц в сумме 429 956,91602 тыс. рублей или 69,9 % от общего объема налоговых доходов;</w:t>
      </w:r>
    </w:p>
    <w:p w:rsidR="00C774FE" w:rsidRPr="00101131" w:rsidRDefault="00C774FE" w:rsidP="00C774FE">
      <w:pPr>
        <w:spacing w:line="240" w:lineRule="atLeast"/>
        <w:ind w:firstLine="567"/>
        <w:jc w:val="both"/>
      </w:pPr>
      <w:r w:rsidRPr="00101131">
        <w:t>- единым сельскохозяйственным налогом в сумме 78 679,46749 тыс. рублей или 12,8 % от общего объема налоговых доходов.</w:t>
      </w:r>
    </w:p>
    <w:p w:rsidR="00C774FE" w:rsidRPr="00101131" w:rsidRDefault="00C774FE" w:rsidP="00C774FE">
      <w:pPr>
        <w:autoSpaceDE w:val="0"/>
        <w:autoSpaceDN w:val="0"/>
        <w:adjustRightInd w:val="0"/>
        <w:ind w:firstLine="720"/>
        <w:contextualSpacing/>
        <w:jc w:val="both"/>
      </w:pPr>
      <w:r w:rsidRPr="00101131">
        <w:rPr>
          <w:b/>
          <w:sz w:val="26"/>
          <w:szCs w:val="26"/>
        </w:rPr>
        <w:t>Неналоговые доходы</w:t>
      </w:r>
      <w:r w:rsidRPr="00101131">
        <w:rPr>
          <w:sz w:val="26"/>
          <w:szCs w:val="26"/>
        </w:rPr>
        <w:t xml:space="preserve"> </w:t>
      </w:r>
      <w:r w:rsidRPr="00101131">
        <w:t>поступили выше прогноза на 3 287,70 тыс. рублей (на 7,8%) и составили 45 507,20 тыс. рублей или 107,8% годовых плановых назначений. Удельный вес в общем объеме поступлений составляет 2,8%.</w:t>
      </w:r>
    </w:p>
    <w:p w:rsidR="00C774FE" w:rsidRPr="00101131" w:rsidRDefault="00C774FE" w:rsidP="00C774FE">
      <w:pPr>
        <w:autoSpaceDE w:val="0"/>
        <w:autoSpaceDN w:val="0"/>
        <w:adjustRightInd w:val="0"/>
        <w:ind w:firstLine="720"/>
        <w:contextualSpacing/>
        <w:jc w:val="both"/>
      </w:pPr>
      <w:r w:rsidRPr="00101131">
        <w:t>За 2023 год поступления в местный бюджет неналоговых доходов составили 36 291,71 тыс. рублей или 105,1 % от годовых плановых назначений.</w:t>
      </w:r>
    </w:p>
    <w:p w:rsidR="00C774FE" w:rsidRPr="00101131" w:rsidRDefault="00C774FE" w:rsidP="00C774FE">
      <w:pPr>
        <w:autoSpaceDE w:val="0"/>
        <w:autoSpaceDN w:val="0"/>
        <w:adjustRightInd w:val="0"/>
        <w:ind w:firstLine="720"/>
        <w:contextualSpacing/>
        <w:jc w:val="both"/>
      </w:pPr>
      <w:r w:rsidRPr="00101131">
        <w:t>Основную долю неналоговых доходов составляют доходы от использования имущества, находящегося в государственной и муниципальной собственности в сумме 29 633,86 тыс. рублей или 65,1% от общего объема неналоговых доходов. Исполнение составило 108,9 % от утвержденных бюджетных назначений. По сравнению с 2023 годом поступление доходов от имущества, находящегося государственной и муниципальной собственности увеличились на 3 207,47 тыс. рублей из них:</w:t>
      </w:r>
    </w:p>
    <w:p w:rsidR="00C774FE" w:rsidRPr="00101131" w:rsidRDefault="00C774FE" w:rsidP="00C774FE">
      <w:pPr>
        <w:autoSpaceDE w:val="0"/>
        <w:autoSpaceDN w:val="0"/>
        <w:adjustRightInd w:val="0"/>
        <w:ind w:firstLine="720"/>
        <w:contextualSpacing/>
        <w:jc w:val="both"/>
      </w:pPr>
      <w:r w:rsidRPr="00101131">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увеличились на 8 638,62 тыс. рублей, или на 47,5% и составили 16 458,50 тыс. рублей;</w:t>
      </w:r>
    </w:p>
    <w:p w:rsidR="00C774FE" w:rsidRPr="00101131" w:rsidRDefault="00C774FE" w:rsidP="00C774FE">
      <w:pPr>
        <w:autoSpaceDE w:val="0"/>
        <w:autoSpaceDN w:val="0"/>
        <w:adjustRightInd w:val="0"/>
        <w:ind w:firstLine="720"/>
        <w:contextualSpacing/>
        <w:jc w:val="both"/>
      </w:pPr>
      <w:r w:rsidRPr="00101131">
        <w:t>- доходы, полученные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уменьшились на 466,6 тыс. рублей, или на 6,8 % и составили 6 385,93 тыс. рублей.</w:t>
      </w:r>
    </w:p>
    <w:p w:rsidR="00C774FE" w:rsidRPr="00101131" w:rsidRDefault="00C774FE" w:rsidP="00C774FE">
      <w:pPr>
        <w:autoSpaceDE w:val="0"/>
        <w:autoSpaceDN w:val="0"/>
        <w:adjustRightInd w:val="0"/>
        <w:ind w:firstLine="720"/>
        <w:contextualSpacing/>
        <w:jc w:val="both"/>
      </w:pPr>
      <w:r w:rsidRPr="00101131">
        <w:t>В отчетном году по сравнению с предыдущим годом увеличились поступления в бюджет по платежам при пользовании природными ресурсами на 1 771,54 тыс. рублей.</w:t>
      </w:r>
    </w:p>
    <w:p w:rsidR="00C774FE" w:rsidRPr="00101131" w:rsidRDefault="00C774FE" w:rsidP="00C774FE">
      <w:pPr>
        <w:autoSpaceDE w:val="0"/>
        <w:autoSpaceDN w:val="0"/>
        <w:adjustRightInd w:val="0"/>
        <w:ind w:firstLine="720"/>
        <w:contextualSpacing/>
        <w:jc w:val="both"/>
      </w:pPr>
      <w:r w:rsidRPr="00101131">
        <w:t xml:space="preserve">В 2024 году по сравнению с предыдущим годом поступления в бюджет: </w:t>
      </w:r>
    </w:p>
    <w:p w:rsidR="00C774FE" w:rsidRPr="00101131" w:rsidRDefault="00C774FE" w:rsidP="00C774FE">
      <w:pPr>
        <w:autoSpaceDE w:val="0"/>
        <w:autoSpaceDN w:val="0"/>
        <w:adjustRightInd w:val="0"/>
        <w:ind w:firstLine="720"/>
        <w:contextualSpacing/>
        <w:jc w:val="both"/>
      </w:pPr>
      <w:r w:rsidRPr="00101131">
        <w:t>- увеличились: по штрафам, санкциям, возмещению ущерба на сумму 1 219,64 тыс. рублей (на 63,9 %), по доходам от продажи материальных и нематериальных активов на сумму 3 230,96 тыс. рублей (на 58,6 %);</w:t>
      </w:r>
    </w:p>
    <w:p w:rsidR="00C774FE" w:rsidRPr="00101131" w:rsidRDefault="00C774FE" w:rsidP="00C774FE">
      <w:pPr>
        <w:autoSpaceDE w:val="0"/>
        <w:autoSpaceDN w:val="0"/>
        <w:adjustRightInd w:val="0"/>
        <w:ind w:firstLine="720"/>
        <w:contextualSpacing/>
        <w:jc w:val="both"/>
      </w:pPr>
      <w:r w:rsidRPr="00101131">
        <w:t>- уменьшились: по доходам от оказания платных услуг и компенсации затрат государства на сумму 189,43 тыс. рублей (на 7,2 %).</w:t>
      </w:r>
    </w:p>
    <w:p w:rsidR="00C774FE" w:rsidRPr="00101131" w:rsidRDefault="00C774FE" w:rsidP="00C774FE">
      <w:pPr>
        <w:autoSpaceDE w:val="0"/>
        <w:autoSpaceDN w:val="0"/>
        <w:adjustRightInd w:val="0"/>
        <w:ind w:firstLine="720"/>
        <w:contextualSpacing/>
        <w:jc w:val="both"/>
      </w:pPr>
      <w:r w:rsidRPr="00101131">
        <w:rPr>
          <w:b/>
          <w:sz w:val="26"/>
          <w:szCs w:val="26"/>
        </w:rPr>
        <w:t>Безвозмездные поступления</w:t>
      </w:r>
      <w:r w:rsidRPr="00101131">
        <w:rPr>
          <w:sz w:val="26"/>
          <w:szCs w:val="26"/>
        </w:rPr>
        <w:t xml:space="preserve"> </w:t>
      </w:r>
      <w:r w:rsidRPr="00101131">
        <w:t xml:space="preserve">за 2024 год составили 943 423,49 тыс. рублей или 98,9 % от годовых плановых назначений. Их доля в общем объеме поступлений составила 58,1 %. </w:t>
      </w:r>
    </w:p>
    <w:p w:rsidR="00C774FE" w:rsidRPr="00101131" w:rsidRDefault="00C774FE" w:rsidP="00C774FE">
      <w:pPr>
        <w:autoSpaceDE w:val="0"/>
        <w:autoSpaceDN w:val="0"/>
        <w:adjustRightInd w:val="0"/>
        <w:ind w:firstLine="720"/>
        <w:contextualSpacing/>
        <w:jc w:val="both"/>
      </w:pPr>
      <w:r w:rsidRPr="00101131">
        <w:lastRenderedPageBreak/>
        <w:t>За 2023 год исполнение по безвозмездным поступлениям составило 848 442,65 тыс. рублей или 95,5 % от утвержденного годового объема. Удельный вес в общем объеме доходов местного бюджета составил 58,1 %.</w:t>
      </w:r>
    </w:p>
    <w:p w:rsidR="00C774FE" w:rsidRPr="00101131" w:rsidRDefault="00C774FE" w:rsidP="00C774FE">
      <w:pPr>
        <w:autoSpaceDE w:val="0"/>
        <w:autoSpaceDN w:val="0"/>
        <w:adjustRightInd w:val="0"/>
        <w:ind w:firstLine="720"/>
        <w:contextualSpacing/>
        <w:jc w:val="both"/>
      </w:pPr>
      <w:r w:rsidRPr="00101131">
        <w:t>Расходы местного бюджета исполнены в сумме 1 603 933,02тыс. рублей или 97,0 % от утвержденных годовых ассигнований.</w:t>
      </w:r>
    </w:p>
    <w:p w:rsidR="00C774FE" w:rsidRPr="00101131" w:rsidRDefault="00C774FE" w:rsidP="00C774FE">
      <w:pPr>
        <w:autoSpaceDE w:val="0"/>
        <w:autoSpaceDN w:val="0"/>
        <w:adjustRightInd w:val="0"/>
        <w:ind w:firstLine="720"/>
        <w:contextualSpacing/>
        <w:jc w:val="both"/>
      </w:pPr>
      <w:r w:rsidRPr="00101131">
        <w:t>За 2024 год бюджет Усть-Большерецкого муниципального района исполнен с профицитом в объеме 36,53 тыс. рублей.</w:t>
      </w:r>
    </w:p>
    <w:p w:rsidR="00C774FE" w:rsidRPr="00101131" w:rsidRDefault="00C774FE" w:rsidP="00C774FE">
      <w:pPr>
        <w:autoSpaceDE w:val="0"/>
        <w:autoSpaceDN w:val="0"/>
        <w:adjustRightInd w:val="0"/>
        <w:ind w:firstLine="720"/>
        <w:contextualSpacing/>
        <w:jc w:val="both"/>
      </w:pPr>
      <w:r w:rsidRPr="00101131">
        <w:t xml:space="preserve">Остаток денежных средств на счетах по учету средств местного бюджета на 01.01.2024 года составлял 21 173,85 тыс. рублей. По состоянию на 01 января 2025 года указанный остаток составил – 21 210,38 тыс. рублей. </w:t>
      </w:r>
    </w:p>
    <w:p w:rsidR="00C774FE" w:rsidRPr="00101131" w:rsidRDefault="00C774FE" w:rsidP="00C774FE">
      <w:pPr>
        <w:autoSpaceDE w:val="0"/>
        <w:autoSpaceDN w:val="0"/>
        <w:adjustRightInd w:val="0"/>
        <w:ind w:firstLine="720"/>
        <w:contextualSpacing/>
        <w:jc w:val="both"/>
      </w:pPr>
      <w:r w:rsidRPr="00101131">
        <w:t>Долговые обязательства в 2023 году не принимались.</w:t>
      </w:r>
    </w:p>
    <w:p w:rsidR="00C774FE" w:rsidRPr="00101131" w:rsidRDefault="00C774FE" w:rsidP="00C774FE">
      <w:pPr>
        <w:autoSpaceDE w:val="0"/>
        <w:autoSpaceDN w:val="0"/>
        <w:adjustRightInd w:val="0"/>
        <w:ind w:firstLine="720"/>
        <w:contextualSpacing/>
        <w:jc w:val="both"/>
      </w:pPr>
      <w:r w:rsidRPr="00101131">
        <w:t>Проект решения «О местном бюджете Усть-Большерецкого муниципального района на 2025 год и на плановый период 2026 и 2027 годов» подготовлен в соответствии с требованиями Бюджетного кодекса Российской Федерации, Положения о бюджетном процессе в Усть-Большерецком муниципальном районе, утвержденного Решением Думы Усть-Большерецкого муниципального района от 13.03.2013 № 218, на основе прогноза социально-экономического развития Усть-Большерецкого муниципального района на 2025 год и плановый период 2026 и 2027 годов, а также основных направлениях бюджетной политики и основных направлений налоговой политики на 2025 год и плановый период 2026 и 2027 годов.</w:t>
      </w:r>
    </w:p>
    <w:p w:rsidR="00C774FE" w:rsidRPr="00101131" w:rsidRDefault="00C774FE" w:rsidP="00C774FE">
      <w:pPr>
        <w:autoSpaceDE w:val="0"/>
        <w:autoSpaceDN w:val="0"/>
        <w:adjustRightInd w:val="0"/>
        <w:ind w:firstLine="720"/>
        <w:contextualSpacing/>
        <w:jc w:val="both"/>
      </w:pPr>
      <w:r w:rsidRPr="00101131">
        <w:t>При формировании проекта местного бюджета на 2025 год и на плановый период учитывалась необходимость сохранения положительной тенденции социально-экономического развития Усть-Большерецкого муниципального района, формирования бюджетных расходов исходя из приоритетов и планируемых результатов государственной и муниципальной политики, а также необходимость повышения эффективности и результативности бюджетных расходов.</w:t>
      </w:r>
    </w:p>
    <w:p w:rsidR="00C774FE" w:rsidRPr="00101131" w:rsidRDefault="00C774FE" w:rsidP="00C774FE">
      <w:pPr>
        <w:autoSpaceDE w:val="0"/>
        <w:autoSpaceDN w:val="0"/>
        <w:adjustRightInd w:val="0"/>
        <w:ind w:firstLine="720"/>
        <w:contextualSpacing/>
        <w:jc w:val="both"/>
      </w:pPr>
      <w:r w:rsidRPr="00101131">
        <w:t>Основные параметры местного бюджета составляют:</w:t>
      </w:r>
    </w:p>
    <w:p w:rsidR="00C774FE" w:rsidRPr="00101131" w:rsidRDefault="00C774FE" w:rsidP="00C774FE">
      <w:pPr>
        <w:autoSpaceDE w:val="0"/>
        <w:autoSpaceDN w:val="0"/>
        <w:adjustRightInd w:val="0"/>
        <w:ind w:firstLine="720"/>
        <w:contextualSpacing/>
        <w:jc w:val="both"/>
        <w:rPr>
          <w:b/>
        </w:rPr>
      </w:pPr>
      <w:r w:rsidRPr="00101131">
        <w:rPr>
          <w:b/>
        </w:rPr>
        <w:t>на 2025 год</w:t>
      </w:r>
    </w:p>
    <w:p w:rsidR="00C774FE" w:rsidRPr="00101131" w:rsidRDefault="00C774FE" w:rsidP="00C774FE">
      <w:pPr>
        <w:autoSpaceDE w:val="0"/>
        <w:autoSpaceDN w:val="0"/>
        <w:adjustRightInd w:val="0"/>
        <w:ind w:firstLine="720"/>
        <w:contextualSpacing/>
        <w:jc w:val="both"/>
      </w:pPr>
      <w:r w:rsidRPr="00101131">
        <w:t>прогнозируемый общий объем доходов – 1 572 694,85086 тыс. рублей;</w:t>
      </w:r>
    </w:p>
    <w:p w:rsidR="00C774FE" w:rsidRPr="00101131" w:rsidRDefault="00C774FE" w:rsidP="00C774FE">
      <w:pPr>
        <w:autoSpaceDE w:val="0"/>
        <w:autoSpaceDN w:val="0"/>
        <w:adjustRightInd w:val="0"/>
        <w:ind w:firstLine="720"/>
        <w:contextualSpacing/>
        <w:jc w:val="both"/>
      </w:pPr>
      <w:r w:rsidRPr="00101131">
        <w:t>общий объем расходов – 1 572 694,85086 тыс. рублей;</w:t>
      </w:r>
    </w:p>
    <w:p w:rsidR="00C774FE" w:rsidRPr="00101131" w:rsidRDefault="00C774FE" w:rsidP="00C774FE">
      <w:pPr>
        <w:autoSpaceDE w:val="0"/>
        <w:autoSpaceDN w:val="0"/>
        <w:adjustRightInd w:val="0"/>
        <w:ind w:firstLine="720"/>
        <w:contextualSpacing/>
        <w:jc w:val="both"/>
      </w:pPr>
      <w:r w:rsidRPr="00101131">
        <w:t>дефицит – 0,0 рублей;</w:t>
      </w:r>
    </w:p>
    <w:p w:rsidR="00C774FE" w:rsidRPr="00101131" w:rsidRDefault="00C774FE" w:rsidP="00C774FE">
      <w:pPr>
        <w:autoSpaceDE w:val="0"/>
        <w:autoSpaceDN w:val="0"/>
        <w:adjustRightInd w:val="0"/>
        <w:ind w:firstLine="720"/>
        <w:contextualSpacing/>
        <w:jc w:val="both"/>
        <w:rPr>
          <w:b/>
        </w:rPr>
      </w:pPr>
      <w:r w:rsidRPr="00101131">
        <w:rPr>
          <w:b/>
        </w:rPr>
        <w:t>на 2026 год</w:t>
      </w:r>
    </w:p>
    <w:p w:rsidR="00C774FE" w:rsidRPr="00101131" w:rsidRDefault="00C774FE" w:rsidP="00C774FE">
      <w:pPr>
        <w:autoSpaceDE w:val="0"/>
        <w:autoSpaceDN w:val="0"/>
        <w:adjustRightInd w:val="0"/>
        <w:ind w:firstLine="720"/>
        <w:contextualSpacing/>
        <w:jc w:val="both"/>
      </w:pPr>
      <w:r w:rsidRPr="00101131">
        <w:t>прогнозируемый общий объем доходов – 1 501 713,34289 тыс. рублей;</w:t>
      </w:r>
    </w:p>
    <w:p w:rsidR="00C774FE" w:rsidRPr="00101131" w:rsidRDefault="00C774FE" w:rsidP="00C774FE">
      <w:pPr>
        <w:autoSpaceDE w:val="0"/>
        <w:autoSpaceDN w:val="0"/>
        <w:adjustRightInd w:val="0"/>
        <w:ind w:firstLine="720"/>
        <w:contextualSpacing/>
        <w:jc w:val="both"/>
      </w:pPr>
      <w:r w:rsidRPr="00101131">
        <w:t>общий объем расходов – 1 501 713,34289 тыс. рублей;</w:t>
      </w:r>
    </w:p>
    <w:p w:rsidR="00C774FE" w:rsidRPr="00101131" w:rsidRDefault="00C774FE" w:rsidP="00C774FE">
      <w:pPr>
        <w:autoSpaceDE w:val="0"/>
        <w:autoSpaceDN w:val="0"/>
        <w:adjustRightInd w:val="0"/>
        <w:ind w:firstLine="720"/>
        <w:contextualSpacing/>
        <w:jc w:val="both"/>
      </w:pPr>
      <w:r w:rsidRPr="00101131">
        <w:t>дефицит – 0,0 рублей;</w:t>
      </w:r>
    </w:p>
    <w:p w:rsidR="00C774FE" w:rsidRPr="00101131" w:rsidRDefault="00C774FE" w:rsidP="00C774FE">
      <w:pPr>
        <w:autoSpaceDE w:val="0"/>
        <w:autoSpaceDN w:val="0"/>
        <w:adjustRightInd w:val="0"/>
        <w:ind w:firstLine="720"/>
        <w:contextualSpacing/>
        <w:jc w:val="both"/>
        <w:rPr>
          <w:b/>
        </w:rPr>
      </w:pPr>
      <w:r w:rsidRPr="00101131">
        <w:rPr>
          <w:b/>
        </w:rPr>
        <w:t>на 2027 год</w:t>
      </w:r>
    </w:p>
    <w:p w:rsidR="00C774FE" w:rsidRPr="00101131" w:rsidRDefault="00C774FE" w:rsidP="00C774FE">
      <w:pPr>
        <w:autoSpaceDE w:val="0"/>
        <w:autoSpaceDN w:val="0"/>
        <w:adjustRightInd w:val="0"/>
        <w:ind w:firstLine="720"/>
        <w:contextualSpacing/>
        <w:jc w:val="both"/>
      </w:pPr>
      <w:r w:rsidRPr="00101131">
        <w:t>прогнозируемый общий объем доходов – 1 538 560,09846 тыс. рублей;</w:t>
      </w:r>
    </w:p>
    <w:p w:rsidR="00C774FE" w:rsidRPr="00101131" w:rsidRDefault="00C774FE" w:rsidP="00C774FE">
      <w:pPr>
        <w:autoSpaceDE w:val="0"/>
        <w:autoSpaceDN w:val="0"/>
        <w:adjustRightInd w:val="0"/>
        <w:ind w:firstLine="720"/>
        <w:contextualSpacing/>
        <w:jc w:val="both"/>
      </w:pPr>
      <w:r w:rsidRPr="00101131">
        <w:t>общий объем расходов – 1 538 560,09846 тыс. рублей;</w:t>
      </w:r>
    </w:p>
    <w:p w:rsidR="00C774FE" w:rsidRPr="00101131" w:rsidRDefault="00C774FE" w:rsidP="00C774FE">
      <w:pPr>
        <w:autoSpaceDE w:val="0"/>
        <w:autoSpaceDN w:val="0"/>
        <w:adjustRightInd w:val="0"/>
        <w:ind w:firstLine="720"/>
        <w:contextualSpacing/>
        <w:jc w:val="both"/>
      </w:pPr>
      <w:r w:rsidRPr="00101131">
        <w:t>дефицит – 0,0 рублей.</w:t>
      </w:r>
    </w:p>
    <w:p w:rsidR="00C774FE" w:rsidRPr="00101131" w:rsidRDefault="00C774FE" w:rsidP="00C774FE">
      <w:pPr>
        <w:autoSpaceDE w:val="0"/>
        <w:autoSpaceDN w:val="0"/>
        <w:adjustRightInd w:val="0"/>
        <w:ind w:firstLine="720"/>
        <w:contextualSpacing/>
        <w:jc w:val="both"/>
      </w:pPr>
    </w:p>
    <w:p w:rsidR="00C774FE" w:rsidRPr="00101131" w:rsidRDefault="00C774FE" w:rsidP="00C774FE">
      <w:pPr>
        <w:keepNext/>
        <w:contextualSpacing/>
        <w:jc w:val="center"/>
        <w:outlineLvl w:val="1"/>
        <w:rPr>
          <w:b/>
        </w:rPr>
      </w:pPr>
      <w:r w:rsidRPr="00101131">
        <w:rPr>
          <w:b/>
        </w:rPr>
        <w:t>Доходы местного бюджета</w:t>
      </w:r>
    </w:p>
    <w:p w:rsidR="00C774FE" w:rsidRPr="00101131" w:rsidRDefault="00C774FE" w:rsidP="00C774FE">
      <w:pPr>
        <w:widowControl w:val="0"/>
        <w:autoSpaceDE w:val="0"/>
        <w:autoSpaceDN w:val="0"/>
        <w:adjustRightInd w:val="0"/>
        <w:ind w:firstLine="709"/>
        <w:contextualSpacing/>
        <w:jc w:val="both"/>
      </w:pPr>
      <w:r w:rsidRPr="00101131">
        <w:t xml:space="preserve">Доходная часть местного бюджета сформирована на основе прогноза социально-экономического развития Усть-Большерецкого муниципального района, а также данных, представленных главными администраторами доходов местного бюджета. </w:t>
      </w:r>
    </w:p>
    <w:p w:rsidR="00C774FE" w:rsidRPr="00101131" w:rsidRDefault="00C774FE" w:rsidP="00C774FE">
      <w:pPr>
        <w:widowControl w:val="0"/>
        <w:ind w:firstLine="709"/>
        <w:contextualSpacing/>
        <w:jc w:val="both"/>
      </w:pPr>
      <w:r w:rsidRPr="00101131">
        <w:t>Налоговые и неналоговые доходы местного бюджета предусмотрены в следующих объемах: 2025 год -628 853,08670 тыс. рублей, 2026 год – 671 656,25300 тыс. рублей</w:t>
      </w:r>
      <w:r w:rsidR="009D4ACF" w:rsidRPr="00101131">
        <w:t xml:space="preserve">, </w:t>
      </w:r>
      <w:r w:rsidRPr="00101131">
        <w:t>2027 год – 708 217,94300 тыс. рублей.</w:t>
      </w:r>
    </w:p>
    <w:p w:rsidR="00C774FE" w:rsidRPr="00101131" w:rsidRDefault="00C774FE" w:rsidP="00C774FE">
      <w:pPr>
        <w:widowControl w:val="0"/>
        <w:ind w:firstLine="709"/>
        <w:contextualSpacing/>
        <w:jc w:val="both"/>
      </w:pPr>
      <w:r w:rsidRPr="00101131">
        <w:t xml:space="preserve">Безвозмездные поступления от других бюджетов бюджетной системы Российской Федерации учтены в проекте решения в соответствии с проектом закона о краевом бюджете на 2025 год и на плановый период 2026 и 2027 годов. </w:t>
      </w:r>
    </w:p>
    <w:p w:rsidR="00C774FE" w:rsidRPr="00101131" w:rsidRDefault="00C774FE" w:rsidP="00C774FE">
      <w:pPr>
        <w:widowControl w:val="0"/>
        <w:ind w:firstLine="709"/>
        <w:contextualSpacing/>
        <w:jc w:val="both"/>
      </w:pPr>
      <w:r w:rsidRPr="00101131">
        <w:t>Объем безвозмездных поступлений из краевого бюджета предусмотрен в 2025 году в сумме 943 841,76416 тыс. рублей, в 2026 и 20</w:t>
      </w:r>
      <w:r w:rsidR="009D4ACF" w:rsidRPr="00101131">
        <w:t xml:space="preserve">27 годах </w:t>
      </w:r>
      <w:r w:rsidRPr="00101131">
        <w:t xml:space="preserve">830 057,08989 тыс. рублей и </w:t>
      </w:r>
      <w:r w:rsidRPr="00101131">
        <w:lastRenderedPageBreak/>
        <w:t>830 342,15546 тыс. рублей соответственно, в том числе дотация на выравнивание бюджетной обеспеченности муниципальных районов в 2025 году в сумме 14 150,00000   тыс. рублей.</w:t>
      </w:r>
    </w:p>
    <w:p w:rsidR="00C774FE" w:rsidRPr="00101131" w:rsidRDefault="00C774FE" w:rsidP="00C774FE">
      <w:pPr>
        <w:ind w:firstLine="709"/>
        <w:contextualSpacing/>
        <w:jc w:val="center"/>
        <w:rPr>
          <w:b/>
        </w:rPr>
      </w:pPr>
      <w:r w:rsidRPr="00101131">
        <w:rPr>
          <w:b/>
        </w:rPr>
        <w:t xml:space="preserve">Расходы местного бюджета </w:t>
      </w:r>
    </w:p>
    <w:p w:rsidR="00C774FE" w:rsidRPr="00101131" w:rsidRDefault="00C774FE" w:rsidP="009D4ACF">
      <w:pPr>
        <w:widowControl w:val="0"/>
        <w:autoSpaceDE w:val="0"/>
        <w:autoSpaceDN w:val="0"/>
        <w:adjustRightInd w:val="0"/>
        <w:ind w:firstLine="709"/>
        <w:contextualSpacing/>
        <w:jc w:val="both"/>
      </w:pPr>
      <w:r w:rsidRPr="00101131">
        <w:t xml:space="preserve">Местный бюджет Усть-Большерецкого муниципального района формируется на базе муниципальных программ, перечень которых утвержден распоряжением Администрации Усть-Большерецкого муниципального района от 24.11.2016 № 421 «Об утверждении Перечня муниципальных программ Усть-Большерецкого муниципального района». В 2025 году будет реализовываться 14 муниципальных программ. </w:t>
      </w:r>
    </w:p>
    <w:p w:rsidR="00C774FE" w:rsidRPr="00101131" w:rsidRDefault="00C774FE" w:rsidP="009D4ACF">
      <w:pPr>
        <w:widowControl w:val="0"/>
        <w:autoSpaceDE w:val="0"/>
        <w:autoSpaceDN w:val="0"/>
        <w:adjustRightInd w:val="0"/>
        <w:ind w:firstLine="709"/>
        <w:contextualSpacing/>
        <w:jc w:val="both"/>
      </w:pPr>
      <w:r w:rsidRPr="00101131">
        <w:t xml:space="preserve">Формирование объема и структуры расходов местного бюджета на 2025- 2027 годы осуществлялось с учетом следующих подходов: </w:t>
      </w:r>
    </w:p>
    <w:p w:rsidR="00C774FE" w:rsidRPr="00101131" w:rsidRDefault="00C774FE" w:rsidP="009D4ACF">
      <w:pPr>
        <w:widowControl w:val="0"/>
        <w:autoSpaceDE w:val="0"/>
        <w:autoSpaceDN w:val="0"/>
        <w:adjustRightInd w:val="0"/>
        <w:ind w:firstLine="709"/>
        <w:contextualSpacing/>
        <w:jc w:val="both"/>
      </w:pPr>
      <w:r w:rsidRPr="00101131">
        <w:t>1) финансовое обеспечение расходов на оплату коммунальных услуг муниципальными учреждениями (казенными, автономными, бюджетными) в полном объеме за счет средств местного бюджета в соответствии с постановлением Администрации Усть-Большерецкого муниципального района от «Об установлении годовых объемов потребления коммунальных услуг на 2025 год и на плановый период 2026-2027 годов»;</w:t>
      </w:r>
    </w:p>
    <w:p w:rsidR="00C774FE" w:rsidRPr="00101131" w:rsidRDefault="00C774FE" w:rsidP="009D4ACF">
      <w:pPr>
        <w:widowControl w:val="0"/>
        <w:autoSpaceDE w:val="0"/>
        <w:autoSpaceDN w:val="0"/>
        <w:adjustRightInd w:val="0"/>
        <w:ind w:firstLine="709"/>
        <w:contextualSpacing/>
        <w:jc w:val="both"/>
      </w:pPr>
      <w:r w:rsidRPr="00101131">
        <w:t>2) сохранения на уровне 2024 года (по состоянию на 1 августа) прочих материальных расходов (за исключением расходов на оплату труда, оплату коммунальных услуг) на обеспечение деятельности муниципальных учреждений.</w:t>
      </w:r>
    </w:p>
    <w:p w:rsidR="00C774FE" w:rsidRPr="00101131" w:rsidRDefault="00C774FE" w:rsidP="009D4ACF">
      <w:pPr>
        <w:widowControl w:val="0"/>
        <w:autoSpaceDE w:val="0"/>
        <w:autoSpaceDN w:val="0"/>
        <w:adjustRightInd w:val="0"/>
        <w:ind w:firstLine="709"/>
        <w:contextualSpacing/>
        <w:jc w:val="both"/>
      </w:pPr>
      <w:r w:rsidRPr="00101131">
        <w:t xml:space="preserve">Общий объем расходов местного бюджета на 2025 год, исходя из планируемых доходов, составил 1 572 694,85086 тыс. рублей, на 2026 год – </w:t>
      </w:r>
      <w:r w:rsidR="009D4ACF" w:rsidRPr="00101131">
        <w:t xml:space="preserve">1 501 713,34289 </w:t>
      </w:r>
      <w:r w:rsidRPr="00101131">
        <w:t>тыс. рублей, на 2027 год – 1 538 560,09846 тыс. рублей.</w:t>
      </w:r>
    </w:p>
    <w:p w:rsidR="00C774FE" w:rsidRPr="00101131" w:rsidRDefault="00C774FE" w:rsidP="009D4ACF">
      <w:pPr>
        <w:widowControl w:val="0"/>
        <w:autoSpaceDE w:val="0"/>
        <w:autoSpaceDN w:val="0"/>
        <w:adjustRightInd w:val="0"/>
        <w:ind w:firstLine="709"/>
        <w:contextualSpacing/>
        <w:jc w:val="both"/>
      </w:pPr>
      <w:r w:rsidRPr="00101131">
        <w:t>Формирование межбюджетных отношений на 2025 – 2027 год</w:t>
      </w:r>
      <w:bookmarkStart w:id="1" w:name="sub_1340"/>
      <w:r w:rsidRPr="00101131">
        <w:t>ы осуществлено с учетом следующих основных подходов.</w:t>
      </w:r>
    </w:p>
    <w:p w:rsidR="00C774FE" w:rsidRPr="00101131" w:rsidRDefault="00C774FE" w:rsidP="009D4ACF">
      <w:pPr>
        <w:widowControl w:val="0"/>
        <w:autoSpaceDE w:val="0"/>
        <w:autoSpaceDN w:val="0"/>
        <w:adjustRightInd w:val="0"/>
        <w:ind w:firstLine="709"/>
        <w:contextualSpacing/>
        <w:jc w:val="both"/>
      </w:pPr>
      <w:r w:rsidRPr="00101131">
        <w:t>Сохранены действующие в 2025 году виды финансовой помощи местным бюджетам поселений, основные подходы к их распределению.</w:t>
      </w:r>
    </w:p>
    <w:p w:rsidR="00C774FE" w:rsidRPr="00101131" w:rsidRDefault="00C774FE" w:rsidP="009D4ACF">
      <w:pPr>
        <w:widowControl w:val="0"/>
        <w:autoSpaceDE w:val="0"/>
        <w:autoSpaceDN w:val="0"/>
        <w:adjustRightInd w:val="0"/>
        <w:ind w:firstLine="709"/>
        <w:contextualSpacing/>
        <w:jc w:val="both"/>
      </w:pPr>
      <w:r w:rsidRPr="00101131">
        <w:t xml:space="preserve">На 2025 год и плановый период 2026 и 2027 годов сохраняется практика доведения общего объема нецелевой финансовой помощи бюджетам поселений до уровня не ниже уровня текущего финансового года. </w:t>
      </w:r>
    </w:p>
    <w:p w:rsidR="00C774FE" w:rsidRPr="00101131" w:rsidRDefault="00C774FE" w:rsidP="009D4ACF">
      <w:pPr>
        <w:widowControl w:val="0"/>
        <w:autoSpaceDE w:val="0"/>
        <w:autoSpaceDN w:val="0"/>
        <w:adjustRightInd w:val="0"/>
        <w:ind w:firstLine="709"/>
        <w:contextualSpacing/>
        <w:jc w:val="both"/>
      </w:pPr>
      <w:r w:rsidRPr="00101131">
        <w:t>При проектировании расходов местного бюджета приоритетное значение уделено обеспечению бюджетными ассигнованиями в полном объеме первоочередных расходных обязательств: по выплате заработной платы и начислений на выплаты по оплате труда, по оплате коммунальных услуг муниципальными учреждениями, по предоставлению межбюджетных трансфертов.</w:t>
      </w:r>
    </w:p>
    <w:bookmarkEnd w:id="1"/>
    <w:p w:rsidR="00C774FE" w:rsidRPr="00101131" w:rsidRDefault="00C774FE" w:rsidP="009D4ACF">
      <w:pPr>
        <w:widowControl w:val="0"/>
        <w:autoSpaceDE w:val="0"/>
        <w:autoSpaceDN w:val="0"/>
        <w:adjustRightInd w:val="0"/>
        <w:ind w:firstLine="709"/>
        <w:contextualSpacing/>
        <w:jc w:val="both"/>
        <w:rPr>
          <w:b/>
        </w:rPr>
      </w:pPr>
      <w:r w:rsidRPr="00101131">
        <w:rPr>
          <w:b/>
        </w:rPr>
        <w:t>Дефицит местного бюджета</w:t>
      </w:r>
    </w:p>
    <w:p w:rsidR="00C774FE" w:rsidRPr="00C774FE" w:rsidRDefault="00C774FE" w:rsidP="009D4ACF">
      <w:pPr>
        <w:widowControl w:val="0"/>
        <w:autoSpaceDE w:val="0"/>
        <w:autoSpaceDN w:val="0"/>
        <w:adjustRightInd w:val="0"/>
        <w:ind w:firstLine="709"/>
        <w:contextualSpacing/>
        <w:jc w:val="both"/>
      </w:pPr>
      <w:r w:rsidRPr="00101131">
        <w:t>Проект местного бюджета на 2025 год и плановый период 2026 и 2027 годов сформирован сбалансированным.</w:t>
      </w:r>
      <w:r w:rsidRPr="00C774FE">
        <w:t xml:space="preserve"> </w:t>
      </w:r>
    </w:p>
    <w:p w:rsidR="00C774FE" w:rsidRPr="00C774FE" w:rsidRDefault="00C774FE" w:rsidP="009D4ACF">
      <w:pPr>
        <w:widowControl w:val="0"/>
        <w:autoSpaceDE w:val="0"/>
        <w:autoSpaceDN w:val="0"/>
        <w:adjustRightInd w:val="0"/>
        <w:ind w:firstLine="709"/>
        <w:contextualSpacing/>
        <w:jc w:val="both"/>
      </w:pPr>
    </w:p>
    <w:p w:rsidR="007151D0" w:rsidRPr="00441810" w:rsidRDefault="007151D0" w:rsidP="00C774FE">
      <w:pPr>
        <w:ind w:firstLine="709"/>
        <w:jc w:val="both"/>
      </w:pPr>
    </w:p>
    <w:sectPr w:rsidR="007151D0" w:rsidRPr="00441810" w:rsidSect="00D572E5">
      <w:headerReference w:type="even" r:id="rId9"/>
      <w:footerReference w:type="even" r:id="rId10"/>
      <w:footerReference w:type="default" r:id="rId11"/>
      <w:pgSz w:w="11906" w:h="16838" w:code="9"/>
      <w:pgMar w:top="1134" w:right="850"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C46" w:rsidRDefault="005F7C46">
      <w:r>
        <w:separator/>
      </w:r>
    </w:p>
  </w:endnote>
  <w:endnote w:type="continuationSeparator" w:id="0">
    <w:p w:rsidR="005F7C46" w:rsidRDefault="005F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3F" w:rsidRDefault="00405163" w:rsidP="00B27021">
    <w:pPr>
      <w:pStyle w:val="a3"/>
      <w:framePr w:wrap="around" w:vAnchor="text" w:hAnchor="margin" w:xAlign="right" w:y="1"/>
      <w:rPr>
        <w:rStyle w:val="a4"/>
      </w:rPr>
    </w:pPr>
    <w:r>
      <w:rPr>
        <w:rStyle w:val="a4"/>
      </w:rPr>
      <w:fldChar w:fldCharType="begin"/>
    </w:r>
    <w:r w:rsidR="007F343F">
      <w:rPr>
        <w:rStyle w:val="a4"/>
      </w:rPr>
      <w:instrText xml:space="preserve">PAGE  </w:instrText>
    </w:r>
    <w:r>
      <w:rPr>
        <w:rStyle w:val="a4"/>
      </w:rPr>
      <w:fldChar w:fldCharType="end"/>
    </w:r>
  </w:p>
  <w:p w:rsidR="007F343F" w:rsidRDefault="007F343F" w:rsidP="00B270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3F" w:rsidRDefault="00405163" w:rsidP="004D5F88">
    <w:pPr>
      <w:pStyle w:val="a3"/>
      <w:framePr w:wrap="around" w:vAnchor="text" w:hAnchor="margin" w:xAlign="right" w:y="1"/>
      <w:rPr>
        <w:rStyle w:val="a4"/>
      </w:rPr>
    </w:pPr>
    <w:r>
      <w:rPr>
        <w:rStyle w:val="a4"/>
      </w:rPr>
      <w:fldChar w:fldCharType="begin"/>
    </w:r>
    <w:r w:rsidR="007F343F">
      <w:rPr>
        <w:rStyle w:val="a4"/>
      </w:rPr>
      <w:instrText xml:space="preserve">PAGE  </w:instrText>
    </w:r>
    <w:r>
      <w:rPr>
        <w:rStyle w:val="a4"/>
      </w:rPr>
      <w:fldChar w:fldCharType="separate"/>
    </w:r>
    <w:r w:rsidR="005646D9">
      <w:rPr>
        <w:rStyle w:val="a4"/>
        <w:noProof/>
      </w:rPr>
      <w:t>7</w:t>
    </w:r>
    <w:r>
      <w:rPr>
        <w:rStyle w:val="a4"/>
      </w:rPr>
      <w:fldChar w:fldCharType="end"/>
    </w:r>
  </w:p>
  <w:p w:rsidR="007F343F" w:rsidRDefault="007F343F" w:rsidP="0044154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C46" w:rsidRDefault="005F7C46">
      <w:r>
        <w:separator/>
      </w:r>
    </w:p>
  </w:footnote>
  <w:footnote w:type="continuationSeparator" w:id="0">
    <w:p w:rsidR="005F7C46" w:rsidRDefault="005F7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43F" w:rsidRDefault="00405163">
    <w:pPr>
      <w:pStyle w:val="a5"/>
      <w:framePr w:wrap="around" w:vAnchor="text" w:hAnchor="margin" w:xAlign="center" w:y="1"/>
      <w:rPr>
        <w:rStyle w:val="a4"/>
      </w:rPr>
    </w:pPr>
    <w:r>
      <w:rPr>
        <w:rStyle w:val="a4"/>
      </w:rPr>
      <w:fldChar w:fldCharType="begin"/>
    </w:r>
    <w:r w:rsidR="007F343F">
      <w:rPr>
        <w:rStyle w:val="a4"/>
      </w:rPr>
      <w:instrText xml:space="preserve">PAGE  </w:instrText>
    </w:r>
    <w:r>
      <w:rPr>
        <w:rStyle w:val="a4"/>
      </w:rPr>
      <w:fldChar w:fldCharType="end"/>
    </w:r>
  </w:p>
  <w:p w:rsidR="007F343F" w:rsidRDefault="007F34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A5116"/>
    <w:multiLevelType w:val="hybridMultilevel"/>
    <w:tmpl w:val="23F25C3A"/>
    <w:lvl w:ilvl="0" w:tplc="9BF0D306">
      <w:start w:val="1"/>
      <w:numFmt w:val="upperRoman"/>
      <w:lvlText w:val="%1."/>
      <w:lvlJc w:val="left"/>
      <w:pPr>
        <w:ind w:left="1500" w:hanging="72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
    <w:nsid w:val="0F6D0A50"/>
    <w:multiLevelType w:val="hybridMultilevel"/>
    <w:tmpl w:val="75BC385E"/>
    <w:lvl w:ilvl="0" w:tplc="D200FFCA">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3555F19"/>
    <w:multiLevelType w:val="hybridMultilevel"/>
    <w:tmpl w:val="30FCAC72"/>
    <w:lvl w:ilvl="0" w:tplc="9CA2A3F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39F5E9E"/>
    <w:multiLevelType w:val="hybridMultilevel"/>
    <w:tmpl w:val="313A0670"/>
    <w:lvl w:ilvl="0" w:tplc="9CA2A3F2">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nsid w:val="374A43A1"/>
    <w:multiLevelType w:val="hybridMultilevel"/>
    <w:tmpl w:val="92009DAA"/>
    <w:lvl w:ilvl="0" w:tplc="9CA2A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7084CB4"/>
    <w:multiLevelType w:val="hybridMultilevel"/>
    <w:tmpl w:val="D0F4B350"/>
    <w:lvl w:ilvl="0" w:tplc="9CA2A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B0922AF"/>
    <w:multiLevelType w:val="hybridMultilevel"/>
    <w:tmpl w:val="7548D240"/>
    <w:lvl w:ilvl="0" w:tplc="9CA2A3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97C0077"/>
    <w:multiLevelType w:val="hybridMultilevel"/>
    <w:tmpl w:val="2A46352E"/>
    <w:lvl w:ilvl="0" w:tplc="9CA2A3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9E70D9E"/>
    <w:multiLevelType w:val="hybridMultilevel"/>
    <w:tmpl w:val="3CF6FB86"/>
    <w:lvl w:ilvl="0" w:tplc="9CA2A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B6A0EF5"/>
    <w:multiLevelType w:val="multilevel"/>
    <w:tmpl w:val="75BE81E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6CD9135D"/>
    <w:multiLevelType w:val="hybridMultilevel"/>
    <w:tmpl w:val="3BA6D7AE"/>
    <w:lvl w:ilvl="0" w:tplc="9CA2A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D6504C5"/>
    <w:multiLevelType w:val="hybridMultilevel"/>
    <w:tmpl w:val="56BE34FA"/>
    <w:lvl w:ilvl="0" w:tplc="9CA2A3F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7E0A18E1"/>
    <w:multiLevelType w:val="hybridMultilevel"/>
    <w:tmpl w:val="3202C438"/>
    <w:lvl w:ilvl="0" w:tplc="9CA2A3F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E4C6EC8"/>
    <w:multiLevelType w:val="hybridMultilevel"/>
    <w:tmpl w:val="A18AAE98"/>
    <w:lvl w:ilvl="0" w:tplc="9CA2A3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2"/>
  </w:num>
  <w:num w:numId="4">
    <w:abstractNumId w:val="4"/>
  </w:num>
  <w:num w:numId="5">
    <w:abstractNumId w:val="11"/>
  </w:num>
  <w:num w:numId="6">
    <w:abstractNumId w:val="8"/>
  </w:num>
  <w:num w:numId="7">
    <w:abstractNumId w:val="5"/>
  </w:num>
  <w:num w:numId="8">
    <w:abstractNumId w:val="13"/>
  </w:num>
  <w:num w:numId="9">
    <w:abstractNumId w:val="7"/>
  </w:num>
  <w:num w:numId="10">
    <w:abstractNumId w:val="6"/>
  </w:num>
  <w:num w:numId="11">
    <w:abstractNumId w:val="2"/>
  </w:num>
  <w:num w:numId="12">
    <w:abstractNumId w:val="9"/>
  </w:num>
  <w:num w:numId="13">
    <w:abstractNumId w:val="3"/>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40C4F"/>
    <w:rsid w:val="0000300D"/>
    <w:rsid w:val="00003613"/>
    <w:rsid w:val="000048C3"/>
    <w:rsid w:val="0000509C"/>
    <w:rsid w:val="000052B4"/>
    <w:rsid w:val="000063F5"/>
    <w:rsid w:val="0000660F"/>
    <w:rsid w:val="00006801"/>
    <w:rsid w:val="000075A2"/>
    <w:rsid w:val="00010F95"/>
    <w:rsid w:val="00011E35"/>
    <w:rsid w:val="0001340E"/>
    <w:rsid w:val="000164CB"/>
    <w:rsid w:val="00020984"/>
    <w:rsid w:val="000242EC"/>
    <w:rsid w:val="00025DFA"/>
    <w:rsid w:val="000309E5"/>
    <w:rsid w:val="00040B7E"/>
    <w:rsid w:val="00040C4F"/>
    <w:rsid w:val="000425C9"/>
    <w:rsid w:val="00043202"/>
    <w:rsid w:val="000458E1"/>
    <w:rsid w:val="0004671A"/>
    <w:rsid w:val="00046F3B"/>
    <w:rsid w:val="00047F60"/>
    <w:rsid w:val="00051F9C"/>
    <w:rsid w:val="00060084"/>
    <w:rsid w:val="00061AFF"/>
    <w:rsid w:val="000626E5"/>
    <w:rsid w:val="00063260"/>
    <w:rsid w:val="00063C2F"/>
    <w:rsid w:val="00076D80"/>
    <w:rsid w:val="0007703D"/>
    <w:rsid w:val="00081CD7"/>
    <w:rsid w:val="00083380"/>
    <w:rsid w:val="00084C29"/>
    <w:rsid w:val="00084F32"/>
    <w:rsid w:val="00086C49"/>
    <w:rsid w:val="00092991"/>
    <w:rsid w:val="00095B36"/>
    <w:rsid w:val="00096B50"/>
    <w:rsid w:val="000A193F"/>
    <w:rsid w:val="000B127B"/>
    <w:rsid w:val="000B581A"/>
    <w:rsid w:val="000C0068"/>
    <w:rsid w:val="000C0220"/>
    <w:rsid w:val="000C12F8"/>
    <w:rsid w:val="000C15F0"/>
    <w:rsid w:val="000C2FE0"/>
    <w:rsid w:val="000C388C"/>
    <w:rsid w:val="000C777E"/>
    <w:rsid w:val="000D10D8"/>
    <w:rsid w:val="000D15EA"/>
    <w:rsid w:val="000D19E1"/>
    <w:rsid w:val="000D1F85"/>
    <w:rsid w:val="000D427B"/>
    <w:rsid w:val="000D4A7F"/>
    <w:rsid w:val="000E102D"/>
    <w:rsid w:val="000E354B"/>
    <w:rsid w:val="000E3E74"/>
    <w:rsid w:val="000F097E"/>
    <w:rsid w:val="000F2D36"/>
    <w:rsid w:val="00100403"/>
    <w:rsid w:val="00101131"/>
    <w:rsid w:val="00102183"/>
    <w:rsid w:val="001049F8"/>
    <w:rsid w:val="00105550"/>
    <w:rsid w:val="001067EC"/>
    <w:rsid w:val="00110865"/>
    <w:rsid w:val="001109C0"/>
    <w:rsid w:val="00113019"/>
    <w:rsid w:val="00114AB1"/>
    <w:rsid w:val="00123DC9"/>
    <w:rsid w:val="001249D5"/>
    <w:rsid w:val="00130EBB"/>
    <w:rsid w:val="001310D1"/>
    <w:rsid w:val="001314EF"/>
    <w:rsid w:val="0013231D"/>
    <w:rsid w:val="00132D80"/>
    <w:rsid w:val="00133389"/>
    <w:rsid w:val="001407F8"/>
    <w:rsid w:val="001434C8"/>
    <w:rsid w:val="00143A1F"/>
    <w:rsid w:val="00145248"/>
    <w:rsid w:val="0014557A"/>
    <w:rsid w:val="00146072"/>
    <w:rsid w:val="00147177"/>
    <w:rsid w:val="00150DD7"/>
    <w:rsid w:val="001553DC"/>
    <w:rsid w:val="00160434"/>
    <w:rsid w:val="00161E1D"/>
    <w:rsid w:val="00161F64"/>
    <w:rsid w:val="001635BC"/>
    <w:rsid w:val="00165199"/>
    <w:rsid w:val="001654EA"/>
    <w:rsid w:val="00167CB8"/>
    <w:rsid w:val="00170219"/>
    <w:rsid w:val="00170AAF"/>
    <w:rsid w:val="00170DA5"/>
    <w:rsid w:val="001725EC"/>
    <w:rsid w:val="00180DDA"/>
    <w:rsid w:val="00181375"/>
    <w:rsid w:val="00181CD7"/>
    <w:rsid w:val="001821BC"/>
    <w:rsid w:val="00183035"/>
    <w:rsid w:val="0018368C"/>
    <w:rsid w:val="00186C64"/>
    <w:rsid w:val="001901F5"/>
    <w:rsid w:val="00190DD7"/>
    <w:rsid w:val="0019133B"/>
    <w:rsid w:val="00192032"/>
    <w:rsid w:val="00192A3D"/>
    <w:rsid w:val="00192BE8"/>
    <w:rsid w:val="0019504B"/>
    <w:rsid w:val="001A7433"/>
    <w:rsid w:val="001A7DE7"/>
    <w:rsid w:val="001B1C2C"/>
    <w:rsid w:val="001B3060"/>
    <w:rsid w:val="001B3BEF"/>
    <w:rsid w:val="001B5F11"/>
    <w:rsid w:val="001B605E"/>
    <w:rsid w:val="001B61B5"/>
    <w:rsid w:val="001B6DD4"/>
    <w:rsid w:val="001B7727"/>
    <w:rsid w:val="001C0A21"/>
    <w:rsid w:val="001C0D4E"/>
    <w:rsid w:val="001C7A99"/>
    <w:rsid w:val="001D07F8"/>
    <w:rsid w:val="001D38DF"/>
    <w:rsid w:val="001E0322"/>
    <w:rsid w:val="001E1B91"/>
    <w:rsid w:val="001E36F2"/>
    <w:rsid w:val="001E41F2"/>
    <w:rsid w:val="001E5B15"/>
    <w:rsid w:val="001E75CF"/>
    <w:rsid w:val="001F1095"/>
    <w:rsid w:val="001F10E7"/>
    <w:rsid w:val="001F3198"/>
    <w:rsid w:val="001F42F9"/>
    <w:rsid w:val="001F46F7"/>
    <w:rsid w:val="001F498A"/>
    <w:rsid w:val="0020168C"/>
    <w:rsid w:val="0020496C"/>
    <w:rsid w:val="00204F34"/>
    <w:rsid w:val="00207B88"/>
    <w:rsid w:val="0021175C"/>
    <w:rsid w:val="00212525"/>
    <w:rsid w:val="0021681D"/>
    <w:rsid w:val="00216FA3"/>
    <w:rsid w:val="002170FE"/>
    <w:rsid w:val="00217C15"/>
    <w:rsid w:val="00222CD4"/>
    <w:rsid w:val="00231006"/>
    <w:rsid w:val="002331F8"/>
    <w:rsid w:val="00235D58"/>
    <w:rsid w:val="002400CD"/>
    <w:rsid w:val="00243C97"/>
    <w:rsid w:val="00245301"/>
    <w:rsid w:val="002454BF"/>
    <w:rsid w:val="00245710"/>
    <w:rsid w:val="002479C7"/>
    <w:rsid w:val="00247FF6"/>
    <w:rsid w:val="00256D33"/>
    <w:rsid w:val="002571ED"/>
    <w:rsid w:val="00260389"/>
    <w:rsid w:val="00263C1F"/>
    <w:rsid w:val="00263CCC"/>
    <w:rsid w:val="0026599E"/>
    <w:rsid w:val="002669D6"/>
    <w:rsid w:val="00272202"/>
    <w:rsid w:val="00272F22"/>
    <w:rsid w:val="00273514"/>
    <w:rsid w:val="00274067"/>
    <w:rsid w:val="002748D0"/>
    <w:rsid w:val="00275032"/>
    <w:rsid w:val="00276704"/>
    <w:rsid w:val="00281065"/>
    <w:rsid w:val="002813BB"/>
    <w:rsid w:val="002818E5"/>
    <w:rsid w:val="00281F24"/>
    <w:rsid w:val="00282DB8"/>
    <w:rsid w:val="002848B1"/>
    <w:rsid w:val="00286514"/>
    <w:rsid w:val="00287713"/>
    <w:rsid w:val="00294EB2"/>
    <w:rsid w:val="002A0716"/>
    <w:rsid w:val="002A0B53"/>
    <w:rsid w:val="002A1EF4"/>
    <w:rsid w:val="002A3486"/>
    <w:rsid w:val="002A3856"/>
    <w:rsid w:val="002A61EC"/>
    <w:rsid w:val="002B1F71"/>
    <w:rsid w:val="002B3B8D"/>
    <w:rsid w:val="002B4663"/>
    <w:rsid w:val="002B48AC"/>
    <w:rsid w:val="002B4E5A"/>
    <w:rsid w:val="002C10BE"/>
    <w:rsid w:val="002C2C5F"/>
    <w:rsid w:val="002C6B36"/>
    <w:rsid w:val="002C7C69"/>
    <w:rsid w:val="002D07B7"/>
    <w:rsid w:val="002D0AD1"/>
    <w:rsid w:val="002D193B"/>
    <w:rsid w:val="002D541E"/>
    <w:rsid w:val="002D6EF5"/>
    <w:rsid w:val="002D795C"/>
    <w:rsid w:val="002E1E35"/>
    <w:rsid w:val="002E3052"/>
    <w:rsid w:val="002F0D19"/>
    <w:rsid w:val="002F5333"/>
    <w:rsid w:val="002F5592"/>
    <w:rsid w:val="002F7018"/>
    <w:rsid w:val="00301667"/>
    <w:rsid w:val="003024B1"/>
    <w:rsid w:val="00302C65"/>
    <w:rsid w:val="0030512F"/>
    <w:rsid w:val="00307243"/>
    <w:rsid w:val="0031090C"/>
    <w:rsid w:val="00310A08"/>
    <w:rsid w:val="0031150C"/>
    <w:rsid w:val="003117A5"/>
    <w:rsid w:val="00314224"/>
    <w:rsid w:val="003168DC"/>
    <w:rsid w:val="0032069D"/>
    <w:rsid w:val="003230DE"/>
    <w:rsid w:val="00327C00"/>
    <w:rsid w:val="00331FE8"/>
    <w:rsid w:val="00332B28"/>
    <w:rsid w:val="00332EA2"/>
    <w:rsid w:val="00334019"/>
    <w:rsid w:val="003379A7"/>
    <w:rsid w:val="00337CF9"/>
    <w:rsid w:val="00340752"/>
    <w:rsid w:val="00341A4F"/>
    <w:rsid w:val="0035000A"/>
    <w:rsid w:val="003503DB"/>
    <w:rsid w:val="00353A43"/>
    <w:rsid w:val="00354C2F"/>
    <w:rsid w:val="003560BC"/>
    <w:rsid w:val="00363FEE"/>
    <w:rsid w:val="0036525D"/>
    <w:rsid w:val="00366AD4"/>
    <w:rsid w:val="003714F7"/>
    <w:rsid w:val="003721C4"/>
    <w:rsid w:val="00374B24"/>
    <w:rsid w:val="0037563F"/>
    <w:rsid w:val="0037670D"/>
    <w:rsid w:val="00381506"/>
    <w:rsid w:val="00383870"/>
    <w:rsid w:val="0038501A"/>
    <w:rsid w:val="00385886"/>
    <w:rsid w:val="00390B21"/>
    <w:rsid w:val="00391C21"/>
    <w:rsid w:val="003933DC"/>
    <w:rsid w:val="00394BAE"/>
    <w:rsid w:val="003972D4"/>
    <w:rsid w:val="003A042C"/>
    <w:rsid w:val="003A4913"/>
    <w:rsid w:val="003A528C"/>
    <w:rsid w:val="003A6544"/>
    <w:rsid w:val="003B2D5A"/>
    <w:rsid w:val="003B60B7"/>
    <w:rsid w:val="003C2BD1"/>
    <w:rsid w:val="003C54A9"/>
    <w:rsid w:val="003C6459"/>
    <w:rsid w:val="003C6CAF"/>
    <w:rsid w:val="003D0A0C"/>
    <w:rsid w:val="003D15A6"/>
    <w:rsid w:val="003D2CFA"/>
    <w:rsid w:val="003D3595"/>
    <w:rsid w:val="003D4765"/>
    <w:rsid w:val="003D58D1"/>
    <w:rsid w:val="003E2D22"/>
    <w:rsid w:val="003E5D0E"/>
    <w:rsid w:val="003E7CDB"/>
    <w:rsid w:val="003F0A11"/>
    <w:rsid w:val="003F104B"/>
    <w:rsid w:val="003F2830"/>
    <w:rsid w:val="003F2890"/>
    <w:rsid w:val="003F3255"/>
    <w:rsid w:val="003F349F"/>
    <w:rsid w:val="004040EA"/>
    <w:rsid w:val="00405163"/>
    <w:rsid w:val="00407131"/>
    <w:rsid w:val="00411109"/>
    <w:rsid w:val="00414731"/>
    <w:rsid w:val="00421F37"/>
    <w:rsid w:val="00422A2C"/>
    <w:rsid w:val="00423931"/>
    <w:rsid w:val="00424627"/>
    <w:rsid w:val="004270A4"/>
    <w:rsid w:val="00427B37"/>
    <w:rsid w:val="004302D1"/>
    <w:rsid w:val="004306A1"/>
    <w:rsid w:val="004328AE"/>
    <w:rsid w:val="00432CC9"/>
    <w:rsid w:val="00434927"/>
    <w:rsid w:val="004354DA"/>
    <w:rsid w:val="00435ACF"/>
    <w:rsid w:val="00436B8E"/>
    <w:rsid w:val="00441541"/>
    <w:rsid w:val="004417BD"/>
    <w:rsid w:val="00441810"/>
    <w:rsid w:val="00443B2E"/>
    <w:rsid w:val="00450448"/>
    <w:rsid w:val="00451646"/>
    <w:rsid w:val="00451A4D"/>
    <w:rsid w:val="00452C27"/>
    <w:rsid w:val="00453D9F"/>
    <w:rsid w:val="00454626"/>
    <w:rsid w:val="004555D2"/>
    <w:rsid w:val="00461C37"/>
    <w:rsid w:val="00462486"/>
    <w:rsid w:val="00464BA4"/>
    <w:rsid w:val="004703F9"/>
    <w:rsid w:val="0047132D"/>
    <w:rsid w:val="004713BC"/>
    <w:rsid w:val="004721EE"/>
    <w:rsid w:val="004775C7"/>
    <w:rsid w:val="00481B91"/>
    <w:rsid w:val="004836FF"/>
    <w:rsid w:val="00484863"/>
    <w:rsid w:val="00484E8F"/>
    <w:rsid w:val="00486E07"/>
    <w:rsid w:val="00490FC8"/>
    <w:rsid w:val="0049304B"/>
    <w:rsid w:val="0049716E"/>
    <w:rsid w:val="004A0BA7"/>
    <w:rsid w:val="004A2410"/>
    <w:rsid w:val="004A283E"/>
    <w:rsid w:val="004A2B94"/>
    <w:rsid w:val="004A303A"/>
    <w:rsid w:val="004A5571"/>
    <w:rsid w:val="004B0AF4"/>
    <w:rsid w:val="004B481D"/>
    <w:rsid w:val="004B6E2C"/>
    <w:rsid w:val="004B7192"/>
    <w:rsid w:val="004C5743"/>
    <w:rsid w:val="004C5D0D"/>
    <w:rsid w:val="004C6A88"/>
    <w:rsid w:val="004C7073"/>
    <w:rsid w:val="004C725A"/>
    <w:rsid w:val="004D1160"/>
    <w:rsid w:val="004D2DF8"/>
    <w:rsid w:val="004D5CA4"/>
    <w:rsid w:val="004D5DED"/>
    <w:rsid w:val="004D5F88"/>
    <w:rsid w:val="004D7BF2"/>
    <w:rsid w:val="004E164C"/>
    <w:rsid w:val="004E1880"/>
    <w:rsid w:val="004E7116"/>
    <w:rsid w:val="004F40BD"/>
    <w:rsid w:val="004F441E"/>
    <w:rsid w:val="004F53F9"/>
    <w:rsid w:val="004F546C"/>
    <w:rsid w:val="00500E9C"/>
    <w:rsid w:val="00501B8F"/>
    <w:rsid w:val="00503079"/>
    <w:rsid w:val="00512E21"/>
    <w:rsid w:val="00513193"/>
    <w:rsid w:val="00517F06"/>
    <w:rsid w:val="005220BC"/>
    <w:rsid w:val="005227D8"/>
    <w:rsid w:val="00522C8E"/>
    <w:rsid w:val="00524742"/>
    <w:rsid w:val="00527C3A"/>
    <w:rsid w:val="00531196"/>
    <w:rsid w:val="005314D2"/>
    <w:rsid w:val="005349D3"/>
    <w:rsid w:val="00536533"/>
    <w:rsid w:val="005374CF"/>
    <w:rsid w:val="005417CE"/>
    <w:rsid w:val="00544CAF"/>
    <w:rsid w:val="00547122"/>
    <w:rsid w:val="00547449"/>
    <w:rsid w:val="00557539"/>
    <w:rsid w:val="00561B1B"/>
    <w:rsid w:val="0056273A"/>
    <w:rsid w:val="00563C3E"/>
    <w:rsid w:val="005643F2"/>
    <w:rsid w:val="005646D9"/>
    <w:rsid w:val="00565220"/>
    <w:rsid w:val="0056537F"/>
    <w:rsid w:val="00570520"/>
    <w:rsid w:val="00571F5A"/>
    <w:rsid w:val="00577BCC"/>
    <w:rsid w:val="00581C82"/>
    <w:rsid w:val="00582A5C"/>
    <w:rsid w:val="0058434B"/>
    <w:rsid w:val="00585C4C"/>
    <w:rsid w:val="005878E3"/>
    <w:rsid w:val="00590430"/>
    <w:rsid w:val="00592AF6"/>
    <w:rsid w:val="0059362C"/>
    <w:rsid w:val="00597927"/>
    <w:rsid w:val="005A3116"/>
    <w:rsid w:val="005A4752"/>
    <w:rsid w:val="005A4EC1"/>
    <w:rsid w:val="005A6823"/>
    <w:rsid w:val="005A6C3E"/>
    <w:rsid w:val="005B2484"/>
    <w:rsid w:val="005C1DFA"/>
    <w:rsid w:val="005C3E1E"/>
    <w:rsid w:val="005C78AE"/>
    <w:rsid w:val="005D2A62"/>
    <w:rsid w:val="005D3F01"/>
    <w:rsid w:val="005D5C84"/>
    <w:rsid w:val="005D65D7"/>
    <w:rsid w:val="005D6B59"/>
    <w:rsid w:val="005D78EE"/>
    <w:rsid w:val="005E1397"/>
    <w:rsid w:val="005E34AD"/>
    <w:rsid w:val="005E66C8"/>
    <w:rsid w:val="005E6A1B"/>
    <w:rsid w:val="005F00DA"/>
    <w:rsid w:val="005F168D"/>
    <w:rsid w:val="005F321C"/>
    <w:rsid w:val="005F5817"/>
    <w:rsid w:val="005F6B46"/>
    <w:rsid w:val="005F7C46"/>
    <w:rsid w:val="00601198"/>
    <w:rsid w:val="00601A11"/>
    <w:rsid w:val="00601BE5"/>
    <w:rsid w:val="00610336"/>
    <w:rsid w:val="0061059B"/>
    <w:rsid w:val="00612FDC"/>
    <w:rsid w:val="0061337B"/>
    <w:rsid w:val="00620075"/>
    <w:rsid w:val="0062283E"/>
    <w:rsid w:val="006233F7"/>
    <w:rsid w:val="00623DED"/>
    <w:rsid w:val="00627DA9"/>
    <w:rsid w:val="00627FD9"/>
    <w:rsid w:val="006339DC"/>
    <w:rsid w:val="00634281"/>
    <w:rsid w:val="00640074"/>
    <w:rsid w:val="006413A2"/>
    <w:rsid w:val="00642094"/>
    <w:rsid w:val="00643237"/>
    <w:rsid w:val="006538B0"/>
    <w:rsid w:val="006540A8"/>
    <w:rsid w:val="0066673F"/>
    <w:rsid w:val="00670697"/>
    <w:rsid w:val="00677DC3"/>
    <w:rsid w:val="0068314E"/>
    <w:rsid w:val="006861DC"/>
    <w:rsid w:val="00687ACB"/>
    <w:rsid w:val="00687F08"/>
    <w:rsid w:val="00690112"/>
    <w:rsid w:val="00691ABE"/>
    <w:rsid w:val="00693D8E"/>
    <w:rsid w:val="006A26CA"/>
    <w:rsid w:val="006A3684"/>
    <w:rsid w:val="006A3832"/>
    <w:rsid w:val="006A5998"/>
    <w:rsid w:val="006A69C9"/>
    <w:rsid w:val="006B0324"/>
    <w:rsid w:val="006C0AB0"/>
    <w:rsid w:val="006C2F4E"/>
    <w:rsid w:val="006C544F"/>
    <w:rsid w:val="006C62E3"/>
    <w:rsid w:val="006C6AA2"/>
    <w:rsid w:val="006D12F8"/>
    <w:rsid w:val="006D7656"/>
    <w:rsid w:val="006E04F2"/>
    <w:rsid w:val="006E62BE"/>
    <w:rsid w:val="006E62EB"/>
    <w:rsid w:val="006F0B5E"/>
    <w:rsid w:val="006F10C0"/>
    <w:rsid w:val="006F3DD4"/>
    <w:rsid w:val="006F497D"/>
    <w:rsid w:val="006F5798"/>
    <w:rsid w:val="00705EF3"/>
    <w:rsid w:val="00706656"/>
    <w:rsid w:val="00711B5B"/>
    <w:rsid w:val="00712197"/>
    <w:rsid w:val="007122B9"/>
    <w:rsid w:val="007151D0"/>
    <w:rsid w:val="00716D15"/>
    <w:rsid w:val="0072006E"/>
    <w:rsid w:val="007202E3"/>
    <w:rsid w:val="007219E7"/>
    <w:rsid w:val="00722C50"/>
    <w:rsid w:val="00723F74"/>
    <w:rsid w:val="007270D1"/>
    <w:rsid w:val="00730CC7"/>
    <w:rsid w:val="00731020"/>
    <w:rsid w:val="007323B0"/>
    <w:rsid w:val="00732D3E"/>
    <w:rsid w:val="00734B22"/>
    <w:rsid w:val="00740128"/>
    <w:rsid w:val="00740AC6"/>
    <w:rsid w:val="00753B08"/>
    <w:rsid w:val="00757DF1"/>
    <w:rsid w:val="00761305"/>
    <w:rsid w:val="007614C1"/>
    <w:rsid w:val="007617D8"/>
    <w:rsid w:val="00762D8B"/>
    <w:rsid w:val="007653A6"/>
    <w:rsid w:val="00766002"/>
    <w:rsid w:val="00770265"/>
    <w:rsid w:val="007718FD"/>
    <w:rsid w:val="00780414"/>
    <w:rsid w:val="007830FF"/>
    <w:rsid w:val="00783D89"/>
    <w:rsid w:val="00786A08"/>
    <w:rsid w:val="00787E8E"/>
    <w:rsid w:val="00790D04"/>
    <w:rsid w:val="007A3370"/>
    <w:rsid w:val="007A3393"/>
    <w:rsid w:val="007A5E12"/>
    <w:rsid w:val="007B3B06"/>
    <w:rsid w:val="007B4B80"/>
    <w:rsid w:val="007B67DE"/>
    <w:rsid w:val="007B6813"/>
    <w:rsid w:val="007C30F7"/>
    <w:rsid w:val="007C4457"/>
    <w:rsid w:val="007C6A34"/>
    <w:rsid w:val="007C749F"/>
    <w:rsid w:val="007D23E5"/>
    <w:rsid w:val="007D3673"/>
    <w:rsid w:val="007D3733"/>
    <w:rsid w:val="007D3BDA"/>
    <w:rsid w:val="007D565A"/>
    <w:rsid w:val="007D5A11"/>
    <w:rsid w:val="007E1708"/>
    <w:rsid w:val="007E7572"/>
    <w:rsid w:val="007F004E"/>
    <w:rsid w:val="007F0D69"/>
    <w:rsid w:val="007F0D87"/>
    <w:rsid w:val="007F343F"/>
    <w:rsid w:val="007F4F5E"/>
    <w:rsid w:val="007F5B23"/>
    <w:rsid w:val="00800407"/>
    <w:rsid w:val="00800C05"/>
    <w:rsid w:val="0080278B"/>
    <w:rsid w:val="00803A2D"/>
    <w:rsid w:val="0080477F"/>
    <w:rsid w:val="00804B6A"/>
    <w:rsid w:val="0081185E"/>
    <w:rsid w:val="0081526C"/>
    <w:rsid w:val="0081615C"/>
    <w:rsid w:val="00817057"/>
    <w:rsid w:val="00824EE3"/>
    <w:rsid w:val="00825950"/>
    <w:rsid w:val="00825F21"/>
    <w:rsid w:val="00827827"/>
    <w:rsid w:val="00827B45"/>
    <w:rsid w:val="00827D2A"/>
    <w:rsid w:val="00827E28"/>
    <w:rsid w:val="00830484"/>
    <w:rsid w:val="00830C30"/>
    <w:rsid w:val="0083356F"/>
    <w:rsid w:val="00834B9A"/>
    <w:rsid w:val="008363CE"/>
    <w:rsid w:val="008371E0"/>
    <w:rsid w:val="00840266"/>
    <w:rsid w:val="00841AF7"/>
    <w:rsid w:val="00842794"/>
    <w:rsid w:val="00845278"/>
    <w:rsid w:val="0084541D"/>
    <w:rsid w:val="00846BAD"/>
    <w:rsid w:val="008504E6"/>
    <w:rsid w:val="0085230C"/>
    <w:rsid w:val="008530E4"/>
    <w:rsid w:val="00854CC8"/>
    <w:rsid w:val="00854D85"/>
    <w:rsid w:val="008562D0"/>
    <w:rsid w:val="008647F5"/>
    <w:rsid w:val="008662D9"/>
    <w:rsid w:val="008667BA"/>
    <w:rsid w:val="00867059"/>
    <w:rsid w:val="008715A2"/>
    <w:rsid w:val="008721BD"/>
    <w:rsid w:val="00872465"/>
    <w:rsid w:val="00875770"/>
    <w:rsid w:val="00876A4D"/>
    <w:rsid w:val="00880C2E"/>
    <w:rsid w:val="008813A5"/>
    <w:rsid w:val="0088148C"/>
    <w:rsid w:val="00892905"/>
    <w:rsid w:val="00894E9B"/>
    <w:rsid w:val="00894FAF"/>
    <w:rsid w:val="00895FB8"/>
    <w:rsid w:val="008A06DD"/>
    <w:rsid w:val="008A29A1"/>
    <w:rsid w:val="008A5580"/>
    <w:rsid w:val="008A6DEB"/>
    <w:rsid w:val="008B1BF1"/>
    <w:rsid w:val="008B75B7"/>
    <w:rsid w:val="008C06D4"/>
    <w:rsid w:val="008C6D8F"/>
    <w:rsid w:val="008D0317"/>
    <w:rsid w:val="008D4510"/>
    <w:rsid w:val="008D550C"/>
    <w:rsid w:val="008D576A"/>
    <w:rsid w:val="008D6A1D"/>
    <w:rsid w:val="008D7D2A"/>
    <w:rsid w:val="008E5963"/>
    <w:rsid w:val="008E6C12"/>
    <w:rsid w:val="008E7B77"/>
    <w:rsid w:val="008F020C"/>
    <w:rsid w:val="008F3137"/>
    <w:rsid w:val="008F4B22"/>
    <w:rsid w:val="008F4F03"/>
    <w:rsid w:val="008F5FDF"/>
    <w:rsid w:val="008F6572"/>
    <w:rsid w:val="008F7225"/>
    <w:rsid w:val="00900AC0"/>
    <w:rsid w:val="00901BCB"/>
    <w:rsid w:val="00903577"/>
    <w:rsid w:val="00903658"/>
    <w:rsid w:val="00903C83"/>
    <w:rsid w:val="00903E20"/>
    <w:rsid w:val="0090586D"/>
    <w:rsid w:val="00905EE2"/>
    <w:rsid w:val="0090677D"/>
    <w:rsid w:val="00907253"/>
    <w:rsid w:val="00912488"/>
    <w:rsid w:val="00913D06"/>
    <w:rsid w:val="0091797C"/>
    <w:rsid w:val="009216BE"/>
    <w:rsid w:val="00921BAA"/>
    <w:rsid w:val="009221F3"/>
    <w:rsid w:val="009306F4"/>
    <w:rsid w:val="00932443"/>
    <w:rsid w:val="00937715"/>
    <w:rsid w:val="009425FB"/>
    <w:rsid w:val="00944242"/>
    <w:rsid w:val="009447A8"/>
    <w:rsid w:val="00946164"/>
    <w:rsid w:val="00947373"/>
    <w:rsid w:val="00954362"/>
    <w:rsid w:val="00954F46"/>
    <w:rsid w:val="009623DC"/>
    <w:rsid w:val="00963E00"/>
    <w:rsid w:val="00963E95"/>
    <w:rsid w:val="00966E6E"/>
    <w:rsid w:val="009748A5"/>
    <w:rsid w:val="009774B3"/>
    <w:rsid w:val="00977FC6"/>
    <w:rsid w:val="00982907"/>
    <w:rsid w:val="00982D8D"/>
    <w:rsid w:val="00986A67"/>
    <w:rsid w:val="00986B3B"/>
    <w:rsid w:val="009910DC"/>
    <w:rsid w:val="0099187E"/>
    <w:rsid w:val="009920A2"/>
    <w:rsid w:val="009948AF"/>
    <w:rsid w:val="00994D2C"/>
    <w:rsid w:val="009958F7"/>
    <w:rsid w:val="009A1250"/>
    <w:rsid w:val="009A2206"/>
    <w:rsid w:val="009A2DB8"/>
    <w:rsid w:val="009A402D"/>
    <w:rsid w:val="009A60E2"/>
    <w:rsid w:val="009A781D"/>
    <w:rsid w:val="009B0969"/>
    <w:rsid w:val="009B1133"/>
    <w:rsid w:val="009B1139"/>
    <w:rsid w:val="009B1347"/>
    <w:rsid w:val="009B3D52"/>
    <w:rsid w:val="009B511F"/>
    <w:rsid w:val="009B60D8"/>
    <w:rsid w:val="009C06EF"/>
    <w:rsid w:val="009C1F71"/>
    <w:rsid w:val="009C3D72"/>
    <w:rsid w:val="009C4F7F"/>
    <w:rsid w:val="009C5F56"/>
    <w:rsid w:val="009D08C7"/>
    <w:rsid w:val="009D0903"/>
    <w:rsid w:val="009D0AD6"/>
    <w:rsid w:val="009D3EDE"/>
    <w:rsid w:val="009D4ACF"/>
    <w:rsid w:val="009D7992"/>
    <w:rsid w:val="009D7CAA"/>
    <w:rsid w:val="009E2DAB"/>
    <w:rsid w:val="009E434D"/>
    <w:rsid w:val="009E610F"/>
    <w:rsid w:val="009E798B"/>
    <w:rsid w:val="009F04B2"/>
    <w:rsid w:val="009F1152"/>
    <w:rsid w:val="009F11E5"/>
    <w:rsid w:val="009F52B6"/>
    <w:rsid w:val="009F6CA7"/>
    <w:rsid w:val="00A010BC"/>
    <w:rsid w:val="00A02D86"/>
    <w:rsid w:val="00A10FCE"/>
    <w:rsid w:val="00A1136F"/>
    <w:rsid w:val="00A1227F"/>
    <w:rsid w:val="00A12C60"/>
    <w:rsid w:val="00A1469A"/>
    <w:rsid w:val="00A17836"/>
    <w:rsid w:val="00A20741"/>
    <w:rsid w:val="00A20F8D"/>
    <w:rsid w:val="00A2236F"/>
    <w:rsid w:val="00A23318"/>
    <w:rsid w:val="00A238AF"/>
    <w:rsid w:val="00A23A8F"/>
    <w:rsid w:val="00A23C47"/>
    <w:rsid w:val="00A24F83"/>
    <w:rsid w:val="00A251F8"/>
    <w:rsid w:val="00A254AC"/>
    <w:rsid w:val="00A31576"/>
    <w:rsid w:val="00A3227C"/>
    <w:rsid w:val="00A340DF"/>
    <w:rsid w:val="00A34D18"/>
    <w:rsid w:val="00A35B0A"/>
    <w:rsid w:val="00A37141"/>
    <w:rsid w:val="00A37A60"/>
    <w:rsid w:val="00A40311"/>
    <w:rsid w:val="00A43834"/>
    <w:rsid w:val="00A45350"/>
    <w:rsid w:val="00A45ACC"/>
    <w:rsid w:val="00A45DBD"/>
    <w:rsid w:val="00A46437"/>
    <w:rsid w:val="00A53BE6"/>
    <w:rsid w:val="00A57C7E"/>
    <w:rsid w:val="00A611D2"/>
    <w:rsid w:val="00A614C3"/>
    <w:rsid w:val="00A647BF"/>
    <w:rsid w:val="00A656B2"/>
    <w:rsid w:val="00A65848"/>
    <w:rsid w:val="00A65E8C"/>
    <w:rsid w:val="00A66BBE"/>
    <w:rsid w:val="00A70D5E"/>
    <w:rsid w:val="00A73E06"/>
    <w:rsid w:val="00A74124"/>
    <w:rsid w:val="00A76B8A"/>
    <w:rsid w:val="00A77D05"/>
    <w:rsid w:val="00A805AC"/>
    <w:rsid w:val="00A822FC"/>
    <w:rsid w:val="00A8363C"/>
    <w:rsid w:val="00A83801"/>
    <w:rsid w:val="00A91E19"/>
    <w:rsid w:val="00A9253E"/>
    <w:rsid w:val="00A928B9"/>
    <w:rsid w:val="00A962B6"/>
    <w:rsid w:val="00A9720F"/>
    <w:rsid w:val="00AA1A6F"/>
    <w:rsid w:val="00AA2FCF"/>
    <w:rsid w:val="00AA309B"/>
    <w:rsid w:val="00AA442B"/>
    <w:rsid w:val="00AA51B3"/>
    <w:rsid w:val="00AA7CA8"/>
    <w:rsid w:val="00AB0AF8"/>
    <w:rsid w:val="00AB16D5"/>
    <w:rsid w:val="00AB36CD"/>
    <w:rsid w:val="00AB4CDB"/>
    <w:rsid w:val="00AB51E4"/>
    <w:rsid w:val="00AB5ED2"/>
    <w:rsid w:val="00AC78E0"/>
    <w:rsid w:val="00AD0B9B"/>
    <w:rsid w:val="00AD297E"/>
    <w:rsid w:val="00AD4278"/>
    <w:rsid w:val="00AD508A"/>
    <w:rsid w:val="00AD6DA9"/>
    <w:rsid w:val="00AD6DBD"/>
    <w:rsid w:val="00AE0AD9"/>
    <w:rsid w:val="00AE2067"/>
    <w:rsid w:val="00AE47C4"/>
    <w:rsid w:val="00AF02ED"/>
    <w:rsid w:val="00AF3DEC"/>
    <w:rsid w:val="00B04EAD"/>
    <w:rsid w:val="00B11A96"/>
    <w:rsid w:val="00B1216A"/>
    <w:rsid w:val="00B133F9"/>
    <w:rsid w:val="00B17AC2"/>
    <w:rsid w:val="00B20E4C"/>
    <w:rsid w:val="00B21003"/>
    <w:rsid w:val="00B2138C"/>
    <w:rsid w:val="00B22C04"/>
    <w:rsid w:val="00B24F18"/>
    <w:rsid w:val="00B25937"/>
    <w:rsid w:val="00B27021"/>
    <w:rsid w:val="00B3384E"/>
    <w:rsid w:val="00B34C6B"/>
    <w:rsid w:val="00B35B4F"/>
    <w:rsid w:val="00B41646"/>
    <w:rsid w:val="00B42FAB"/>
    <w:rsid w:val="00B4494D"/>
    <w:rsid w:val="00B5102A"/>
    <w:rsid w:val="00B5236D"/>
    <w:rsid w:val="00B55DA0"/>
    <w:rsid w:val="00B57C4F"/>
    <w:rsid w:val="00B57FB8"/>
    <w:rsid w:val="00B612D2"/>
    <w:rsid w:val="00B62938"/>
    <w:rsid w:val="00B63C29"/>
    <w:rsid w:val="00B65693"/>
    <w:rsid w:val="00B7682C"/>
    <w:rsid w:val="00B768C6"/>
    <w:rsid w:val="00B8080E"/>
    <w:rsid w:val="00B81113"/>
    <w:rsid w:val="00B85577"/>
    <w:rsid w:val="00B85AAC"/>
    <w:rsid w:val="00B936B7"/>
    <w:rsid w:val="00BA3109"/>
    <w:rsid w:val="00BA6F29"/>
    <w:rsid w:val="00BB018B"/>
    <w:rsid w:val="00BB0F05"/>
    <w:rsid w:val="00BB3778"/>
    <w:rsid w:val="00BB4E26"/>
    <w:rsid w:val="00BB5DE0"/>
    <w:rsid w:val="00BB600A"/>
    <w:rsid w:val="00BB6434"/>
    <w:rsid w:val="00BB77C8"/>
    <w:rsid w:val="00BC0026"/>
    <w:rsid w:val="00BC3657"/>
    <w:rsid w:val="00BC36C0"/>
    <w:rsid w:val="00BC6AE3"/>
    <w:rsid w:val="00BD02BF"/>
    <w:rsid w:val="00BD3F45"/>
    <w:rsid w:val="00BD6C8E"/>
    <w:rsid w:val="00BD7C95"/>
    <w:rsid w:val="00BE076A"/>
    <w:rsid w:val="00BE3ABF"/>
    <w:rsid w:val="00BE4384"/>
    <w:rsid w:val="00BE5391"/>
    <w:rsid w:val="00BE6569"/>
    <w:rsid w:val="00BF1B0A"/>
    <w:rsid w:val="00BF3CF1"/>
    <w:rsid w:val="00BF3E01"/>
    <w:rsid w:val="00BF584A"/>
    <w:rsid w:val="00BF5CFE"/>
    <w:rsid w:val="00C018E9"/>
    <w:rsid w:val="00C02DCE"/>
    <w:rsid w:val="00C22634"/>
    <w:rsid w:val="00C240C8"/>
    <w:rsid w:val="00C31567"/>
    <w:rsid w:val="00C345A1"/>
    <w:rsid w:val="00C351F9"/>
    <w:rsid w:val="00C416D8"/>
    <w:rsid w:val="00C44488"/>
    <w:rsid w:val="00C449FC"/>
    <w:rsid w:val="00C510CF"/>
    <w:rsid w:val="00C51C7F"/>
    <w:rsid w:val="00C554FF"/>
    <w:rsid w:val="00C55873"/>
    <w:rsid w:val="00C62E3E"/>
    <w:rsid w:val="00C63DD6"/>
    <w:rsid w:val="00C65527"/>
    <w:rsid w:val="00C65FC2"/>
    <w:rsid w:val="00C66001"/>
    <w:rsid w:val="00C7006A"/>
    <w:rsid w:val="00C70496"/>
    <w:rsid w:val="00C71497"/>
    <w:rsid w:val="00C715A6"/>
    <w:rsid w:val="00C733FD"/>
    <w:rsid w:val="00C774FE"/>
    <w:rsid w:val="00C839CA"/>
    <w:rsid w:val="00C85834"/>
    <w:rsid w:val="00C85DAA"/>
    <w:rsid w:val="00C8778D"/>
    <w:rsid w:val="00C87E15"/>
    <w:rsid w:val="00C95365"/>
    <w:rsid w:val="00C958EA"/>
    <w:rsid w:val="00C97F9B"/>
    <w:rsid w:val="00CB128C"/>
    <w:rsid w:val="00CB16EA"/>
    <w:rsid w:val="00CB1918"/>
    <w:rsid w:val="00CB32A4"/>
    <w:rsid w:val="00CB3852"/>
    <w:rsid w:val="00CB5681"/>
    <w:rsid w:val="00CB577F"/>
    <w:rsid w:val="00CB5AF8"/>
    <w:rsid w:val="00CB7910"/>
    <w:rsid w:val="00CC0F97"/>
    <w:rsid w:val="00CC2482"/>
    <w:rsid w:val="00CC26C4"/>
    <w:rsid w:val="00CC39E6"/>
    <w:rsid w:val="00CC4212"/>
    <w:rsid w:val="00CD03CB"/>
    <w:rsid w:val="00CD2834"/>
    <w:rsid w:val="00CD6E58"/>
    <w:rsid w:val="00CD7331"/>
    <w:rsid w:val="00CD7FF2"/>
    <w:rsid w:val="00CE3203"/>
    <w:rsid w:val="00CE3293"/>
    <w:rsid w:val="00CE32E0"/>
    <w:rsid w:val="00CE41AF"/>
    <w:rsid w:val="00CE5535"/>
    <w:rsid w:val="00CE5F2E"/>
    <w:rsid w:val="00CF31CA"/>
    <w:rsid w:val="00CF4C7D"/>
    <w:rsid w:val="00CF4F6A"/>
    <w:rsid w:val="00CF64AB"/>
    <w:rsid w:val="00D01565"/>
    <w:rsid w:val="00D0673D"/>
    <w:rsid w:val="00D1092A"/>
    <w:rsid w:val="00D109FA"/>
    <w:rsid w:val="00D10AF2"/>
    <w:rsid w:val="00D112F3"/>
    <w:rsid w:val="00D11DB8"/>
    <w:rsid w:val="00D12AD8"/>
    <w:rsid w:val="00D14C5E"/>
    <w:rsid w:val="00D16575"/>
    <w:rsid w:val="00D178FA"/>
    <w:rsid w:val="00D20952"/>
    <w:rsid w:val="00D21FE9"/>
    <w:rsid w:val="00D2240A"/>
    <w:rsid w:val="00D234A9"/>
    <w:rsid w:val="00D2425D"/>
    <w:rsid w:val="00D24C96"/>
    <w:rsid w:val="00D25001"/>
    <w:rsid w:val="00D26561"/>
    <w:rsid w:val="00D34DA4"/>
    <w:rsid w:val="00D46AA8"/>
    <w:rsid w:val="00D53E1F"/>
    <w:rsid w:val="00D55D73"/>
    <w:rsid w:val="00D56338"/>
    <w:rsid w:val="00D572E5"/>
    <w:rsid w:val="00D57D91"/>
    <w:rsid w:val="00D67415"/>
    <w:rsid w:val="00D71B11"/>
    <w:rsid w:val="00D73CB9"/>
    <w:rsid w:val="00D802EE"/>
    <w:rsid w:val="00D811E0"/>
    <w:rsid w:val="00D814C3"/>
    <w:rsid w:val="00D8624C"/>
    <w:rsid w:val="00D862C0"/>
    <w:rsid w:val="00D907DF"/>
    <w:rsid w:val="00D91590"/>
    <w:rsid w:val="00D93C98"/>
    <w:rsid w:val="00D9520E"/>
    <w:rsid w:val="00DA2C26"/>
    <w:rsid w:val="00DA4DC8"/>
    <w:rsid w:val="00DB1B24"/>
    <w:rsid w:val="00DB3AFC"/>
    <w:rsid w:val="00DB4BB9"/>
    <w:rsid w:val="00DB7C99"/>
    <w:rsid w:val="00DC1768"/>
    <w:rsid w:val="00DC1F7D"/>
    <w:rsid w:val="00DC6C77"/>
    <w:rsid w:val="00DD3F18"/>
    <w:rsid w:val="00DD5A52"/>
    <w:rsid w:val="00DE0938"/>
    <w:rsid w:val="00DE1031"/>
    <w:rsid w:val="00DE1A23"/>
    <w:rsid w:val="00DE26CD"/>
    <w:rsid w:val="00DE3D51"/>
    <w:rsid w:val="00DE439C"/>
    <w:rsid w:val="00DE7CDF"/>
    <w:rsid w:val="00DF17A0"/>
    <w:rsid w:val="00DF4BA1"/>
    <w:rsid w:val="00E00882"/>
    <w:rsid w:val="00E00B91"/>
    <w:rsid w:val="00E031CC"/>
    <w:rsid w:val="00E03DA4"/>
    <w:rsid w:val="00E03EDF"/>
    <w:rsid w:val="00E04BB6"/>
    <w:rsid w:val="00E05FF1"/>
    <w:rsid w:val="00E06066"/>
    <w:rsid w:val="00E0667A"/>
    <w:rsid w:val="00E109D9"/>
    <w:rsid w:val="00E12345"/>
    <w:rsid w:val="00E1707D"/>
    <w:rsid w:val="00E21B95"/>
    <w:rsid w:val="00E21C78"/>
    <w:rsid w:val="00E21EE5"/>
    <w:rsid w:val="00E21EF6"/>
    <w:rsid w:val="00E26BFD"/>
    <w:rsid w:val="00E311D8"/>
    <w:rsid w:val="00E31523"/>
    <w:rsid w:val="00E352F6"/>
    <w:rsid w:val="00E35F40"/>
    <w:rsid w:val="00E37A7E"/>
    <w:rsid w:val="00E4010B"/>
    <w:rsid w:val="00E42666"/>
    <w:rsid w:val="00E42DE8"/>
    <w:rsid w:val="00E433B3"/>
    <w:rsid w:val="00E446B1"/>
    <w:rsid w:val="00E4543F"/>
    <w:rsid w:val="00E47C4B"/>
    <w:rsid w:val="00E50B13"/>
    <w:rsid w:val="00E519B4"/>
    <w:rsid w:val="00E51D0E"/>
    <w:rsid w:val="00E5311A"/>
    <w:rsid w:val="00E53DA4"/>
    <w:rsid w:val="00E57A55"/>
    <w:rsid w:val="00E648E3"/>
    <w:rsid w:val="00E6504D"/>
    <w:rsid w:val="00E67747"/>
    <w:rsid w:val="00E70ED6"/>
    <w:rsid w:val="00E7315E"/>
    <w:rsid w:val="00E75296"/>
    <w:rsid w:val="00E75371"/>
    <w:rsid w:val="00E75429"/>
    <w:rsid w:val="00E75A51"/>
    <w:rsid w:val="00E75A8E"/>
    <w:rsid w:val="00E81169"/>
    <w:rsid w:val="00E82586"/>
    <w:rsid w:val="00E84AF2"/>
    <w:rsid w:val="00E92B03"/>
    <w:rsid w:val="00E94F50"/>
    <w:rsid w:val="00E96647"/>
    <w:rsid w:val="00E9675F"/>
    <w:rsid w:val="00EA0340"/>
    <w:rsid w:val="00EA16F9"/>
    <w:rsid w:val="00EA3168"/>
    <w:rsid w:val="00EA389C"/>
    <w:rsid w:val="00EA5530"/>
    <w:rsid w:val="00EA6323"/>
    <w:rsid w:val="00EB1A14"/>
    <w:rsid w:val="00EB3253"/>
    <w:rsid w:val="00EB4787"/>
    <w:rsid w:val="00EB5450"/>
    <w:rsid w:val="00EB6F44"/>
    <w:rsid w:val="00EC0FCE"/>
    <w:rsid w:val="00EC1E98"/>
    <w:rsid w:val="00EC588C"/>
    <w:rsid w:val="00EC708C"/>
    <w:rsid w:val="00ED2F4F"/>
    <w:rsid w:val="00ED5140"/>
    <w:rsid w:val="00ED5A0E"/>
    <w:rsid w:val="00ED5AA8"/>
    <w:rsid w:val="00EE0A80"/>
    <w:rsid w:val="00EE153B"/>
    <w:rsid w:val="00EE3D68"/>
    <w:rsid w:val="00EE495C"/>
    <w:rsid w:val="00EE6476"/>
    <w:rsid w:val="00EE737B"/>
    <w:rsid w:val="00EE7C3B"/>
    <w:rsid w:val="00EF0641"/>
    <w:rsid w:val="00EF0B67"/>
    <w:rsid w:val="00EF222D"/>
    <w:rsid w:val="00F01720"/>
    <w:rsid w:val="00F04805"/>
    <w:rsid w:val="00F064A0"/>
    <w:rsid w:val="00F123B9"/>
    <w:rsid w:val="00F21007"/>
    <w:rsid w:val="00F22182"/>
    <w:rsid w:val="00F24F7F"/>
    <w:rsid w:val="00F2649F"/>
    <w:rsid w:val="00F307ED"/>
    <w:rsid w:val="00F30BC0"/>
    <w:rsid w:val="00F3164E"/>
    <w:rsid w:val="00F41378"/>
    <w:rsid w:val="00F519E0"/>
    <w:rsid w:val="00F52857"/>
    <w:rsid w:val="00F557ED"/>
    <w:rsid w:val="00F60C0B"/>
    <w:rsid w:val="00F613C3"/>
    <w:rsid w:val="00F67270"/>
    <w:rsid w:val="00F701B3"/>
    <w:rsid w:val="00F70833"/>
    <w:rsid w:val="00F763D0"/>
    <w:rsid w:val="00F7765C"/>
    <w:rsid w:val="00F803AC"/>
    <w:rsid w:val="00F8084A"/>
    <w:rsid w:val="00F82994"/>
    <w:rsid w:val="00F82F62"/>
    <w:rsid w:val="00F846CE"/>
    <w:rsid w:val="00F851DF"/>
    <w:rsid w:val="00F86EC9"/>
    <w:rsid w:val="00F8739A"/>
    <w:rsid w:val="00F91D62"/>
    <w:rsid w:val="00F94DE4"/>
    <w:rsid w:val="00F96EC4"/>
    <w:rsid w:val="00F975B8"/>
    <w:rsid w:val="00F97FEC"/>
    <w:rsid w:val="00FA2478"/>
    <w:rsid w:val="00FA34C1"/>
    <w:rsid w:val="00FA5F47"/>
    <w:rsid w:val="00FA6B29"/>
    <w:rsid w:val="00FA6B8B"/>
    <w:rsid w:val="00FB229A"/>
    <w:rsid w:val="00FB31E1"/>
    <w:rsid w:val="00FC04A3"/>
    <w:rsid w:val="00FC09F3"/>
    <w:rsid w:val="00FC1CDF"/>
    <w:rsid w:val="00FC1DCD"/>
    <w:rsid w:val="00FC50EF"/>
    <w:rsid w:val="00FC50F0"/>
    <w:rsid w:val="00FC6C49"/>
    <w:rsid w:val="00FD2167"/>
    <w:rsid w:val="00FD2950"/>
    <w:rsid w:val="00FD3DF1"/>
    <w:rsid w:val="00FD617E"/>
    <w:rsid w:val="00FE16E1"/>
    <w:rsid w:val="00FE6EFD"/>
    <w:rsid w:val="00FE6F0C"/>
    <w:rsid w:val="00FE6F8B"/>
    <w:rsid w:val="00FE7FC0"/>
    <w:rsid w:val="00FF0BEF"/>
    <w:rsid w:val="00FF1351"/>
    <w:rsid w:val="00FF1E4E"/>
    <w:rsid w:val="00FF50C3"/>
    <w:rsid w:val="00FF55B3"/>
    <w:rsid w:val="00FF7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69C998-9BBD-4693-B32F-9DD5ACEB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C4F"/>
    <w:rPr>
      <w:sz w:val="24"/>
      <w:szCs w:val="24"/>
    </w:rPr>
  </w:style>
  <w:style w:type="paragraph" w:styleId="2">
    <w:name w:val="heading 2"/>
    <w:basedOn w:val="a"/>
    <w:next w:val="a"/>
    <w:link w:val="20"/>
    <w:qFormat/>
    <w:rsid w:val="00414731"/>
    <w:pPr>
      <w:keepNext/>
      <w:ind w:left="3119"/>
      <w:outlineLvl w:val="1"/>
    </w:pPr>
    <w:rPr>
      <w:b/>
      <w:sz w:val="20"/>
      <w:szCs w:val="20"/>
    </w:rPr>
  </w:style>
  <w:style w:type="paragraph" w:styleId="8">
    <w:name w:val="heading 8"/>
    <w:basedOn w:val="a"/>
    <w:next w:val="a"/>
    <w:link w:val="80"/>
    <w:qFormat/>
    <w:rsid w:val="00414731"/>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040C4F"/>
    <w:pPr>
      <w:spacing w:line="360" w:lineRule="auto"/>
      <w:jc w:val="center"/>
    </w:pPr>
    <w:rPr>
      <w:b/>
      <w:szCs w:val="20"/>
      <w:lang w:eastAsia="en-US"/>
    </w:rPr>
  </w:style>
  <w:style w:type="paragraph" w:styleId="a3">
    <w:name w:val="footer"/>
    <w:basedOn w:val="a"/>
    <w:rsid w:val="00040C4F"/>
    <w:pPr>
      <w:tabs>
        <w:tab w:val="center" w:pos="4677"/>
        <w:tab w:val="right" w:pos="9355"/>
      </w:tabs>
    </w:pPr>
  </w:style>
  <w:style w:type="character" w:styleId="a4">
    <w:name w:val="page number"/>
    <w:basedOn w:val="a0"/>
    <w:rsid w:val="00040C4F"/>
  </w:style>
  <w:style w:type="paragraph" w:styleId="a5">
    <w:name w:val="header"/>
    <w:basedOn w:val="a"/>
    <w:rsid w:val="00040C4F"/>
    <w:pPr>
      <w:tabs>
        <w:tab w:val="center" w:pos="4677"/>
        <w:tab w:val="right" w:pos="9355"/>
      </w:tabs>
    </w:pPr>
  </w:style>
  <w:style w:type="table" w:styleId="a6">
    <w:name w:val="Table Grid"/>
    <w:basedOn w:val="a1"/>
    <w:rsid w:val="002125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99187E"/>
    <w:pPr>
      <w:widowControl w:val="0"/>
      <w:autoSpaceDE w:val="0"/>
      <w:autoSpaceDN w:val="0"/>
      <w:adjustRightInd w:val="0"/>
      <w:ind w:firstLine="720"/>
    </w:pPr>
    <w:rPr>
      <w:rFonts w:ascii="Arial" w:hAnsi="Arial" w:cs="Arial"/>
    </w:rPr>
  </w:style>
  <w:style w:type="paragraph" w:customStyle="1" w:styleId="ConsPlusNonformat">
    <w:name w:val="ConsPlusNonformat"/>
    <w:rsid w:val="0099187E"/>
    <w:pPr>
      <w:widowControl w:val="0"/>
      <w:autoSpaceDE w:val="0"/>
      <w:autoSpaceDN w:val="0"/>
      <w:adjustRightInd w:val="0"/>
    </w:pPr>
    <w:rPr>
      <w:rFonts w:ascii="Courier New" w:hAnsi="Courier New" w:cs="Courier New"/>
    </w:rPr>
  </w:style>
  <w:style w:type="paragraph" w:customStyle="1" w:styleId="1">
    <w:name w:val="Знак1"/>
    <w:basedOn w:val="a"/>
    <w:rsid w:val="00C22634"/>
    <w:pPr>
      <w:spacing w:after="160" w:line="240" w:lineRule="exact"/>
    </w:pPr>
    <w:rPr>
      <w:rFonts w:ascii="Verdana" w:hAnsi="Verdana"/>
      <w:sz w:val="20"/>
      <w:szCs w:val="20"/>
      <w:lang w:val="en-US" w:eastAsia="en-US"/>
    </w:rPr>
  </w:style>
  <w:style w:type="paragraph" w:styleId="a7">
    <w:name w:val="Body Text Indent"/>
    <w:basedOn w:val="a"/>
    <w:rsid w:val="00C8778D"/>
    <w:pPr>
      <w:spacing w:after="120"/>
      <w:ind w:left="283"/>
    </w:pPr>
  </w:style>
  <w:style w:type="paragraph" w:styleId="a8">
    <w:name w:val="Body Text"/>
    <w:basedOn w:val="a"/>
    <w:link w:val="a9"/>
    <w:rsid w:val="00010F95"/>
    <w:pPr>
      <w:widowControl w:val="0"/>
      <w:autoSpaceDE w:val="0"/>
      <w:autoSpaceDN w:val="0"/>
      <w:adjustRightInd w:val="0"/>
      <w:spacing w:after="120"/>
    </w:pPr>
    <w:rPr>
      <w:rFonts w:ascii="Arial" w:hAnsi="Arial" w:cs="Arial"/>
      <w:sz w:val="20"/>
      <w:szCs w:val="20"/>
    </w:rPr>
  </w:style>
  <w:style w:type="paragraph" w:customStyle="1" w:styleId="ConsTitle">
    <w:name w:val="ConsTitle"/>
    <w:rsid w:val="00D20952"/>
    <w:pPr>
      <w:widowControl w:val="0"/>
      <w:autoSpaceDE w:val="0"/>
      <w:autoSpaceDN w:val="0"/>
      <w:adjustRightInd w:val="0"/>
    </w:pPr>
    <w:rPr>
      <w:rFonts w:ascii="Arial" w:hAnsi="Arial" w:cs="Arial"/>
      <w:b/>
      <w:bCs/>
      <w:sz w:val="16"/>
      <w:szCs w:val="16"/>
    </w:rPr>
  </w:style>
  <w:style w:type="paragraph" w:customStyle="1" w:styleId="ConsNonformat">
    <w:name w:val="ConsNonformat"/>
    <w:rsid w:val="00D20952"/>
    <w:pPr>
      <w:widowControl w:val="0"/>
      <w:autoSpaceDE w:val="0"/>
      <w:autoSpaceDN w:val="0"/>
      <w:adjustRightInd w:val="0"/>
    </w:pPr>
    <w:rPr>
      <w:rFonts w:ascii="Courier New" w:hAnsi="Courier New" w:cs="Courier New"/>
      <w:sz w:val="26"/>
      <w:szCs w:val="26"/>
    </w:rPr>
  </w:style>
  <w:style w:type="paragraph" w:customStyle="1" w:styleId="AAA">
    <w:name w:val="! AAA !"/>
    <w:rsid w:val="00D20952"/>
    <w:pPr>
      <w:spacing w:after="120"/>
      <w:jc w:val="both"/>
    </w:pPr>
    <w:rPr>
      <w:color w:val="0000FF"/>
      <w:sz w:val="24"/>
      <w:szCs w:val="24"/>
    </w:rPr>
  </w:style>
  <w:style w:type="paragraph" w:styleId="22">
    <w:name w:val="Body Text Indent 2"/>
    <w:basedOn w:val="a"/>
    <w:rsid w:val="00D53E1F"/>
    <w:pPr>
      <w:spacing w:after="120" w:line="480" w:lineRule="auto"/>
      <w:ind w:left="283"/>
    </w:pPr>
  </w:style>
  <w:style w:type="paragraph" w:styleId="aa">
    <w:name w:val="List Paragraph"/>
    <w:basedOn w:val="a"/>
    <w:uiPriority w:val="34"/>
    <w:qFormat/>
    <w:rsid w:val="00E75A8E"/>
    <w:pPr>
      <w:spacing w:after="200" w:line="276" w:lineRule="auto"/>
      <w:ind w:left="720"/>
      <w:contextualSpacing/>
    </w:pPr>
    <w:rPr>
      <w:rFonts w:ascii="Calibri" w:hAnsi="Calibri"/>
      <w:sz w:val="22"/>
      <w:szCs w:val="22"/>
    </w:rPr>
  </w:style>
  <w:style w:type="paragraph" w:styleId="ab">
    <w:name w:val="Balloon Text"/>
    <w:basedOn w:val="a"/>
    <w:link w:val="ac"/>
    <w:uiPriority w:val="99"/>
    <w:unhideWhenUsed/>
    <w:rsid w:val="00E75A8E"/>
    <w:rPr>
      <w:rFonts w:ascii="Tahoma" w:hAnsi="Tahoma" w:cs="Tahoma"/>
      <w:sz w:val="16"/>
      <w:szCs w:val="16"/>
    </w:rPr>
  </w:style>
  <w:style w:type="character" w:customStyle="1" w:styleId="ac">
    <w:name w:val="Текст выноски Знак"/>
    <w:basedOn w:val="a0"/>
    <w:link w:val="ab"/>
    <w:uiPriority w:val="99"/>
    <w:rsid w:val="00E75A8E"/>
    <w:rPr>
      <w:rFonts w:ascii="Tahoma" w:eastAsia="Times New Roman" w:hAnsi="Tahoma" w:cs="Tahoma"/>
      <w:sz w:val="16"/>
      <w:szCs w:val="16"/>
    </w:rPr>
  </w:style>
  <w:style w:type="character" w:customStyle="1" w:styleId="a9">
    <w:name w:val="Основной текст Знак"/>
    <w:basedOn w:val="a0"/>
    <w:link w:val="a8"/>
    <w:rsid w:val="00E75A8E"/>
    <w:rPr>
      <w:rFonts w:ascii="Arial" w:hAnsi="Arial" w:cs="Arial"/>
    </w:rPr>
  </w:style>
  <w:style w:type="character" w:styleId="ad">
    <w:name w:val="Hyperlink"/>
    <w:basedOn w:val="a0"/>
    <w:rsid w:val="00E75A8E"/>
    <w:rPr>
      <w:color w:val="0000FF"/>
      <w:u w:val="single"/>
    </w:rPr>
  </w:style>
  <w:style w:type="paragraph" w:styleId="ae">
    <w:name w:val="Title"/>
    <w:basedOn w:val="a"/>
    <w:link w:val="af"/>
    <w:qFormat/>
    <w:rsid w:val="00E75A8E"/>
    <w:pPr>
      <w:jc w:val="center"/>
    </w:pPr>
    <w:rPr>
      <w:sz w:val="28"/>
      <w:szCs w:val="20"/>
    </w:rPr>
  </w:style>
  <w:style w:type="character" w:customStyle="1" w:styleId="af">
    <w:name w:val="Название Знак"/>
    <w:basedOn w:val="a0"/>
    <w:link w:val="ae"/>
    <w:rsid w:val="00E75A8E"/>
    <w:rPr>
      <w:sz w:val="28"/>
    </w:rPr>
  </w:style>
  <w:style w:type="paragraph" w:styleId="af0">
    <w:name w:val="caption"/>
    <w:basedOn w:val="a"/>
    <w:next w:val="a"/>
    <w:uiPriority w:val="35"/>
    <w:unhideWhenUsed/>
    <w:qFormat/>
    <w:rsid w:val="00E75A8E"/>
    <w:pPr>
      <w:spacing w:after="200"/>
    </w:pPr>
    <w:rPr>
      <w:rFonts w:ascii="Calibri" w:hAnsi="Calibri"/>
      <w:b/>
      <w:bCs/>
      <w:color w:val="4F81BD"/>
      <w:sz w:val="18"/>
      <w:szCs w:val="18"/>
    </w:rPr>
  </w:style>
  <w:style w:type="paragraph" w:customStyle="1" w:styleId="af1">
    <w:name w:val="Îáû÷íûé"/>
    <w:rsid w:val="00F24F7F"/>
    <w:pPr>
      <w:widowControl w:val="0"/>
    </w:pPr>
  </w:style>
  <w:style w:type="paragraph" w:styleId="af2">
    <w:name w:val="No Spacing"/>
    <w:uiPriority w:val="1"/>
    <w:qFormat/>
    <w:rsid w:val="00E42666"/>
    <w:rPr>
      <w:rFonts w:ascii="Calibri" w:hAnsi="Calibri"/>
      <w:sz w:val="22"/>
      <w:szCs w:val="22"/>
    </w:rPr>
  </w:style>
  <w:style w:type="paragraph" w:customStyle="1" w:styleId="ConsPlusTitle">
    <w:name w:val="ConsPlusTitle"/>
    <w:rsid w:val="00C87E15"/>
    <w:pPr>
      <w:widowControl w:val="0"/>
    </w:pPr>
    <w:rPr>
      <w:rFonts w:ascii="Arial" w:hAnsi="Arial"/>
      <w:b/>
      <w:snapToGrid w:val="0"/>
    </w:rPr>
  </w:style>
  <w:style w:type="character" w:customStyle="1" w:styleId="FontStyle15">
    <w:name w:val="Font Style15"/>
    <w:uiPriority w:val="99"/>
    <w:rsid w:val="00276704"/>
    <w:rPr>
      <w:rFonts w:ascii="Times New Roman" w:hAnsi="Times New Roman" w:cs="Times New Roman"/>
      <w:sz w:val="24"/>
      <w:szCs w:val="24"/>
    </w:rPr>
  </w:style>
  <w:style w:type="character" w:customStyle="1" w:styleId="20">
    <w:name w:val="Заголовок 2 Знак"/>
    <w:basedOn w:val="a0"/>
    <w:link w:val="2"/>
    <w:rsid w:val="00414731"/>
    <w:rPr>
      <w:b/>
    </w:rPr>
  </w:style>
  <w:style w:type="character" w:customStyle="1" w:styleId="80">
    <w:name w:val="Заголовок 8 Знак"/>
    <w:basedOn w:val="a0"/>
    <w:link w:val="8"/>
    <w:rsid w:val="00414731"/>
    <w:rPr>
      <w:b/>
      <w:sz w:val="24"/>
    </w:rPr>
  </w:style>
  <w:style w:type="paragraph" w:customStyle="1" w:styleId="Default">
    <w:name w:val="Default"/>
    <w:rsid w:val="0041473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223993">
      <w:bodyDiv w:val="1"/>
      <w:marLeft w:val="0"/>
      <w:marRight w:val="0"/>
      <w:marTop w:val="0"/>
      <w:marBottom w:val="0"/>
      <w:divBdr>
        <w:top w:val="none" w:sz="0" w:space="0" w:color="auto"/>
        <w:left w:val="none" w:sz="0" w:space="0" w:color="auto"/>
        <w:bottom w:val="none" w:sz="0" w:space="0" w:color="auto"/>
        <w:right w:val="none" w:sz="0" w:space="0" w:color="auto"/>
      </w:divBdr>
    </w:div>
    <w:div w:id="630282724">
      <w:bodyDiv w:val="1"/>
      <w:marLeft w:val="0"/>
      <w:marRight w:val="0"/>
      <w:marTop w:val="0"/>
      <w:marBottom w:val="0"/>
      <w:divBdr>
        <w:top w:val="none" w:sz="0" w:space="0" w:color="auto"/>
        <w:left w:val="none" w:sz="0" w:space="0" w:color="auto"/>
        <w:bottom w:val="none" w:sz="0" w:space="0" w:color="auto"/>
        <w:right w:val="none" w:sz="0" w:space="0" w:color="auto"/>
      </w:divBdr>
    </w:div>
    <w:div w:id="140688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2023</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Средняя численность безработных граждан, ищущих работу и зарегистрированных в Центре занятости</c:v>
                </c:pt>
                <c:pt idx="1">
                  <c:v>Количество граждан, обратившихся в Центр занятости в поиске работы</c:v>
                </c:pt>
                <c:pt idx="2">
                  <c:v>Количество трудоустроенных граждан через Центр занятости</c:v>
                </c:pt>
              </c:strCache>
            </c:strRef>
          </c:cat>
          <c:val>
            <c:numRef>
              <c:f>Лист1!$B$2:$B$4</c:f>
              <c:numCache>
                <c:formatCode>General</c:formatCode>
                <c:ptCount val="3"/>
                <c:pt idx="0">
                  <c:v>163</c:v>
                </c:pt>
                <c:pt idx="1">
                  <c:v>200</c:v>
                </c:pt>
                <c:pt idx="2">
                  <c:v>125</c:v>
                </c:pt>
              </c:numCache>
            </c:numRef>
          </c:val>
          <c:extLst xmlns:c16r2="http://schemas.microsoft.com/office/drawing/2015/06/chart">
            <c:ext xmlns:c16="http://schemas.microsoft.com/office/drawing/2014/chart" uri="{C3380CC4-5D6E-409C-BE32-E72D297353CC}">
              <c16:uniqueId val="{00000000-2B2D-4DE2-AE6A-2BDA786240E8}"/>
            </c:ext>
          </c:extLst>
        </c:ser>
        <c:ser>
          <c:idx val="1"/>
          <c:order val="1"/>
          <c:tx>
            <c:strRef>
              <c:f>Лист1!$C$1</c:f>
              <c:strCache>
                <c:ptCount val="1"/>
                <c:pt idx="0">
                  <c:v>2024</c:v>
                </c:pt>
              </c:strCache>
            </c:strRef>
          </c:tx>
          <c:invertIfNegative val="0"/>
          <c:dLbls>
            <c:dLbl>
              <c:idx val="0"/>
              <c:tx>
                <c:rich>
                  <a:bodyPr/>
                  <a:lstStyle/>
                  <a:p>
                    <a:r>
                      <a:rPr lang="en-US"/>
                      <a:t>162</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B2D-4DE2-AE6A-2BDA786240E8}"/>
                </c:ext>
                <c:ext xmlns:c15="http://schemas.microsoft.com/office/drawing/2012/chart" uri="{CE6537A1-D6FC-4f65-9D91-7224C49458BB}"/>
              </c:extLst>
            </c:dLbl>
            <c:dLbl>
              <c:idx val="1"/>
              <c:tx>
                <c:rich>
                  <a:bodyPr/>
                  <a:lstStyle/>
                  <a:p>
                    <a:r>
                      <a:rPr lang="en-US"/>
                      <a:t>216</a:t>
                    </a:r>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B2D-4DE2-AE6A-2BDA786240E8}"/>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Средняя численность безработных граждан, ищущих работу и зарегистрированных в Центре занятости</c:v>
                </c:pt>
                <c:pt idx="1">
                  <c:v>Количество граждан, обратившихся в Центр занятости в поиске работы</c:v>
                </c:pt>
                <c:pt idx="2">
                  <c:v>Количество трудоустроенных граждан через Центр занятости</c:v>
                </c:pt>
              </c:strCache>
            </c:strRef>
          </c:cat>
          <c:val>
            <c:numRef>
              <c:f>Лист1!$C$2:$C$4</c:f>
              <c:numCache>
                <c:formatCode>General</c:formatCode>
                <c:ptCount val="3"/>
                <c:pt idx="0">
                  <c:v>132</c:v>
                </c:pt>
                <c:pt idx="1">
                  <c:v>154</c:v>
                </c:pt>
                <c:pt idx="2">
                  <c:v>104</c:v>
                </c:pt>
              </c:numCache>
            </c:numRef>
          </c:val>
          <c:extLst xmlns:c16r2="http://schemas.microsoft.com/office/drawing/2015/06/chart">
            <c:ext xmlns:c16="http://schemas.microsoft.com/office/drawing/2014/chart" uri="{C3380CC4-5D6E-409C-BE32-E72D297353CC}">
              <c16:uniqueId val="{00000003-2B2D-4DE2-AE6A-2BDA786240E8}"/>
            </c:ext>
          </c:extLst>
        </c:ser>
        <c:dLbls>
          <c:showLegendKey val="0"/>
          <c:showVal val="0"/>
          <c:showCatName val="0"/>
          <c:showSerName val="0"/>
          <c:showPercent val="0"/>
          <c:showBubbleSize val="0"/>
        </c:dLbls>
        <c:gapWidth val="150"/>
        <c:shape val="cylinder"/>
        <c:axId val="-2070804960"/>
        <c:axId val="-2070802240"/>
        <c:axId val="0"/>
      </c:bar3DChart>
      <c:catAx>
        <c:axId val="-2070804960"/>
        <c:scaling>
          <c:orientation val="minMax"/>
        </c:scaling>
        <c:delete val="0"/>
        <c:axPos val="b"/>
        <c:numFmt formatCode="General" sourceLinked="0"/>
        <c:majorTickMark val="out"/>
        <c:minorTickMark val="none"/>
        <c:tickLblPos val="nextTo"/>
        <c:txPr>
          <a:bodyPr/>
          <a:lstStyle/>
          <a:p>
            <a:pPr>
              <a:defRPr baseline="0">
                <a:latin typeface="Times New Roman" panose="02020603050405020304" pitchFamily="18" charset="0"/>
              </a:defRPr>
            </a:pPr>
            <a:endParaRPr lang="ru-RU"/>
          </a:p>
        </c:txPr>
        <c:crossAx val="-2070802240"/>
        <c:crosses val="autoZero"/>
        <c:auto val="1"/>
        <c:lblAlgn val="ctr"/>
        <c:lblOffset val="100"/>
        <c:noMultiLvlLbl val="0"/>
      </c:catAx>
      <c:valAx>
        <c:axId val="-2070802240"/>
        <c:scaling>
          <c:orientation val="minMax"/>
        </c:scaling>
        <c:delete val="0"/>
        <c:axPos val="l"/>
        <c:numFmt formatCode="General" sourceLinked="1"/>
        <c:majorTickMark val="out"/>
        <c:minorTickMark val="none"/>
        <c:tickLblPos val="nextTo"/>
        <c:crossAx val="-2070804960"/>
        <c:crosses val="autoZero"/>
        <c:crossBetween val="between"/>
      </c:valAx>
    </c:plotArea>
    <c:legend>
      <c:legendPos val="r"/>
      <c:layout>
        <c:manualLayout>
          <c:xMode val="edge"/>
          <c:yMode val="edge"/>
          <c:x val="0.71384933106537651"/>
          <c:y val="0.40198962934511234"/>
          <c:w val="0.27470574761845756"/>
          <c:h val="0.19602074130977531"/>
        </c:manualLayout>
      </c:layout>
      <c:overlay val="0"/>
    </c:legend>
    <c:plotVisOnly val="1"/>
    <c:dispBlanksAs val="gap"/>
    <c:showDLblsOverMax val="0"/>
  </c:chart>
  <c:spPr>
    <a:noFill/>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3019-03AE-4B0B-B54B-1D49EDBD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14145</TotalTime>
  <Pages>15</Pages>
  <Words>7046</Words>
  <Characters>40165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Аналитическая записка о достигнутых значениях показателей для оценки эффективности деятельности органов местного самоуправления городского округа (муниципального района) в Камчатском крае за 2008 год </vt:lpstr>
    </vt:vector>
  </TitlesOfParts>
  <Company>Microsoft</Company>
  <LinksUpToDate>false</LinksUpToDate>
  <CharactersWithSpaces>47117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записка о достигнутых значениях показателей для оценки эффективности деятельности органов местного самоуправления городского округа (муниципального района) в Камчатском крае за 2008 год </dc:title>
  <dc:subject/>
  <dc:creator>Angella</dc:creator>
  <cp:keywords/>
  <dc:description/>
  <cp:lastModifiedBy>Братчук</cp:lastModifiedBy>
  <cp:revision>237</cp:revision>
  <cp:lastPrinted>2023-04-20T03:18:00Z</cp:lastPrinted>
  <dcterms:created xsi:type="dcterms:W3CDTF">2012-04-17T22:00:00Z</dcterms:created>
  <dcterms:modified xsi:type="dcterms:W3CDTF">2025-04-21T23:56:00Z</dcterms:modified>
</cp:coreProperties>
</file>