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A9" w:rsidRDefault="00086CCD" w:rsidP="00086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CD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 при Министерстве экономического развития, предпринимательства и торговли Камчатского края</w:t>
      </w:r>
    </w:p>
    <w:p w:rsidR="00086CCD" w:rsidRDefault="00086CCD" w:rsidP="00086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CD" w:rsidRDefault="00086CCD" w:rsidP="00086C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при Министерстве экономического развития, предпринимательства и торговли Камчатского края (далее – Общественный совет) образован в</w:t>
      </w:r>
      <w:r w:rsidRP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6943" w:rsidRDefault="005D56A9" w:rsidP="001869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474724" wp14:editId="3980F1A4">
            <wp:simplePos x="0" y="0"/>
            <wp:positionH relativeFrom="column">
              <wp:posOffset>2566035</wp:posOffset>
            </wp:positionH>
            <wp:positionV relativeFrom="paragraph">
              <wp:posOffset>184150</wp:posOffset>
            </wp:positionV>
            <wp:extent cx="3962400" cy="226695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Общественном совете и его состав </w:t>
      </w:r>
      <w:proofErr w:type="gramStart"/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Камчатского края от 10 дек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абря 2013 года №705-п.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Общественного совета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входило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F96" w:rsidRDefault="00814F96" w:rsidP="00814F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заседании 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 председатель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Евгеньевна, финансовый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Профитбух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Валерьевна, исполнительный директор некоммерческого партнерства «Ассоциация предприятий и предпринимателей Камчатки»</w:t>
      </w:r>
      <w:r w:rsidR="00E0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р</w:t>
      </w:r>
      <w:r w:rsidRPr="00FB0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Камчатского Берингийского отделения Всемирного фонда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785" w:rsidRDefault="00D15013" w:rsidP="00E01E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7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A68560D" wp14:editId="2FB9FFED">
            <wp:simplePos x="0" y="0"/>
            <wp:positionH relativeFrom="column">
              <wp:posOffset>-15240</wp:posOffset>
            </wp:positionH>
            <wp:positionV relativeFrom="paragraph">
              <wp:posOffset>723900</wp:posOffset>
            </wp:positionV>
            <wp:extent cx="3995420" cy="2676525"/>
            <wp:effectExtent l="0" t="0" r="2413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2014 года произошли п</w:t>
      </w:r>
      <w:r w:rsidR="00E51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еревыборы руководящего состава О</w:t>
      </w:r>
      <w:r w:rsidR="00E0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совета, председателем избрана 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Кирпиченко Светлана Ивановна, д</w:t>
      </w:r>
      <w:r w:rsidR="006C2785" w:rsidRP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Камчатского филиала ФГБОУ ВПО «Российский государственный университет туризма и сервиса»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заместителем председателя -</w:t>
      </w:r>
      <w:r w:rsidR="00F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Рафанов</w:t>
      </w:r>
      <w:proofErr w:type="spellEnd"/>
      <w:r w:rsidR="00FB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р</w:t>
      </w:r>
      <w:r w:rsidR="00FB05C8" w:rsidRPr="00FB0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Камчатского Берингийского отделения Всемирного фонда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секретарем – Маркелова Олеся Алексеевна, специалист-эксперт отдела экономического анализа и сводного прогнозирования Минэкономразвития Камчатского края.</w:t>
      </w:r>
    </w:p>
    <w:p w:rsidR="00FB05C8" w:rsidRDefault="00FB05C8" w:rsidP="00086C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2014 года проведено 6 заседаний Общественного совета, на которых рассмотрено </w:t>
      </w:r>
      <w:r w:rsidR="0007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вопроса. </w:t>
      </w:r>
    </w:p>
    <w:p w:rsidR="0014431F" w:rsidRDefault="00E30487" w:rsidP="00D1501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DF1AB3A" wp14:editId="0B427E3B">
            <wp:simplePos x="0" y="0"/>
            <wp:positionH relativeFrom="column">
              <wp:posOffset>-43815</wp:posOffset>
            </wp:positionH>
            <wp:positionV relativeFrom="paragraph">
              <wp:posOffset>213360</wp:posOffset>
            </wp:positionV>
            <wp:extent cx="4152900" cy="2514600"/>
            <wp:effectExtent l="0" t="0" r="19050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31F"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в 2014 году</w:t>
      </w:r>
      <w:r w:rsid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показывает</w:t>
      </w:r>
      <w:r w:rsidR="0014431F"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актуальными для </w:t>
      </w:r>
      <w:r w:rsid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Общественного совета являются </w:t>
      </w:r>
      <w:r w:rsidR="0014431F" w:rsidRP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</w:t>
      </w:r>
      <w:r w:rsidR="00472A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Камчатского края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56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и органов государственной власти субъекта, налоговой политики и н</w: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алогообложения Камчатского края</w:t>
      </w:r>
      <w:r w:rsidR="00563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8C4" w:rsidRDefault="002A14CE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</w:t>
      </w:r>
      <w:r w:rsidR="001B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ринимали </w:t>
      </w:r>
      <w:r w:rsidR="001B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совета, выступали с док</w:t>
      </w:r>
      <w:r w:rsidR="0029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ладами на заседаниях, </w:t>
      </w:r>
      <w:r w:rsidR="00E2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E3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зак</w:t>
      </w:r>
      <w:r w:rsidR="00BB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</w:t>
      </w:r>
      <w:r w:rsidR="00E2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Камчатского края и мер государственной поддержки по развитию малого и среднего предпринимательства</w:t>
      </w:r>
      <w:r w:rsidR="00BC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8C4" w:rsidRDefault="00E208C4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членами Общественного совета подготовлены предложения по следующим направлениям:</w:t>
      </w:r>
    </w:p>
    <w:p w:rsidR="00BB4D49" w:rsidRPr="00343446" w:rsidRDefault="00BB4D49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B1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федеральное законодательство по разработке механизма компенсации расходов работодателей </w:t>
      </w:r>
      <w:proofErr w:type="gramStart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 на оплату проезда сотрудников в связи с изменениями в Трудовом кодексе</w:t>
      </w:r>
      <w:proofErr w:type="gramEnd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иных расходов, связанных с предоставлением гарантий и компенсаций работающим в районах Крайнего Севера и приравненным к ним местностям;</w:t>
      </w:r>
    </w:p>
    <w:p w:rsidR="00BB4D49" w:rsidRPr="00343446" w:rsidRDefault="00B462D7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A864A5" wp14:editId="5C29DA71">
            <wp:simplePos x="0" y="0"/>
            <wp:positionH relativeFrom="column">
              <wp:posOffset>3810</wp:posOffset>
            </wp:positionH>
            <wp:positionV relativeFrom="paragraph">
              <wp:posOffset>101600</wp:posOffset>
            </wp:positionV>
            <wp:extent cx="4210050" cy="2466975"/>
            <wp:effectExtent l="0" t="0" r="19050" b="9525"/>
            <wp:wrapTight wrapText="bothSides">
              <wp:wrapPolygon edited="0">
                <wp:start x="0" y="0"/>
                <wp:lineTo x="0" y="21517"/>
                <wp:lineTo x="21600" y="21517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49"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BB4D49"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приоритетных и социально значимых рынков для содействия развитию конкуренции;</w:t>
      </w:r>
    </w:p>
    <w:p w:rsidR="00BB4D49" w:rsidRPr="00343446" w:rsidRDefault="00BB4D49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сфере заготовки и переработки дикорастущего сырья в Камчатском крае;</w:t>
      </w:r>
    </w:p>
    <w:p w:rsidR="00BB4D49" w:rsidRDefault="00BB4D49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B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bookmarkStart w:id="0" w:name="_GoBack"/>
      <w:bookmarkEnd w:id="0"/>
      <w:r w:rsidRP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неформальной занятости в Камчатском крае</w:t>
      </w:r>
      <w:r w:rsidR="00343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700" w:rsidRPr="00F34700">
        <w:rPr>
          <w:noProof/>
          <w:lang w:eastAsia="ru-RU"/>
        </w:rPr>
        <w:t xml:space="preserve"> </w:t>
      </w:r>
    </w:p>
    <w:p w:rsidR="00343446" w:rsidRDefault="00343446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 деятельности Минэкономразвития Камчатского края и Общественного совета осуществлялось через средства массовой информации через публикации</w:t>
      </w:r>
      <w:r w:rsidR="006C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ТВ</w:t>
      </w:r>
      <w:r w:rsidR="006C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сюжеты – 7</w:t>
      </w:r>
      <w:r w:rsidR="00E2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– сюжеты</w:t>
      </w:r>
      <w:r w:rsidR="00E2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2D7" w:rsidRPr="00B462D7" w:rsidRDefault="00B462D7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Общественного совета за 2014 год запланировано рассмотреть на очередном заседании Общественного совета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2015 года.</w:t>
      </w:r>
    </w:p>
    <w:sectPr w:rsidR="00B462D7" w:rsidRPr="00B462D7" w:rsidSect="00F22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D"/>
    <w:rsid w:val="000779DF"/>
    <w:rsid w:val="00086CCD"/>
    <w:rsid w:val="0014431F"/>
    <w:rsid w:val="00186943"/>
    <w:rsid w:val="001B102C"/>
    <w:rsid w:val="002061A2"/>
    <w:rsid w:val="002946C7"/>
    <w:rsid w:val="002A14CE"/>
    <w:rsid w:val="002A6B36"/>
    <w:rsid w:val="00343446"/>
    <w:rsid w:val="00465FBC"/>
    <w:rsid w:val="00472ADB"/>
    <w:rsid w:val="0050758F"/>
    <w:rsid w:val="00563E73"/>
    <w:rsid w:val="005D56A9"/>
    <w:rsid w:val="00643487"/>
    <w:rsid w:val="006B717A"/>
    <w:rsid w:val="006C2785"/>
    <w:rsid w:val="006C4304"/>
    <w:rsid w:val="006E662A"/>
    <w:rsid w:val="00814F96"/>
    <w:rsid w:val="008F01AC"/>
    <w:rsid w:val="009047A9"/>
    <w:rsid w:val="009C3DCB"/>
    <w:rsid w:val="00AB20CA"/>
    <w:rsid w:val="00B462D7"/>
    <w:rsid w:val="00BB4D49"/>
    <w:rsid w:val="00BC796D"/>
    <w:rsid w:val="00CC190A"/>
    <w:rsid w:val="00D15013"/>
    <w:rsid w:val="00E01E29"/>
    <w:rsid w:val="00E208C4"/>
    <w:rsid w:val="00E30487"/>
    <w:rsid w:val="00E516CE"/>
    <w:rsid w:val="00EC5C76"/>
    <w:rsid w:val="00F22259"/>
    <w:rsid w:val="00F34700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08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08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СОСТАВ ОБЩЕСТВЕННОГО</a:t>
            </a:r>
            <a:r>
              <a:rPr lang="ru-RU" sz="1100" baseline="0"/>
              <a:t> СОВЕТА, 2014 ГОД</a:t>
            </a:r>
            <a:endParaRPr lang="ru-RU" sz="1100"/>
          </a:p>
        </c:rich>
      </c:tx>
      <c:layout>
        <c:manualLayout>
          <c:xMode val="edge"/>
          <c:yMode val="edge"/>
          <c:x val="0.15952024025842923"/>
          <c:y val="3.22062683341052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0"/>
              </a:lightRig>
            </a:scene3d>
            <a:sp3d>
              <a:bevelT w="254000" h="57150"/>
              <a:bevelB w="127000" h="139700"/>
            </a:sp3d>
          </c:spPr>
          <c:explosion val="17"/>
          <c:dPt>
            <c:idx val="0"/>
            <c:bubble3D val="0"/>
            <c:spPr>
              <a:solidFill>
                <a:srgbClr val="C0504D"/>
              </a:solidFill>
              <a:scene3d>
                <a:camera prst="orthographicFront"/>
                <a:lightRig rig="threePt" dir="t">
                  <a:rot lat="0" lon="0" rev="0"/>
                </a:lightRig>
              </a:scene3d>
              <a:sp3d>
                <a:bevelT w="254000" h="57150"/>
                <a:bevelB w="127000" h="139700"/>
              </a:sp3d>
            </c:spPr>
          </c:dPt>
          <c:dLbls>
            <c:dLbl>
              <c:idx val="0"/>
              <c:layout>
                <c:manualLayout>
                  <c:x val="0.11074966155546347"/>
                  <c:y val="-4.2237733383762646E-3"/>
                </c:manualLayout>
              </c:layout>
              <c:tx>
                <c:rich>
                  <a:bodyPr/>
                  <a:lstStyle/>
                  <a:p>
                    <a:r>
                      <a:rPr lang="ru-RU" sz="800" smtClean="0"/>
                      <a:t>Высшие учебные заведения</a:t>
                    </a:r>
                    <a:r>
                      <a:rPr lang="ru-RU" sz="800" dirty="0"/>
                      <a:t>
37%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483253588516747"/>
                  <c:y val="3.493449781659388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Общественные организации
36%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6802320762536254E-3"/>
                  <c:y val="5.151600591410789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Предприниматели
18%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0175438596491224E-2"/>
                  <c:y val="-1.164483260553129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Государственные учреждения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effectLst>
                <a:glow rad="127000">
                  <a:srgbClr val="4F81BD">
                    <a:alpha val="40000"/>
                  </a:srgbClr>
                </a:glow>
              </a:effectLst>
            </c:spPr>
            <c:txPr>
              <a:bodyPr/>
              <a:lstStyle/>
              <a:p>
                <a:pPr>
                  <a:defRPr sz="1300" b="1">
                    <a:solidFill>
                      <a:schemeClr val="accent2">
                        <a:lumMod val="50000"/>
                      </a:schemeClr>
                    </a:solidFill>
                    <a:effectLst/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Образование</c:v>
                </c:pt>
                <c:pt idx="1">
                  <c:v>Общественные организации</c:v>
                </c:pt>
                <c:pt idx="2">
                  <c:v>Предприниматели</c:v>
                </c:pt>
                <c:pt idx="3">
                  <c:v>Государственные учреждения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5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КОЛИЧЕСТВО</a:t>
            </a:r>
            <a:r>
              <a:rPr lang="ru-RU" sz="1100" baseline="0"/>
              <a:t> ВОПРОСОВ, ПРЕДЛОЖЕННЫХ В ПЛАН РАБОТЫ ОБЩЕСТВЕННОГО СОВЕТА</a:t>
            </a:r>
            <a:endParaRPr lang="ru-RU" sz="1100"/>
          </a:p>
        </c:rich>
      </c:tx>
      <c:layout>
        <c:manualLayout>
          <c:xMode val="edge"/>
          <c:yMode val="edge"/>
          <c:x val="0.1658101654490641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план</c:v>
                </c:pt>
              </c:strCache>
            </c:strRef>
          </c:tx>
          <c:spPr>
            <a:effectLst>
              <a:glow>
                <a:srgbClr val="4F81BD">
                  <a:alpha val="40000"/>
                </a:srgbClr>
              </a:glow>
            </a:effectLst>
            <a:scene3d>
              <a:camera prst="orthographicFront"/>
              <a:lightRig rig="twoPt" dir="t">
                <a:rot lat="0" lon="0" rev="7800000"/>
              </a:lightRig>
            </a:scene3d>
            <a:sp3d prstMaterial="dkEdge">
              <a:bevelT w="184150" h="57150"/>
            </a:sp3d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Лист2!$A$2:$A$4</c:f>
              <c:strCache>
                <c:ptCount val="3"/>
                <c:pt idx="0">
                  <c:v>Количество вопросов, предложенных членами Общественного совета</c:v>
                </c:pt>
                <c:pt idx="1">
                  <c:v>Количество вопросов, предложенных  Минэкономразвития Камчатского края</c:v>
                </c:pt>
                <c:pt idx="2">
                  <c:v>Всего вопросов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9AD6F"/>
            </a:solidFill>
            <a:scene3d>
              <a:camera prst="orthographicFront"/>
              <a:lightRig rig="chilly" dir="t"/>
            </a:scene3d>
            <a:sp3d>
              <a:bevelT w="139700" h="31750"/>
            </a:sp3d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Лист2!$A$2:$A$4</c:f>
              <c:strCache>
                <c:ptCount val="3"/>
                <c:pt idx="0">
                  <c:v>Количество вопросов, предложенных членами Общественного совета</c:v>
                </c:pt>
                <c:pt idx="1">
                  <c:v>Количество вопросов, предложенных  Минэкономразвития Камчатского края</c:v>
                </c:pt>
                <c:pt idx="2">
                  <c:v>Всего вопросов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822976"/>
        <c:axId val="162932224"/>
      </c:barChart>
      <c:catAx>
        <c:axId val="161822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2932224"/>
        <c:crosses val="autoZero"/>
        <c:auto val="1"/>
        <c:lblAlgn val="ctr"/>
        <c:lblOffset val="100"/>
        <c:noMultiLvlLbl val="0"/>
      </c:catAx>
      <c:valAx>
        <c:axId val="162932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вопросов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1822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 b="1">
          <a:solidFill>
            <a:schemeClr val="accent2">
              <a:lumMod val="50000"/>
            </a:schemeClr>
          </a:solidFill>
          <a:effectLst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ТЕМАТИКА РАССМАТРИВАЕМЫХ ВОПРОСОВ</a:t>
            </a:r>
          </a:p>
        </c:rich>
      </c:tx>
      <c:layout>
        <c:manualLayout>
          <c:xMode val="edge"/>
          <c:yMode val="edge"/>
          <c:x val="0.15054179007440582"/>
          <c:y val="2.33770778652668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602813193242486"/>
          <c:y val="0.10119820774382093"/>
          <c:w val="0.25543895463887534"/>
          <c:h val="0.43573028723522234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sunrise" dir="t"/>
            </a:scene3d>
            <a:sp3d prstMaterial="dkEdge">
              <a:bevelT w="120650" h="69850"/>
            </a:sp3d>
          </c:spPr>
          <c:explosion val="3"/>
          <c:dPt>
            <c:idx val="1"/>
            <c:bubble3D val="0"/>
            <c:explosion val="13"/>
          </c:dPt>
          <c:dPt>
            <c:idx val="2"/>
            <c:bubble3D val="0"/>
            <c:explosion val="15"/>
          </c:dPt>
          <c:dPt>
            <c:idx val="3"/>
            <c:bubble3D val="0"/>
            <c:explosion val="10"/>
          </c:dPt>
          <c:dLbls>
            <c:dLbl>
              <c:idx val="0"/>
              <c:layout>
                <c:manualLayout>
                  <c:x val="0.14353310758434989"/>
                  <c:y val="0.118917827579244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9430731780289188E-2"/>
                  <c:y val="-6.401507503869709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7280812696340417E-2"/>
                  <c:y val="-3.7593800774903138E-2"/>
                </c:manualLayout>
              </c:layout>
              <c:spPr>
                <a:scene3d>
                  <a:camera prst="orthographicFront"/>
                  <a:lightRig rig="threePt" dir="t"/>
                </a:scene3d>
                <a:sp3d>
                  <a:bevelT w="127000"/>
                </a:sp3d>
              </c:spPr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3223586688969574E-2"/>
                  <c:y val="8.48633920759905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Лист4!$A$1:$A$4</c:f>
              <c:strCache>
                <c:ptCount val="4"/>
                <c:pt idx="0">
                  <c:v>Социально-экономическое рарзвитие субъекта</c:v>
                </c:pt>
                <c:pt idx="1">
                  <c:v>Взаимодействие бизнеса и органов государственной власти субъекта</c:v>
                </c:pt>
                <c:pt idx="2">
                  <c:v>Налоговая политика и налогообложение Камчатского края</c:v>
                </c:pt>
                <c:pt idx="3">
                  <c:v>Разное</c:v>
                </c:pt>
              </c:strCache>
            </c:strRef>
          </c:cat>
          <c:val>
            <c:numRef>
              <c:f>Лист4!$B$1:$B$4</c:f>
              <c:numCache>
                <c:formatCode>General</c:formatCode>
                <c:ptCount val="4"/>
                <c:pt idx="0">
                  <c:v>30</c:v>
                </c:pt>
                <c:pt idx="1">
                  <c:v>22</c:v>
                </c:pt>
                <c:pt idx="2">
                  <c:v>18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500" b="1">
          <a:solidFill>
            <a:schemeClr val="accent2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ИНФОРМИРОВАНИЕ ГРАЖДАН О ДЕЯТЕЛЬНОСТИ МИНЭКОНОМРАЗВИТИЯ И ОБЩЕСТВЕННОГО СОВЕТА</a:t>
            </a:r>
          </a:p>
        </c:rich>
      </c:tx>
      <c:layout>
        <c:manualLayout>
          <c:xMode val="edge"/>
          <c:yMode val="edge"/>
          <c:x val="0.1334527628490883"/>
          <c:y val="3.394144225122544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6421310168087"/>
          <c:y val="0.40329082758460505"/>
          <c:w val="0.78847157379663824"/>
          <c:h val="0.509731261468422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0951122368445201E-2"/>
                  <c:y val="-3.33833946432371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Публикации </a:t>
                    </a:r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262157495799751"/>
                  <c:y val="1.97147701670034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 - сюжеты </a:t>
                    </a:r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793066950547271"/>
                  <c:y val="-3.250255880177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Радио-сюжеты </a:t>
                    </a:r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Митрофанова Олеся Алексеевна</cp:lastModifiedBy>
  <cp:revision>23</cp:revision>
  <cp:lastPrinted>2015-01-28T23:35:00Z</cp:lastPrinted>
  <dcterms:created xsi:type="dcterms:W3CDTF">2015-01-21T23:15:00Z</dcterms:created>
  <dcterms:modified xsi:type="dcterms:W3CDTF">2015-01-28T23:47:00Z</dcterms:modified>
</cp:coreProperties>
</file>