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33" w:rsidRPr="00CA4433" w:rsidRDefault="00CA4433" w:rsidP="00CA44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4433">
        <w:rPr>
          <w:rFonts w:ascii="Times New Roman" w:hAnsi="Times New Roman" w:cs="Times New Roman"/>
          <w:sz w:val="16"/>
          <w:szCs w:val="16"/>
        </w:rPr>
        <w:t>http://d-russia.ru/opublikovany-dorozhnye-karty-po-skvoznym-tehnologiyam-na-ih-realizatsiyu-potrebuetsya-bolshe-850-mlrd-rub.html</w:t>
      </w:r>
    </w:p>
    <w:p w:rsid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Дорожные карты разработаны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A4433" w:rsidRPr="00CA4433" w:rsidRDefault="00CA4433" w:rsidP="00CA443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«Национальный Центр Информатизации</w:t>
      </w:r>
      <w:bookmarkStart w:id="0" w:name="_GoBack"/>
      <w:bookmarkEnd w:id="0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(«Большие данные», «Промышленный Интернет», «Технологии беспроводной связи»).</w:t>
      </w:r>
    </w:p>
    <w:p w:rsidR="00CA4433" w:rsidRPr="00CA4433" w:rsidRDefault="00CA4433" w:rsidP="00CA443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«Университет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Иннополис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(«Компоненты робототехники 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сенсорика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»).</w:t>
      </w:r>
    </w:p>
    <w:p w:rsidR="00CA4433" w:rsidRPr="00CA4433" w:rsidRDefault="00CA4433" w:rsidP="00CA443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Дальневосточный федеральный университет («Технологии виртуальной и дополненной реальностей»).</w:t>
      </w:r>
    </w:p>
    <w:p w:rsidR="00CA4433" w:rsidRPr="00CA4433" w:rsidRDefault="00CA4433" w:rsidP="00CA443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Сбербанк России («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Нейротехнологии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искусственный интеллект»).</w:t>
      </w:r>
    </w:p>
    <w:p w:rsidR="00CA4433" w:rsidRPr="00CA4433" w:rsidRDefault="00CA4433" w:rsidP="00CA443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Санкт-Петербургский политехнический университет Петра Великого («Новые производственные технологии»).</w:t>
      </w:r>
    </w:p>
    <w:p w:rsidR="00CA4433" w:rsidRPr="00CA4433" w:rsidRDefault="00CA4433" w:rsidP="00CA443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«Новосибирский институт программных систем» («Системы распределенного реестра»).</w:t>
      </w:r>
    </w:p>
    <w:p w:rsidR="00CA4433" w:rsidRPr="00CA4433" w:rsidRDefault="00CA4433" w:rsidP="00CA443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Национальный исследовательский технологический университет «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МИСиС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(«Квантовые технологии»).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разработки дорожных карт по направлениям «Большие данные» и «Промышленный Интернет» позже решено было отказаться.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Исполнители должны были провести анализ факторов технологического предложения (научно-технического и технологического задела), оценку потребностей по соответствующей технологии и определения приоритетных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субтехнологий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(подмножество технологий, формирующих сквозную цифровую технологию).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Дорожная карта должна сформировать план совместных действий бизнес-сообщества и органов исполнительной власти по разработке и применению сквозных цифровых технологий для достижения технологического лидерства, обеспечения экономического развития и социального прогресса Российской Федерации, выхода российских компаний на международные рынки.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исполнители должны были определить измеримые стратегические цели и целевые эффекты развития «сквозных» технологий. 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Дополнительно требовалось установить долгосрочные ориентиры для деятельности субъектов поддержки в ходе федерального проекта «Цифровые технологии», в том числе лидирующих исследовательских центров, вузов, научных организаций, компаний, цифровых платформ и др.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документам, на реализацию дорожных карт потребуется 851,7 миллиарда рублей до 2024 года.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направлению </w:t>
      </w: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Нейротехнологии</w:t>
      </w:r>
      <w:proofErr w:type="spellEnd"/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искусственный интеллект»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56,8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бюджетных средств, 334,9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внебюджетных средств; </w:t>
      </w: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«Технологии виртуальной и дополненной реальностей»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28,2 млрд руб. бюджетных средств, 38,1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внебюджетных средств; </w:t>
      </w: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«Квантовые технологии»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26,4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бюджетных средств, 6,3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внебюджетных средств; </w:t>
      </w: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«Новые производственные технологии»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33,1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бюджетных средств, 46,8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внебюджетных средств; </w:t>
      </w: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«Компоненты робототехники и </w:t>
      </w:r>
      <w:proofErr w:type="spellStart"/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сенсорика</w:t>
      </w:r>
      <w:proofErr w:type="spellEnd"/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28,8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бюджетных средств, 73,8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внебюджетных средств, </w:t>
      </w: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«Системы распределенного реестра»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23,1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бюджетных средств, 50,2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внебюджетных средств; </w:t>
      </w: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«Технологии беспроводной связи»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36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бюджетных средств, 69,2 млрд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внебюджетных средств.</w:t>
      </w:r>
    </w:p>
    <w:p w:rsidR="00CA4433" w:rsidRPr="00CA4433" w:rsidRDefault="00CA4433" w:rsidP="00CA4433">
      <w:pPr>
        <w:shd w:val="clear" w:color="auto" w:fill="4778A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Дорожные карты</w:t>
      </w:r>
    </w:p>
    <w:p w:rsidR="00CA4433" w:rsidRPr="00CA4433" w:rsidRDefault="00CA4433" w:rsidP="00CA44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«</w:t>
      </w:r>
      <w:proofErr w:type="spellStart"/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Нейротехнологии</w:t>
      </w:r>
      <w:proofErr w:type="spellEnd"/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 xml:space="preserve"> и искусственный интеллект»</w:t>
      </w:r>
    </w:p>
    <w:p w:rsidR="00CA4433" w:rsidRPr="00CA4433" w:rsidRDefault="00CA4433" w:rsidP="00CA44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«Квантовые технологии»</w:t>
      </w:r>
    </w:p>
    <w:p w:rsidR="00CA4433" w:rsidRPr="00CA4433" w:rsidRDefault="00CA4433" w:rsidP="00CA44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«Новые производственные технологии»</w:t>
      </w:r>
    </w:p>
    <w:p w:rsidR="00CA4433" w:rsidRPr="00CA4433" w:rsidRDefault="00CA4433" w:rsidP="00CA44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 xml:space="preserve">«Компоненты робототехники и </w:t>
      </w:r>
      <w:proofErr w:type="spellStart"/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сенсорика</w:t>
      </w:r>
      <w:proofErr w:type="spellEnd"/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»</w:t>
      </w:r>
    </w:p>
    <w:p w:rsidR="00CA4433" w:rsidRPr="00CA4433" w:rsidRDefault="00CA4433" w:rsidP="00CA44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«Системы распределенного реестра»</w:t>
      </w:r>
    </w:p>
    <w:p w:rsidR="00CA4433" w:rsidRPr="00CA4433" w:rsidRDefault="00CA4433" w:rsidP="00CA44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«Технологии беспроводной связи»</w:t>
      </w:r>
    </w:p>
    <w:p w:rsidR="00CA4433" w:rsidRPr="00CA4433" w:rsidRDefault="00CA4433" w:rsidP="00CA44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>«Технологии виртуальной и дополненной реальности»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Нейротехнологии</w:t>
      </w:r>
      <w:proofErr w:type="spellEnd"/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искусственный интеллект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Искусственный интеллект (ИИ) — комплекс технологических решений, имитирующий когнитивные функции человека (включая самообучение и 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поиск решений без заранее заданного алгоритма) и позволяющий при выполнении задач достигать результаты, как минимум сопоставимые с результатами интеллектуальной деятельности человека. Комплекс технологических решений включает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информационнокоммуникационную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инфраструктуру, программное обеспечение, в котором в том числе используются методы машинного обучения, процессы и сервисы по обработке данных и выработке решений.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Нейротехнологии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технологии, которые используют или помогают понять работу мозга, мыслительные процессы, высшую нервную деятельность, в том числе технологии по усилению, улучшению работы мозга и психической деятельности.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 </w:t>
      </w:r>
      <w:proofErr w:type="spellStart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субтехнологий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компьютерное зрение; обработка естественного языка; распознавание и синтез речи; рекомендательные системы и интеллектуальные системы поддержки принятия решений; перспективные методы и технологии в ИИ;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нейропротезирование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нейроинтерфейсы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нейростимуляция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нейросенсинг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Дорожная карта представляет собой набор технологических задач, разделенных по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субтехнологиям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 указанием сроков перехода между стадиями НИР, ОКР и коммерциализации, а также с примерами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target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use-cases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Кроме того, в дорожной карте приведены ключевые барьеры для развития технологий и мероприятия по их преодолению.</w:t>
      </w:r>
    </w:p>
    <w:p w:rsidR="00CA4433" w:rsidRPr="00CA4433" w:rsidRDefault="00CA4433" w:rsidP="00CA4433">
      <w:pPr>
        <w:shd w:val="clear" w:color="auto" w:fill="4778A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Статистика и прогнозы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2018 году мировой рынок решений в сфере ИИ составил 21,5 миллиарда долларов, к 2024 году он увеличится до 137,2 миллиарда долларов. В 2018 году мировой рынок решений в сфере </w:t>
      </w:r>
      <w:proofErr w:type="spellStart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нейротехнологий</w:t>
      </w:r>
      <w:proofErr w:type="spellEnd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составил 1,3 миллиарда долларов, к 2024 году он увеличится до 7 миллиардов долларов.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Российский рынок рассчитан на основании доли от мирового рынка. Фактическая доля РФ в мировом рынке ИИ составила в 2018 году 0,2%. Потенциально доля РФ может увеличиться до 1,7% к 2024 году. В 2018 году российский рынок решений в сфере ИИ составил 2,1 миллиарда рублей, к 2024 </w:t>
      </w: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году он увеличится до 160,1 миллиарда рублей. В 2018 году российский рынок решений в сфере </w:t>
      </w:r>
      <w:proofErr w:type="spellStart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нейротехнологий</w:t>
      </w:r>
      <w:proofErr w:type="spellEnd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составил 0,1 миллиарда рублей, к 2024 году он увеличится до 8,2 миллиарда рублей.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Квантовые технологии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Дорожная карта по развитию в РФ сквозной цифровой технологии «квантовые технологии» разработана с целью получения в среднесрочной и долгосрочной перспективе практически значимых научно-технических и практических результатов мирового уровня по следующим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субтехнологиям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квантовые вычисления, квантовые коммуникации и квантовые сенсоры.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Параллельно с работой над дорожной картой ведется работа по исследованию патентного ландшафта квантовых технологий. Необходимым условием для прорыва в области КТ является не только поддержка исследований и запуск инфраструктурных проектов национального масштаба, но и реализация организационных мероприятий по преодолению барьеров.</w:t>
      </w:r>
    </w:p>
    <w:p w:rsidR="00CA4433" w:rsidRPr="00CA4433" w:rsidRDefault="00CA4433" w:rsidP="00CA4433">
      <w:pPr>
        <w:shd w:val="clear" w:color="auto" w:fill="4778A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Три основных </w:t>
      </w:r>
      <w:proofErr w:type="spellStart"/>
      <w:r w:rsidRPr="00CA44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субтехнологии</w:t>
      </w:r>
      <w:proofErr w:type="spellEnd"/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Квантовые вычисления – новый класс вычислительных устройств, использующий для решения задач принципы квантовой механики. Прогнозируется, что в целом ряде задач квантовый компьютер будет способен дать многократное ускорение по сравнению с существующими суперкомпьютерными технологиями. Примерами являются сферы </w:t>
      </w:r>
      <w:proofErr w:type="spellStart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кибербезопасности</w:t>
      </w:r>
      <w:proofErr w:type="spellEnd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искусственного интеллекта и создание новых материалов.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Квантовые коммуникации – технология криптографической защиты информации, использующая для передачи ключей индивидуальные квантовые частицы. Главное преимущество квантовых коммуникаций – защищенность информации, гарантированная законами физики.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Квантовые сенсоры и метрология – совокупность высокоточных измерительных приборов, основанных на квантовых эффектах. Высокая степень контроля над состоянием отдельных микроскопических систем позволяет создавать сверхточные квантовые сенсоры с пространственной </w:t>
      </w: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разрешающей способностью, сравнимой с размером одиночных атомов, а также высокоточные атомные часы.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Новые производственные технологии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производственные технологии – совокупность новых, с высоким потенциалом, демонстрирующих де-факто стремительное развитие, но имеющих пока по сравнению с традиционными технологиями относительно небольшое распространение, новых подходов, материалов, методов и процессов, которые используются для проектирования и производства глобально конкурентоспособных и востребованных на мировом рынке продуктов или изделий (машин, конструкций, агрегатов, приборов, установок и т. д.).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Субтехнологии</w:t>
      </w:r>
      <w:proofErr w:type="spellEnd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</w:t>
      </w:r>
    </w:p>
    <w:p w:rsidR="00CA4433" w:rsidRPr="00CA4433" w:rsidRDefault="00CA4433" w:rsidP="00CA443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Цифровое проектирование, математическое моделирование и управление жизненным циклом изделия или продукции (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Smart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Design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A4433" w:rsidRPr="00CA4433" w:rsidRDefault="00CA4433" w:rsidP="00CA443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«умного» производства (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Smart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Manufacturing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A4433" w:rsidRPr="00CA4433" w:rsidRDefault="00CA4433" w:rsidP="00CA443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Манипуляторы и технологии манипулирования.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Дорожная карта по развитию сквозной цифровой технологии «Новые производственные технологии» предполагает рамочный формат – дорожная карта реализуется как рамочный документ для поиска, отбора и целевой поддержки проектов и направлений по соответствующему направлению.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Компоненты робототехники и </w:t>
      </w:r>
      <w:proofErr w:type="spellStart"/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сенсорика</w:t>
      </w:r>
      <w:proofErr w:type="spellEnd"/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Дорожная карта включает в себя цели и ожидаемые результаты внедрения и распространения технологии, оценку влияния на социальный прогресс, экономическое развитие и технологическое лидерство страны к 2024 году, перечень барьеров развития и мероприятия по их устранению, ключевые проекты и стимулирующие мероприятия к реализации и другие комплексные мероприятия развития СЦТ.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ДК СЦТ «Компоненты робототехники 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сенсорика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по программе «Цифровая экономика» включает в себя только часть технологий в области робототехники 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сенсорики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 одной стороны попадающих под определение цифровых технологий, а с другой стороны не отнесенных к смежным областям, таким как «Новые производственные технологии» или «Искусственный интеллект». Реализация ДК будет способствовать формированию отечественного рынка робототехники 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сенсорики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решению проблемы дефицита кадров для цифровой экономики, преодолению технологических, социальных и регуляторных барьеров.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Субтехнологии</w:t>
      </w:r>
      <w:proofErr w:type="spellEnd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</w:t>
      </w:r>
    </w:p>
    <w:p w:rsidR="00CA4433" w:rsidRPr="00CA4433" w:rsidRDefault="00CA4433" w:rsidP="00CA4433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Сенсоры и цифровые компоненты РТК для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человекомашинного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взаимодействия.</w:t>
      </w:r>
    </w:p>
    <w:p w:rsidR="00CA4433" w:rsidRPr="00CA4433" w:rsidRDefault="00CA4433" w:rsidP="00CA4433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Технологии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сенсорномоторной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координации и пространственного позиционирования.</w:t>
      </w:r>
    </w:p>
    <w:p w:rsidR="00CA4433" w:rsidRPr="00CA4433" w:rsidRDefault="00CA4433" w:rsidP="00CA4433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Сенсоры и обработка сенсорной информации.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реализации задач и мероприятий Дорожной карты планируется поэтапное увеличение числа внедрений на глобальном рынке робототехнических и сенсорных систем российского происхождения в пять раз с 16 в 2019 году до 80 или более в 2024 году. Планируется почти пятикратное увеличение ежегодного выпуска патентоспособных технических решений со 110 в 2018 году до 500 и более в 2024 году. При этом предполагается значительное увеличение качества получаемых решений, что скажется на их конкурентоспособности на мировом рынке.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Системы распределенного реестра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 систем распределенного реестра представляет собой новый подход к созданию баз данных, ключевой особенностью которого является отсутствие единого центра управления. Каждый узел составляет и записывает обновления реестра независимо от других узлов.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Финансирование проектов, предусмотренных в Дорожной карте, предлагается осуществлять как в рамках существующих механизмов поддержки, так и за счет внебюджетных средств. Помимо финансовой поддержки не менее 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важным является устранение существующих барьеров развития технологии, ввиду чего предлагается скорректировать существующие законопроекты и внести соответствующие изменения в законодательство с целью создания благоприятной нормативно-правовой среды.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Субтехнологии</w:t>
      </w:r>
      <w:proofErr w:type="spellEnd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</w:t>
      </w:r>
    </w:p>
    <w:p w:rsidR="00CA4433" w:rsidRPr="00CA4433" w:rsidRDefault="00CA4433" w:rsidP="00CA4433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организации и синхронизации данных – совокупность методов и инструментов, направленных на определение, организацию и усовершенствование взаимосвязей между частями и элементами распределенных баз данных, а также на обеспечение их согласованности и приведение к соответствию.</w:t>
      </w:r>
    </w:p>
    <w:p w:rsidR="00CA4433" w:rsidRPr="00CA4433" w:rsidRDefault="00CA4433" w:rsidP="00CA4433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обеспечения целостности и непротиворечивости данных (консенсус) – совокупность методов и инструментов, направленных на приведение в соответствие имеющихся данных в децентрализованной сети к единой внутренней логике и структуре по заранее определенным правилам, а также обеспечение синхронизации и согласования данных между узлами децентрализованной сети.</w:t>
      </w:r>
    </w:p>
    <w:p w:rsidR="00CA4433" w:rsidRPr="00CA4433" w:rsidRDefault="00CA4433" w:rsidP="00CA4433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создания и исполнения децентрализованных приложений и смарт-контрактов – совокупность методов и инструментов, направленных на создание приложений, обеспечивающих взаимодействие неограниченного количества участников распределенной системы, и на разработку, поддержание и выполнение компьютерных алгоритмов, предназначенных для автоматизации процессов исполнения контрактов. Децентрализованные приложения обладают прозрачной и открытой логикой, обеспечивающей гарантированное исполнение заданных функций в рамках систем распределенного реестра.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Выделенные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субтехнологии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 самостоятельными технологическими элементами, которые обладают синергетическими эффектами с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субтехнологиями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сквозных цифровых технологий.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Технологии беспроводной связи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Технологии беспроводной связи – подкласс информационных технологий, служат для передачи информации между двумя и более точками на расстоянии, не требуя проводной связи. В качестве носителя информации в таких сетях выступают радиоволны различных диапазонов, инфракрасное, оптическое или лазерное излучение. </w:t>
      </w:r>
      <w:proofErr w:type="spellStart"/>
      <w:r w:rsidRPr="00CA443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Субтехнологиями</w:t>
      </w:r>
      <w:proofErr w:type="spellEnd"/>
      <w:r w:rsidRPr="00CA44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беспроводной связи являются сети связи, на основе которых выстраивается беспроводная связь:</w:t>
      </w:r>
    </w:p>
    <w:p w:rsidR="00CA4433" w:rsidRPr="00CA4433" w:rsidRDefault="00CA4433" w:rsidP="00CA4433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WAN (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Wide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Area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Network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CA4433" w:rsidRPr="00CA4433" w:rsidRDefault="00CA4433" w:rsidP="00CA4433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LPWAN (Low Power Wide Area Network);</w:t>
      </w:r>
    </w:p>
    <w:p w:rsidR="00CA4433" w:rsidRPr="00CA4433" w:rsidRDefault="00CA4433" w:rsidP="00CA4433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WLAN (Wireless Local Area Network);</w:t>
      </w:r>
    </w:p>
    <w:p w:rsidR="00CA4433" w:rsidRPr="00CA4433" w:rsidRDefault="00CA4433" w:rsidP="00CA4433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PAN (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Personal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Area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Network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CA4433" w:rsidRPr="00CA4433" w:rsidRDefault="00CA4433" w:rsidP="00CA4433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Спутниковые технологии связи (СТС).</w:t>
      </w:r>
    </w:p>
    <w:p w:rsidR="00CA4433" w:rsidRPr="00CA4433" w:rsidRDefault="00CA4433" w:rsidP="00CA4433">
      <w:pPr>
        <w:shd w:val="clear" w:color="auto" w:fill="4778A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Тонкости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части индивидуальных </w:t>
      </w:r>
      <w:proofErr w:type="spellStart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субтехнологий</w:t>
      </w:r>
      <w:proofErr w:type="spellEnd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существует разнообразие решений, которые отличаются друг от друга по разным критериям. В рамках Дорожной карты рассматриваются различия по функциональности самого решения (например, </w:t>
      </w:r>
      <w:proofErr w:type="spellStart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Wi-Fi</w:t>
      </w:r>
      <w:proofErr w:type="spellEnd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Li-Fi</w:t>
      </w:r>
      <w:proofErr w:type="spellEnd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внутри </w:t>
      </w:r>
      <w:proofErr w:type="spellStart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субтехнологии</w:t>
      </w:r>
      <w:proofErr w:type="spellEnd"/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WLAN), а также по этапу развития самой технологии (например, 5G, 4G и другие предшествующие решения).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Ввиду данной особенности в Дорожной карте отдельно представлены лишь те решения, которые являются примером наиболее совершенных технологий, а также те, которые существенно отличаются по техническим характеристикам от своих предшествующих аналогов.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Финансовую поддержку проектов плана мероприятий Дорожной карты предлагается осуществлять как в рамках существующих механизмов поддержки проектов по развитию «сквозных» цифровых технологий, так и за счет внебюджетных средств. Помимо финансовой поддержки в рамках Дорожной карты предлагается ряд мер по созданию благоприятной регуляторной среды для развития технологий беспроводной связи, стимулированию спроса и инвестиционной активности, развитию 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международной кооперации,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импортозамещения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экспортоориентированных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решений.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Разработанный в рамках Дорожной карты план мероприятий формирует долгосрочный план развития технологии до 2024 г., определяет приоритеты для поддержки инструментами развития, а также критерии для отбора проектов. Реализация комплекса предложенных мероприятий позволит достичь сформированных в рамках Дорожной карты целей развития технологии за счет точечного ускорения разработки наиболее критических элементов технологии, а также устранения существующих научно-технологических барьеров и ограничений.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Технологии виртуальной и дополненной реальности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 виртуальной реальности (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virtual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reality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VR) – это комплексная технология, позволяющая погрузить человека в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иммерсивный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виртуальный мир при использовании специализированных устройств (шлемов виртуальной реальности). Виртуальная реальность обеспечивает полное погружение в компьютерную среду, окружающую пользователя и реагирующую на его действия естественным образом. Виртуальная реальность конструирует новый искусственный мир, передаваемый человеку через его ощущения: зрение, слух, осязание и другие. Человек может взаимодействовать с трехмерной, компьютеризированной средой, а также манипулировать объектами или выполнять конкретные задачи. В своей простейшей форме виртуальная реальность включает 360-градусные изображения или видео. Достижение эффекта полного погружения в виртуальную реальность до уровня, когда пользователь не может отличить визуализацию от реальной обстановки, является задачей развития технологии.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 дополненной реальности (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augmented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reality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AR) – технология, позволяющая интегрировать информацию с объектами реального мира в форме текста, компьютерной графики, аудио и иных представлений в режиме реального времени. Информация предоставляется пользователю с использованием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heads-up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display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(индикатор на лобовом стекле), очков или </w:t>
      </w: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шлемов дополненной реальности (HMD) или иной формы проецирования графики для человека (например, смартфон или проекционный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видеомэппинг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Технология дополненной реальности позволяет расширить пользовательское взаимодействие с окружающей средой.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виртуальной и дополненной реальности (VR/AR-технологии) – ключ к принципиально новому уровню взаимодействия человека с цифровым миром, который играет все большую роль в глобальной экономике, политике, социальных отношениях.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перспективными с точки зрения экономического эффекта являются продукты на основе VR/AR-технологий в сфере промышленного производства, образования, здравоохранения, потребительских сервисов. Результаты анализа, проведенного при разработке настоящей дорожной карты, показали наличие у российских компаний, научно-образовательных организаций существенных технологических заделов, позволяющих претендовать на лидерские позиции на мировом рынке в ряде сегментов.</w:t>
      </w:r>
    </w:p>
    <w:p w:rsidR="00CA4433" w:rsidRPr="00CA4433" w:rsidRDefault="00CA4433" w:rsidP="00CA4433">
      <w:pPr>
        <w:shd w:val="clear" w:color="auto" w:fill="4778A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proofErr w:type="spellStart"/>
      <w:r w:rsidRPr="00CA44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Субтехнологии</w:t>
      </w:r>
      <w:proofErr w:type="spellEnd"/>
    </w:p>
    <w:p w:rsidR="00CA4433" w:rsidRPr="00CA4433" w:rsidRDefault="00CA4433" w:rsidP="00CA44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 разработки VR/AR-контента и технологии совершенствования пользовательского опыта (UX) со стороны разработчика.</w:t>
      </w:r>
    </w:p>
    <w:p w:rsidR="00CA4433" w:rsidRPr="00CA4433" w:rsidRDefault="00CA4433" w:rsidP="00CA44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Платформенные решения для пользователей: редакторы создания контента и его дистрибуции.</w:t>
      </w:r>
    </w:p>
    <w:p w:rsidR="00CA4433" w:rsidRPr="00CA4433" w:rsidRDefault="00CA4433" w:rsidP="00CA44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захвата движений в VR/AR и фотограмметрии.</w:t>
      </w:r>
    </w:p>
    <w:p w:rsidR="00CA4433" w:rsidRPr="00CA4433" w:rsidRDefault="00CA4433" w:rsidP="00CA44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Интерфейсы обратной связи и сенсоры для VR/AR.</w:t>
      </w:r>
    </w:p>
    <w:p w:rsidR="00CA4433" w:rsidRPr="00CA4433" w:rsidRDefault="00CA4433" w:rsidP="00CA44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графического вывод.</w:t>
      </w:r>
    </w:p>
    <w:p w:rsidR="00CA4433" w:rsidRPr="00CA4433" w:rsidRDefault="00CA4433" w:rsidP="00CA44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оптимизации передачи данных для VR/AR.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Приоритетными отраслями применения VR/AR-технологий и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субтехнологий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важными для социального развития и экономического роста, являются: образование и корпоративное обучение; промышленность и строительство; здравоохранение; массовые потребительские сервисы.</w:t>
      </w:r>
    </w:p>
    <w:p w:rsidR="00CA4433" w:rsidRPr="00CA4433" w:rsidRDefault="00CA4433" w:rsidP="00CA4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Развитие VR/AR-технологий окажет влияние на место Российской Федерации в международных рейтингах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Цифровизации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 повышение итоговой позиции страны: на 56,8% позиции в Глобальном индексе инноваций рейтинга Индекса глобальной конкурентоспособности, на 8,1% позиции в Индексе человеческого капитала, на 74,3% позиции в Индексе инновационного развития </w:t>
      </w:r>
      <w:proofErr w:type="spellStart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Блумберг</w:t>
      </w:r>
      <w:proofErr w:type="spellEnd"/>
      <w:r w:rsidRPr="00CA4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1–2 ступени в Индексе цифровой конкурентоспособности.</w:t>
      </w:r>
    </w:p>
    <w:sectPr w:rsidR="00CA4433" w:rsidRPr="00C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0E04"/>
    <w:multiLevelType w:val="multilevel"/>
    <w:tmpl w:val="B71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1EB"/>
    <w:multiLevelType w:val="multilevel"/>
    <w:tmpl w:val="14D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C5260"/>
    <w:multiLevelType w:val="multilevel"/>
    <w:tmpl w:val="0AC0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30365"/>
    <w:multiLevelType w:val="multilevel"/>
    <w:tmpl w:val="AE4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10490"/>
    <w:multiLevelType w:val="multilevel"/>
    <w:tmpl w:val="5A32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E4553"/>
    <w:multiLevelType w:val="multilevel"/>
    <w:tmpl w:val="7E8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F6531"/>
    <w:multiLevelType w:val="multilevel"/>
    <w:tmpl w:val="B95C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36"/>
    <w:rsid w:val="001E75DE"/>
    <w:rsid w:val="00CA4433"/>
    <w:rsid w:val="00D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430C-9B75-4E23-917C-0166A7A7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433"/>
    <w:rPr>
      <w:color w:val="0000FF"/>
      <w:u w:val="single"/>
    </w:rPr>
  </w:style>
  <w:style w:type="character" w:styleId="a5">
    <w:name w:val="Strong"/>
    <w:basedOn w:val="a0"/>
    <w:uiPriority w:val="22"/>
    <w:qFormat/>
    <w:rsid w:val="00CA4433"/>
    <w:rPr>
      <w:b/>
      <w:bCs/>
    </w:rPr>
  </w:style>
  <w:style w:type="character" w:styleId="a6">
    <w:name w:val="Emphasis"/>
    <w:basedOn w:val="a0"/>
    <w:uiPriority w:val="20"/>
    <w:qFormat/>
    <w:rsid w:val="00CA4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352">
              <w:marLeft w:val="0"/>
              <w:marRight w:val="315"/>
              <w:marTop w:val="13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50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870731">
          <w:marLeft w:val="0"/>
          <w:marRight w:val="0"/>
          <w:marTop w:val="0"/>
          <w:marBottom w:val="360"/>
          <w:divBdr>
            <w:top w:val="single" w:sz="12" w:space="0" w:color="14456E"/>
            <w:left w:val="single" w:sz="12" w:space="0" w:color="14456E"/>
            <w:bottom w:val="single" w:sz="12" w:space="0" w:color="14456E"/>
            <w:right w:val="single" w:sz="12" w:space="0" w:color="14456E"/>
          </w:divBdr>
          <w:divsChild>
            <w:div w:id="571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163">
          <w:marLeft w:val="0"/>
          <w:marRight w:val="0"/>
          <w:marTop w:val="0"/>
          <w:marBottom w:val="360"/>
          <w:divBdr>
            <w:top w:val="single" w:sz="12" w:space="0" w:color="14456E"/>
            <w:left w:val="single" w:sz="12" w:space="0" w:color="14456E"/>
            <w:bottom w:val="single" w:sz="12" w:space="0" w:color="14456E"/>
            <w:right w:val="single" w:sz="12" w:space="0" w:color="14456E"/>
          </w:divBdr>
          <w:divsChild>
            <w:div w:id="838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0798">
          <w:marLeft w:val="0"/>
          <w:marRight w:val="0"/>
          <w:marTop w:val="0"/>
          <w:marBottom w:val="360"/>
          <w:divBdr>
            <w:top w:val="single" w:sz="12" w:space="0" w:color="14456E"/>
            <w:left w:val="single" w:sz="12" w:space="0" w:color="14456E"/>
            <w:bottom w:val="single" w:sz="12" w:space="0" w:color="14456E"/>
            <w:right w:val="single" w:sz="12" w:space="0" w:color="14456E"/>
          </w:divBdr>
          <w:divsChild>
            <w:div w:id="11316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225">
          <w:marLeft w:val="0"/>
          <w:marRight w:val="0"/>
          <w:marTop w:val="0"/>
          <w:marBottom w:val="360"/>
          <w:divBdr>
            <w:top w:val="single" w:sz="12" w:space="0" w:color="14456E"/>
            <w:left w:val="single" w:sz="12" w:space="0" w:color="14456E"/>
            <w:bottom w:val="single" w:sz="12" w:space="0" w:color="14456E"/>
            <w:right w:val="single" w:sz="12" w:space="0" w:color="14456E"/>
          </w:divBdr>
          <w:divsChild>
            <w:div w:id="1727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369">
          <w:marLeft w:val="0"/>
          <w:marRight w:val="0"/>
          <w:marTop w:val="0"/>
          <w:marBottom w:val="360"/>
          <w:divBdr>
            <w:top w:val="single" w:sz="12" w:space="0" w:color="14456E"/>
            <w:left w:val="single" w:sz="12" w:space="0" w:color="14456E"/>
            <w:bottom w:val="single" w:sz="12" w:space="0" w:color="14456E"/>
            <w:right w:val="single" w:sz="12" w:space="0" w:color="14456E"/>
          </w:divBdr>
          <w:divsChild>
            <w:div w:id="812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2597</Words>
  <Characters>14805</Characters>
  <Application>Microsoft Office Word</Application>
  <DocSecurity>0</DocSecurity>
  <Lines>123</Lines>
  <Paragraphs>34</Paragraphs>
  <ScaleCrop>false</ScaleCrop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2019-12-02T05:11:00Z</dcterms:created>
  <dcterms:modified xsi:type="dcterms:W3CDTF">2019-12-02T05:14:00Z</dcterms:modified>
</cp:coreProperties>
</file>