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lastRenderedPageBreak/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</w:t>
      </w:r>
      <w:proofErr w:type="gramEnd"/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О возникшем конфликте интересов или о возможности его возникновения (как только ему станет об этом </w:t>
      </w:r>
      <w:proofErr w:type="gramStart"/>
      <w:r w:rsidRPr="00527FC6">
        <w:rPr>
          <w:rFonts w:ascii="Times New Roman" w:eastAsia="Calibri" w:hAnsi="Times New Roman" w:cs="Times New Roman"/>
          <w:sz w:val="23"/>
          <w:szCs w:val="23"/>
        </w:rPr>
        <w:t xml:space="preserve">известно) </w:t>
      </w:r>
      <w:proofErr w:type="gramEnd"/>
      <w:r w:rsidRPr="00527FC6">
        <w:rPr>
          <w:rFonts w:ascii="Times New Roman" w:eastAsia="Calibri" w:hAnsi="Times New Roman" w:cs="Times New Roman"/>
          <w:sz w:val="23"/>
          <w:szCs w:val="23"/>
        </w:rPr>
        <w:t>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  <w:proofErr w:type="gramEnd"/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lastRenderedPageBreak/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142B02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10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02" w:rsidRDefault="00142B02" w:rsidP="009547AA">
      <w:pPr>
        <w:spacing w:after="0" w:line="240" w:lineRule="auto"/>
      </w:pPr>
      <w:r>
        <w:separator/>
      </w:r>
    </w:p>
  </w:endnote>
  <w:endnote w:type="continuationSeparator" w:id="0">
    <w:p w:rsidR="00142B02" w:rsidRDefault="00142B02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02" w:rsidRDefault="00142B02" w:rsidP="009547AA">
      <w:pPr>
        <w:spacing w:after="0" w:line="240" w:lineRule="auto"/>
      </w:pPr>
      <w:r>
        <w:separator/>
      </w:r>
    </w:p>
  </w:footnote>
  <w:footnote w:type="continuationSeparator" w:id="0">
    <w:p w:rsidR="00142B02" w:rsidRDefault="00142B02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2"/>
    <w:rsid w:val="00142B02"/>
    <w:rsid w:val="001A6D3F"/>
    <w:rsid w:val="002D40B8"/>
    <w:rsid w:val="00314B31"/>
    <w:rsid w:val="00330ECC"/>
    <w:rsid w:val="003F201A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E12C0E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mpro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B45F-8698-446E-8813-DA3363A6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Геннадьевна Медведева</dc:creator>
  <cp:lastModifiedBy>Осипов Евгений Павлович</cp:lastModifiedBy>
  <cp:revision>2</cp:revision>
  <cp:lastPrinted>2020-01-04T09:25:00Z</cp:lastPrinted>
  <dcterms:created xsi:type="dcterms:W3CDTF">2020-02-05T00:06:00Z</dcterms:created>
  <dcterms:modified xsi:type="dcterms:W3CDTF">2020-02-05T00:06:00Z</dcterms:modified>
</cp:coreProperties>
</file>