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5D" w:rsidRDefault="003B71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715D" w:rsidRDefault="003B715D">
      <w:pPr>
        <w:pStyle w:val="ConsPlusNormal"/>
        <w:ind w:firstLine="540"/>
        <w:jc w:val="both"/>
        <w:outlineLvl w:val="0"/>
      </w:pPr>
    </w:p>
    <w:p w:rsidR="003B715D" w:rsidRDefault="003B715D">
      <w:pPr>
        <w:pStyle w:val="ConsPlusTitle"/>
        <w:jc w:val="center"/>
      </w:pPr>
      <w:r>
        <w:t>ПРАВИТЕЛЬСТВО КАМЧАТСКОГО КРАЯ</w:t>
      </w:r>
    </w:p>
    <w:p w:rsidR="003B715D" w:rsidRDefault="003B715D">
      <w:pPr>
        <w:pStyle w:val="ConsPlusTitle"/>
        <w:jc w:val="center"/>
      </w:pPr>
    </w:p>
    <w:p w:rsidR="003B715D" w:rsidRDefault="003B715D">
      <w:pPr>
        <w:pStyle w:val="ConsPlusTitle"/>
        <w:jc w:val="center"/>
      </w:pPr>
      <w:r>
        <w:t>ПОСТАНОВЛЕНИЕ</w:t>
      </w:r>
    </w:p>
    <w:p w:rsidR="003B715D" w:rsidRDefault="003B715D">
      <w:pPr>
        <w:pStyle w:val="ConsPlusTitle"/>
        <w:jc w:val="center"/>
      </w:pPr>
      <w:r>
        <w:t>от 28 марта 2012 г. N 167-П</w:t>
      </w:r>
    </w:p>
    <w:p w:rsidR="003B715D" w:rsidRDefault="003B715D">
      <w:pPr>
        <w:pStyle w:val="ConsPlusTitle"/>
        <w:jc w:val="center"/>
      </w:pPr>
    </w:p>
    <w:p w:rsidR="003B715D" w:rsidRDefault="003B715D">
      <w:pPr>
        <w:pStyle w:val="ConsPlusTitle"/>
        <w:jc w:val="center"/>
      </w:pPr>
      <w:r>
        <w:t>ОБ УСТАНОВЛЕНИИ</w:t>
      </w:r>
    </w:p>
    <w:p w:rsidR="003B715D" w:rsidRDefault="003B715D">
      <w:pPr>
        <w:pStyle w:val="ConsPlusTitle"/>
        <w:jc w:val="center"/>
      </w:pPr>
      <w:r>
        <w:t>ДОПОЛНИТЕЛЬНЫХ ОГРАНИЧЕНИЙ ВРЕМЕНИ,</w:t>
      </w:r>
    </w:p>
    <w:p w:rsidR="003B715D" w:rsidRDefault="003B715D">
      <w:pPr>
        <w:pStyle w:val="ConsPlusTitle"/>
        <w:jc w:val="center"/>
      </w:pPr>
      <w:r>
        <w:t>УСЛОВИЙ И МЕСТ РОЗНИЧНОЙ ПРОДАЖИ АЛКОГОЛЬНОЙ ПРОДУКЦИИ,</w:t>
      </w:r>
    </w:p>
    <w:p w:rsidR="003B715D" w:rsidRDefault="003B715D">
      <w:pPr>
        <w:pStyle w:val="ConsPlusTitle"/>
        <w:jc w:val="center"/>
      </w:pPr>
      <w:r>
        <w:t>ЗА ИСКЛЮЧЕНИЕМ РОЗНИЧНОЙ ПРОДАЖИ АЛКОГОЛЬНОЙ ПРОДУКЦИИ</w:t>
      </w:r>
    </w:p>
    <w:p w:rsidR="003B715D" w:rsidRDefault="003B715D">
      <w:pPr>
        <w:pStyle w:val="ConsPlusTitle"/>
        <w:jc w:val="center"/>
      </w:pPr>
      <w:r>
        <w:t>ПРИ ОКАЗАНИИ УСЛУГ ОБЩЕСТВЕННОГО ПИТАНИЯ,</w:t>
      </w:r>
    </w:p>
    <w:p w:rsidR="003B715D" w:rsidRDefault="003B715D">
      <w:pPr>
        <w:pStyle w:val="ConsPlusTitle"/>
        <w:jc w:val="center"/>
      </w:pPr>
      <w:r>
        <w:t>НА ТЕРРИТОРИИ КАМЧАТСКОГО КРАЯ</w:t>
      </w:r>
    </w:p>
    <w:p w:rsidR="003B715D" w:rsidRDefault="003B71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71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15D" w:rsidRDefault="003B71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15D" w:rsidRDefault="003B71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5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28.10.2014 </w:t>
            </w:r>
            <w:hyperlink r:id="rId6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,</w:t>
            </w:r>
          </w:p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7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09.03.2016 </w:t>
            </w:r>
            <w:hyperlink r:id="rId8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</w:p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9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16.02.2018 </w:t>
            </w:r>
            <w:hyperlink r:id="rId10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>,</w:t>
            </w:r>
          </w:p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1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20.01.2022 </w:t>
            </w:r>
            <w:hyperlink r:id="rId12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>,</w:t>
            </w:r>
          </w:p>
          <w:p w:rsidR="003B715D" w:rsidRDefault="003B7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13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15D" w:rsidRDefault="003B715D">
            <w:pPr>
              <w:pStyle w:val="ConsPlusNormal"/>
            </w:pPr>
          </w:p>
        </w:tc>
      </w:tr>
    </w:tbl>
    <w:p w:rsidR="003B715D" w:rsidRDefault="003B715D">
      <w:pPr>
        <w:pStyle w:val="ConsPlusNormal"/>
        <w:ind w:firstLine="540"/>
        <w:jc w:val="both"/>
      </w:pPr>
    </w:p>
    <w:p w:rsidR="003B715D" w:rsidRDefault="003B715D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5">
        <w:r>
          <w:rPr>
            <w:color w:val="0000FF"/>
          </w:rPr>
          <w:t>статьей 4</w:t>
        </w:r>
      </w:hyperlink>
      <w:r>
        <w:t xml:space="preserve"> Закона Камчатского края от 04.05.2011 N 598 "Об отдельных вопросах в области производства и оборота этилового спирта, алкогольной и спиртосодержащей продукции в Камчатском крае"</w:t>
      </w:r>
    </w:p>
    <w:p w:rsidR="003B715D" w:rsidRDefault="003B715D">
      <w:pPr>
        <w:pStyle w:val="ConsPlusNormal"/>
        <w:ind w:firstLine="540"/>
        <w:jc w:val="both"/>
      </w:pPr>
    </w:p>
    <w:p w:rsidR="003B715D" w:rsidRDefault="003B715D">
      <w:pPr>
        <w:pStyle w:val="ConsPlusNormal"/>
        <w:ind w:firstLine="540"/>
        <w:jc w:val="both"/>
      </w:pPr>
      <w:r>
        <w:t>ПРАВИТЕЛЬСТВО ПОСТАНОВЛЯЕТ:</w:t>
      </w:r>
    </w:p>
    <w:p w:rsidR="003B715D" w:rsidRDefault="003B715D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20.01.2022 N 17-П)</w:t>
      </w:r>
    </w:p>
    <w:p w:rsidR="003B715D" w:rsidRDefault="003B715D">
      <w:pPr>
        <w:pStyle w:val="ConsPlusNormal"/>
        <w:ind w:firstLine="540"/>
        <w:jc w:val="both"/>
      </w:pPr>
    </w:p>
    <w:p w:rsidR="003B715D" w:rsidRDefault="003B715D">
      <w:pPr>
        <w:pStyle w:val="ConsPlusNormal"/>
        <w:ind w:firstLine="540"/>
        <w:jc w:val="both"/>
      </w:pPr>
      <w:r>
        <w:t>1. Установить, что розничная продажа алкогольной продукции на территории Камчатского края не допускается: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1) с 22 часов 00 минут до 10 часов 00 минут по местному времени;</w:t>
      </w:r>
    </w:p>
    <w:p w:rsidR="003B715D" w:rsidRDefault="003B715D">
      <w:pPr>
        <w:pStyle w:val="ConsPlusNormal"/>
        <w:spacing w:before="200"/>
        <w:ind w:firstLine="540"/>
        <w:jc w:val="both"/>
      </w:pPr>
      <w:bookmarkStart w:id="0" w:name="P27"/>
      <w:bookmarkEnd w:id="0"/>
      <w:r>
        <w:t>2) в зданиях, строениях, сооружениях, в которых осуществляют деятельность: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а) образовательные организации и индивидуальные предприниматели, осуществляющие образовательную деятельность (за исключением организаций дополнительного образования, организаций дополнительного профессионального образования);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б) организации, осуществляющие обучение несовершеннолетних, и индивидуальные предприниматели, осуществляющие образовательную деятельность в отношении несовершеннолетних;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в) 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Федерации;</w:t>
      </w:r>
    </w:p>
    <w:p w:rsidR="003B715D" w:rsidRDefault="003B715D">
      <w:pPr>
        <w:pStyle w:val="ConsPlusNormal"/>
        <w:spacing w:before="200"/>
        <w:ind w:firstLine="540"/>
        <w:jc w:val="both"/>
      </w:pPr>
      <w:bookmarkStart w:id="1" w:name="P31"/>
      <w:bookmarkEnd w:id="1"/>
      <w:r>
        <w:t>3) в зданиях, строениях, сооружениях, в которых размещены объекты спорта;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4) в зонах рекреационного назначения (в границах территорий, занятых скверами и парками, используемых и предназначенных для отдыха, туризма, занятий физической культурой и спортом);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5) в следующие праздничные дни: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а) 25 января - День студентов;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lastRenderedPageBreak/>
        <w:t>б) 1 июня - Международный день защиты детей;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в) 27 июня - День молодежи России либо иной день, в который проводятся культурно-массовые мероприятия, посвященные празднованию Дня молодежи России,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информационно-телекоммуникационной сети "Интернет" не позднее, чем за сутки до дня проведения мероприятий;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г) 1 сентября - День знаний либо иной день, в который проводятся торжественные линейки в общеобразовательных организациях, посвященные началу учебного года,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информационно-телекоммуникационной сети "Интернет" не позднее, чем за сутки до дня проведения мероприятий;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д) 11 сентября - Всероссийский день трезвости;</w:t>
      </w:r>
    </w:p>
    <w:p w:rsidR="003B715D" w:rsidRDefault="003B715D">
      <w:pPr>
        <w:pStyle w:val="ConsPlusNormal"/>
        <w:jc w:val="both"/>
      </w:pPr>
      <w:r>
        <w:t xml:space="preserve">(пп. "д"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12.10.2022 N 539-П)</w:t>
      </w:r>
    </w:p>
    <w:p w:rsidR="003B715D" w:rsidRDefault="003B715D">
      <w:pPr>
        <w:pStyle w:val="ConsPlusNormal"/>
        <w:spacing w:before="200"/>
        <w:ind w:firstLine="540"/>
        <w:jc w:val="both"/>
      </w:pPr>
      <w:bookmarkStart w:id="2" w:name="P40"/>
      <w:bookmarkEnd w:id="2"/>
      <w:r>
        <w:t>6) в торговых объектах, находящихся: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а) в нежилых помещениях, имеющих вход и (или) выход для посетителей со стороны коридоров, лестничных площадок многоквартирных домов;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б) 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указанные нежилые помещения организован со стороны подъездов многоквартирных домов;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в) в зданиях, в которых расположены студенческие общежития.</w:t>
      </w:r>
    </w:p>
    <w:p w:rsidR="003B715D" w:rsidRDefault="003B715D">
      <w:pPr>
        <w:pStyle w:val="ConsPlusNormal"/>
        <w:jc w:val="both"/>
      </w:pPr>
      <w:r>
        <w:t xml:space="preserve">(п. 6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12.10.2022 N 539-П)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 xml:space="preserve">7)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12.10.2022 N 539-П;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 xml:space="preserve">2. Установить, что действие </w:t>
      </w:r>
      <w:hyperlink w:anchor="P27">
        <w:r>
          <w:rPr>
            <w:color w:val="0000FF"/>
          </w:rPr>
          <w:t>пунктов 2</w:t>
        </w:r>
      </w:hyperlink>
      <w:r>
        <w:t xml:space="preserve"> и </w:t>
      </w:r>
      <w:hyperlink w:anchor="P31">
        <w:r>
          <w:rPr>
            <w:color w:val="0000FF"/>
          </w:rPr>
          <w:t>3 части 1</w:t>
        </w:r>
      </w:hyperlink>
      <w:r>
        <w:t xml:space="preserve"> настоящего Постановления не распространяется на здания, строения, сооружения, предназначенные для предоставления гостиничных услуг.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 xml:space="preserve">3. Установить, что в случае, если место нахождения стационарного торгового объекта организации, осуществляющей розничную продажу алкогольной продукции, в период действия лицензии, перестает соответствовать условиям, указанным в </w:t>
      </w:r>
      <w:hyperlink w:anchor="P40">
        <w:r>
          <w:rPr>
            <w:color w:val="0000FF"/>
          </w:rPr>
          <w:t>пункте 6 части 1</w:t>
        </w:r>
      </w:hyperlink>
      <w:r>
        <w:t xml:space="preserve"> настоящего Постановления, такие организации вправе продолжать осуществлять деятельность по розничной продаже алкогольной продукции до окончания срока действия лицензии и возникшие ограничения к ним не применяются. Дальнейшее продление срока действия лицензии, переоформление и выдача лицензии производятся лицензирующим органом с учетом установленных ограничений.</w:t>
      </w:r>
    </w:p>
    <w:p w:rsidR="003B715D" w:rsidRDefault="003B715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12.10.2022 N 539-П)</w:t>
      </w:r>
    </w:p>
    <w:p w:rsidR="003B715D" w:rsidRDefault="003B715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3B715D" w:rsidRDefault="003B715D">
      <w:pPr>
        <w:pStyle w:val="ConsPlusNormal"/>
        <w:jc w:val="both"/>
      </w:pPr>
      <w:r>
        <w:t xml:space="preserve">(постановляющая часть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20.01.2022 N 17-П)</w:t>
      </w:r>
    </w:p>
    <w:p w:rsidR="003B715D" w:rsidRDefault="003B715D">
      <w:pPr>
        <w:pStyle w:val="ConsPlusNormal"/>
        <w:ind w:firstLine="540"/>
        <w:jc w:val="both"/>
      </w:pPr>
    </w:p>
    <w:p w:rsidR="003B715D" w:rsidRDefault="003B715D">
      <w:pPr>
        <w:pStyle w:val="ConsPlusNormal"/>
        <w:jc w:val="right"/>
      </w:pPr>
      <w:r>
        <w:t>Губернатор</w:t>
      </w:r>
    </w:p>
    <w:p w:rsidR="003B715D" w:rsidRDefault="003B715D">
      <w:pPr>
        <w:pStyle w:val="ConsPlusNormal"/>
        <w:jc w:val="right"/>
      </w:pPr>
      <w:r>
        <w:t>Камчатского края</w:t>
      </w:r>
    </w:p>
    <w:p w:rsidR="003B715D" w:rsidRDefault="003B715D">
      <w:pPr>
        <w:pStyle w:val="ConsPlusNormal"/>
        <w:jc w:val="right"/>
      </w:pPr>
      <w:r>
        <w:t>В.И.ИЛЮХИН</w:t>
      </w:r>
    </w:p>
    <w:p w:rsidR="003B715D" w:rsidRDefault="003B715D">
      <w:pPr>
        <w:pStyle w:val="ConsPlusNormal"/>
        <w:ind w:firstLine="540"/>
        <w:jc w:val="both"/>
      </w:pPr>
    </w:p>
    <w:p w:rsidR="003B715D" w:rsidRDefault="003B715D">
      <w:pPr>
        <w:pStyle w:val="ConsPlusNormal"/>
        <w:ind w:firstLine="540"/>
        <w:jc w:val="both"/>
      </w:pPr>
    </w:p>
    <w:p w:rsidR="003B715D" w:rsidRDefault="003B71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044" w:rsidRDefault="00823044">
      <w:bookmarkStart w:id="3" w:name="_GoBack"/>
      <w:bookmarkEnd w:id="3"/>
    </w:p>
    <w:sectPr w:rsidR="00823044" w:rsidSect="009B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5D"/>
    <w:rsid w:val="003B715D"/>
    <w:rsid w:val="008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CE24-B8DB-4B02-B1E7-D4A2C94F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1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71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7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6DA82B5026994FB572ADD102D764F0A58C962EA9CD8F449FEE33498795D1FB41B45180889FE1C6D0E77DE4874DA2F3EB5E4AA2CBF630563CC07D2CDrBE" TargetMode="External"/><Relationship Id="rId13" Type="http://schemas.openxmlformats.org/officeDocument/2006/relationships/hyperlink" Target="consultantplus://offline/ref=3546DA82B5026994FB572ADD102D764F0A58C962EA91DCF344F7E33498795D1FB41B45180889FE1C6D0E77DE4874DA2F3EB5E4AA2CBF630563CC07D2CDrBE" TargetMode="External"/><Relationship Id="rId18" Type="http://schemas.openxmlformats.org/officeDocument/2006/relationships/hyperlink" Target="consultantplus://offline/ref=3546DA82B5026994FB572ADD102D764F0A58C962EA91DCF344F7E33498795D1FB41B45180889FE1C6D0E77DE4474DA2F3EB5E4AA2CBF630563CC07D2CDr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46DA82B5026994FB572ADD102D764F0A58C962EA90D8FA4FFBE33498795D1FB41B45180889FE1C6D0E77DF4C74DA2F3EB5E4AA2CBF630563CC07D2CDrBE" TargetMode="External"/><Relationship Id="rId7" Type="http://schemas.openxmlformats.org/officeDocument/2006/relationships/hyperlink" Target="consultantplus://offline/ref=3546DA82B5026994FB572ADD102D764F0A58C962EA9CD9F749FBE33498795D1FB41B45180889FE1C6D0E77DE4874DA2F3EB5E4AA2CBF630563CC07D2CDrBE" TargetMode="External"/><Relationship Id="rId12" Type="http://schemas.openxmlformats.org/officeDocument/2006/relationships/hyperlink" Target="consultantplus://offline/ref=3546DA82B5026994FB572ADD102D764F0A58C962EA90D8FA4FFBE33498795D1FB41B45180889FE1C6D0E77DE4874DA2F3EB5E4AA2CBF630563CC07D2CDrBE" TargetMode="External"/><Relationship Id="rId17" Type="http://schemas.openxmlformats.org/officeDocument/2006/relationships/hyperlink" Target="consultantplus://offline/ref=3546DA82B5026994FB572ADD102D764F0A58C962EA91DCF344F7E33498795D1FB41B45180889FE1C6D0E77DE4A74DA2F3EB5E4AA2CBF630563CC07D2CDr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46DA82B5026994FB572ADD102D764F0A58C962EA90D8FA4FFBE33498795D1FB41B45180889FE1C6D0E77DE4574DA2F3EB5E4AA2CBF630563CC07D2CDrBE" TargetMode="External"/><Relationship Id="rId20" Type="http://schemas.openxmlformats.org/officeDocument/2006/relationships/hyperlink" Target="consultantplus://offline/ref=3546DA82B5026994FB572ADD102D764F0A58C962EA91DCF344F7E33498795D1FB41B45180889FE1C6D0E77DF4874DA2F3EB5E4AA2CBF630563CC07D2CDr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6DA82B5026994FB572ADD102D764F0A58C962EA9BDAF544F9E33498795D1FB41B45180889FE1C6D0E77DE4874DA2F3EB5E4AA2CBF630563CC07D2CDrBE" TargetMode="External"/><Relationship Id="rId11" Type="http://schemas.openxmlformats.org/officeDocument/2006/relationships/hyperlink" Target="consultantplus://offline/ref=3546DA82B5026994FB572ADD102D764F0A58C962EA9EDFF34AFCE33498795D1FB41B45180889FE1C6D0E77DE4874DA2F3EB5E4AA2CBF630563CC07D2CDrBE" TargetMode="External"/><Relationship Id="rId5" Type="http://schemas.openxmlformats.org/officeDocument/2006/relationships/hyperlink" Target="consultantplus://offline/ref=3546DA82B5026994FB572ADD102D764F0A58C962E99FD5F74AF4BE3E9020511DB3141A0F0FC0F21D6D0E77D8462BDF3A2FEDE8A33AA0621B7FCE05CDr2E" TargetMode="External"/><Relationship Id="rId15" Type="http://schemas.openxmlformats.org/officeDocument/2006/relationships/hyperlink" Target="consultantplus://offline/ref=3546DA82B5026994FB572ADD102D764F0A58C962EA90D5FA4CFBE33498795D1FB41B45180889FE1C6D0E77DF4A74DA2F3EB5E4AA2CBF630563CC07D2CDrB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546DA82B5026994FB572ADD102D764F0A58C962EA9DD5F445F8E33498795D1FB41B45180889FE1C6D0E77DE4874DA2F3EB5E4AA2CBF630563CC07D2CDrBE" TargetMode="External"/><Relationship Id="rId19" Type="http://schemas.openxmlformats.org/officeDocument/2006/relationships/hyperlink" Target="consultantplus://offline/ref=3546DA82B5026994FB572ADD102D764F0A58C962EA91DCF344F7E33498795D1FB41B45180889FE1C6D0E77DF4974DA2F3EB5E4AA2CBF630563CC07D2CDr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46DA82B5026994FB572ADD102D764F0A58C962EA9DD9F54BF9E33498795D1FB41B45180889FE1C6D0E77DE4874DA2F3EB5E4AA2CBF630563CC07D2CDrBE" TargetMode="External"/><Relationship Id="rId14" Type="http://schemas.openxmlformats.org/officeDocument/2006/relationships/hyperlink" Target="consultantplus://offline/ref=3546DA82B5026994FB5734D006412A4B08529568E89AD6A510ABE563C7295B4AF45B434D4BCDFB1C6E05238F092A837F72FEE8AB3AA36207C7r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1</cp:revision>
  <dcterms:created xsi:type="dcterms:W3CDTF">2022-10-18T04:43:00Z</dcterms:created>
  <dcterms:modified xsi:type="dcterms:W3CDTF">2022-10-18T04:43:00Z</dcterms:modified>
</cp:coreProperties>
</file>