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к Порядку проведения экспертизы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Анкета участника публичных консультаций с примерным перечнем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386"/>
        <w:gridCol w:w="5958"/>
      </w:tblGrid>
      <w:tr>
        <w:trPr/>
        <w:tc>
          <w:tcPr>
            <w:tcW w:w="934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3064" w:leader="none"/>
                <w:tab w:val="center" w:pos="487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4636"/>
        <w:gridCol w:w="4708"/>
      </w:tblGrid>
      <w:tr>
        <w:trPr/>
        <w:tc>
          <w:tcPr>
            <w:tcW w:w="46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04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6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en-US" w:eastAsia="en-US" w:bidi="ar-SA"/>
                </w:rPr>
                <w:t>SadovnikovaAS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@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en-US" w:eastAsia="en-US" w:bidi="ar-SA"/>
                </w:rPr>
                <w:t>kamgov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en-US" w:eastAsia="en-US" w:bidi="ar-SA"/>
                </w:rPr>
                <w:t>ru</w:t>
              </w:r>
            </w:hyperlink>
          </w:p>
        </w:tc>
      </w:tr>
      <w:tr>
        <w:trPr/>
        <w:tc>
          <w:tcPr>
            <w:tcW w:w="46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Садовникова Алла Сергеевна,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8(4152) 21-56-43</w:t>
            </w:r>
          </w:p>
        </w:tc>
      </w:tr>
    </w:tbl>
    <w:p>
      <w:pPr>
        <w:pStyle w:val="Normal"/>
        <w:spacing w:before="3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нормативном правовом акте Камчатского края:</w:t>
      </w:r>
    </w:p>
    <w:tbl>
      <w:tblPr>
        <w:tblStyle w:val="a3"/>
        <w:tblW w:w="934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067"/>
        <w:gridCol w:w="6277"/>
      </w:tblGrid>
      <w:tr>
        <w:trPr/>
        <w:tc>
          <w:tcPr>
            <w:tcW w:w="30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финансовая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поддержка</w:t>
            </w:r>
          </w:p>
        </w:tc>
      </w:tr>
      <w:tr>
        <w:trPr/>
        <w:tc>
          <w:tcPr>
            <w:tcW w:w="30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постановление Правительства Камчатского края от 14.03.2022 № 118-П «Об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https://regulation.kamgov.ru/projects#npa=7683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Style w:val="a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"/>
              <w:widowControl w:val="fals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ConsPlusNormal"/>
              <w:widowControl w:val="fals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"/>
              <w:widowControl w:val="fals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45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uiPriority w:val="99"/>
    <w:rsid w:val="004b45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4b45e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4b45e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5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LibreOffice/7.4.4.2$Linux_X86_64 LibreOffice_project/40$Build-2</Application>
  <AppVersion>15.0000</AppVersion>
  <Pages>3</Pages>
  <Words>340</Words>
  <Characters>2498</Characters>
  <CharactersWithSpaces>2798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2022-10-05T22:02:00Z</dcterms:created>
  <dc:creator>Садовникова Алла Сергеевна</dc:creator>
  <dc:description/>
  <dc:language>ru-RU</dc:language>
  <cp:lastModifiedBy/>
  <dcterms:modified xsi:type="dcterms:W3CDTF">2023-03-10T15:44:21Z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