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Свод предложений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свода предложений: 22.06.2023.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Наименование нормативного правового акта Камчатского края, ID проекта: постановление Правительства Камчатского края от 30.12.2022 № 777-П «Об утверждении Порядка предоставления субсидий на финансовое обеспечение части затрат, связанных с производством и реализацией охлажденного мяса птицы»  (далее – Постановление Правительства Камчатского края от 30.12.2022 № 777-П</w:t>
      </w:r>
      <w:r>
        <w:rPr>
          <w:rFonts w:eastAsia="Calibri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ru-RU" w:eastAsia="en-US" w:bidi="ar-SA"/>
        </w:rPr>
        <w:t>, Порядок предоставления субсидий</w:t>
      </w:r>
      <w:r>
        <w:rPr>
          <w:sz w:val="28"/>
          <w:szCs w:val="28"/>
        </w:rPr>
        <w:t>)</w:t>
      </w:r>
      <w:r>
        <w:rPr>
          <w:sz w:val="28"/>
          <w:szCs w:val="28"/>
          <w:shd w:fill="FFFFFF" w:val="clear"/>
        </w:rPr>
        <w:t xml:space="preserve">; </w:t>
      </w:r>
      <w:r>
        <w:fldChar w:fldCharType="begin"/>
      </w:r>
      <w:r>
        <w:rPr>
          <w:rStyle w:val="Style14"/>
          <w:sz w:val="28"/>
          <w:shd w:fill="FFFFFF" w:val="clear"/>
          <w:szCs w:val="28"/>
        </w:rPr>
        <w:instrText xml:space="preserve"> HYPERLINK "https://regulation.kamgov.ru/projects" \l "npa=7692"</w:instrText>
      </w:r>
      <w:r>
        <w:rPr>
          <w:rStyle w:val="Style14"/>
          <w:sz w:val="28"/>
          <w:shd w:fill="FFFFFF" w:val="clear"/>
          <w:szCs w:val="28"/>
        </w:rPr>
        <w:fldChar w:fldCharType="separate"/>
      </w:r>
      <w:r>
        <w:rPr>
          <w:rStyle w:val="Style14"/>
          <w:sz w:val="28"/>
          <w:szCs w:val="28"/>
          <w:shd w:fill="FFFFFF" w:val="clear"/>
        </w:rPr>
        <w:t>https://regulation.kamgov.ru/projects#npa=7692</w:t>
      </w:r>
      <w:r>
        <w:rPr>
          <w:rStyle w:val="Style14"/>
          <w:sz w:val="28"/>
          <w:shd w:fill="FFFFFF" w:val="clear"/>
          <w:szCs w:val="28"/>
        </w:rPr>
        <w:fldChar w:fldCharType="end"/>
      </w:r>
      <w:r>
        <w:rPr>
          <w:sz w:val="28"/>
          <w:szCs w:val="28"/>
          <w:shd w:fill="FFFFFF" w:val="clear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публичных консультаций: с 11.05.2023 по 08.06.2023.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shd w:fill="auto" w:val="clear"/>
        </w:rPr>
        <w:t xml:space="preserve">Перечень органов и организаций, которым были направлены уведомления о проведении публичных консультаций: Камчатское региональное отделение общероссийской общественной организации «Деловая Россия»; Союз «Торгово-промышленная палата Камчатского края»; Региональное отраслевое объединение работодателей «Союз рыбопромышленников и предпринимателей Камчатки»; </w:t>
      </w:r>
      <w:r>
        <w:rPr>
          <w:bCs/>
          <w:sz w:val="28"/>
          <w:szCs w:val="28"/>
          <w:shd w:fill="auto" w:val="clear"/>
        </w:rPr>
        <w:t xml:space="preserve">Региональное отделение РСПП  Камчатского края </w:t>
      </w:r>
      <w:r>
        <w:rPr>
          <w:sz w:val="28"/>
          <w:szCs w:val="28"/>
          <w:shd w:fill="auto" w:val="clear"/>
        </w:rPr>
        <w:t xml:space="preserve">Некоммерческая организация Объединение работодателей «Камчатский краевой союз промышленников»; екоммерческое партнерство «Ассоциация предприятий и предпринимателей г. Вилючинска»; </w:t>
      </w:r>
      <w:r>
        <w:rPr>
          <w:rFonts w:eastAsia="Calibri" w:cs="Times New Roman"/>
          <w:kern w:val="0"/>
          <w:sz w:val="28"/>
          <w:szCs w:val="28"/>
          <w:shd w:fill="auto" w:val="clear"/>
          <w:lang w:val="ru-RU" w:eastAsia="en-US" w:bidi="ar-SA"/>
        </w:rPr>
        <w:t xml:space="preserve">Камчатский краевой союз потребительских кооперативов Центросоюза РФ; Некоммерческое партнерство «Производители пищевой продукции Камчатского края «Пищевик Камчатки»; камчатское региональное отделение общероссийской организации малого и среднего предпринимательства «ОПОРА РОССИИ»; региональная общественная организация «Союз индивидуальных предпринимателей Камчатского края»; Союз «Торгово-промышленная палата Камчатского края»; региональное отраслевое объединение работодателей «Союз рыбопромышленников и предпринимателей Камчатки», </w:t>
      </w:r>
      <w:r>
        <w:rPr>
          <w:sz w:val="28"/>
          <w:szCs w:val="28"/>
          <w:shd w:fill="auto" w:val="clear"/>
        </w:rPr>
        <w:t>ООО Юкидим; Беляева М.А.</w:t>
      </w:r>
      <w:r>
        <w:rPr>
          <w:rStyle w:val="Strong"/>
          <w:b w:val="false"/>
          <w:color w:val="000000"/>
          <w:sz w:val="28"/>
          <w:szCs w:val="28"/>
          <w:shd w:fill="auto" w:val="clear"/>
        </w:rPr>
        <w:t xml:space="preserve"> администрация Петропавловск-камчатского городского округа; администрация Вилючинского городского округа; администрация</w:t>
      </w:r>
      <w:r>
        <w:rPr>
          <w:rStyle w:val="Strong"/>
          <w:color w:val="000000"/>
          <w:sz w:val="28"/>
          <w:szCs w:val="28"/>
          <w:shd w:fill="auto" w:val="clear"/>
        </w:rPr>
        <w:t xml:space="preserve"> </w:t>
      </w:r>
      <w:r>
        <w:rPr>
          <w:rStyle w:val="Strong"/>
          <w:b w:val="false"/>
          <w:color w:val="000000"/>
          <w:sz w:val="28"/>
          <w:szCs w:val="28"/>
          <w:shd w:fill="auto" w:val="clear"/>
        </w:rPr>
        <w:t>г</w:t>
      </w:r>
      <w:r>
        <w:rPr>
          <w:sz w:val="28"/>
          <w:szCs w:val="28"/>
          <w:shd w:fill="auto" w:val="clear"/>
        </w:rPr>
        <w:t>ородского округа «посёлок Палана»; администрация Алеутского муниципального округа; администрация Быстринского муниципального района; администрация Елизовского муниципального района; администрация Карагинского муниципального района; администрация Мильковского муниципального района; администрация Олюторского муниципального района; администрация Пенжинского муниципального района; администрация Соболевского муниципального района; администрация Тигильского муниципального района; администрация Усть-Большерецкого муниципального района; администрация Усть-Камчатский муниципальный район.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20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384"/>
        <w:gridCol w:w="5760"/>
        <w:gridCol w:w="580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Участник публичных консультаций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Позиция участника публичного обсуждения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108"/>
              <w:jc w:val="center"/>
              <w:rPr/>
            </w:pPr>
            <w:r>
              <w:rPr/>
              <w:t>Комментарий уполномоченного органа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left="34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1.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Муниципальное казенное учреждение «Центр экономического развития»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НПА, а также проблема, на решение которой он направлен в настоящее время является актуальной для региона. Предоставление субсидий сельскохозяйственным товаропроизводителям Камчатского края в целях финансового обеспечения части затрат, связанных с производством и реализацией охлажденного мяса птицы, по следующим направлениям затрат: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1) приобретение электрической энергии, используемой при производстве и реализации охлажденного мяса птицы;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2) приобретение расходных материалов, связанных с производством и реализацией охлажденного мяса птицы (тара, упаковка, инвентарь и другое);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3) затраты на зоотехническое и ветеринарное обслуживание сельскохозяйственной птицы;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4) иные затраты, связанные с производством и реализацией охлажденного мяса птицы.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Из расчета за 1 тонну произведенного и реализованного охлажденного мяса птицы, позволит поддержать местного товаропроизводителя, что в свою очередь положительно отразится на экономике Камчатского края.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Термины (определения), предполагаемые к введению НПА понятны, корректны и не вызывают неоднозначного толкования. В добавлении иных терминов нет необходимости.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Правовое регулирование достигнет целей указанных в НПА. Поддержка сельскохозяйственных товаропроизводителей Камчатского края в целях финансового обеспечения части затрат, связанных с производством и реализацией охлажденного мяса птицы, позволит товаропроизводителям снизить расходы по производству мяса, что в свою очередь предполагает установление средних цен на реализуемую продукцию.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 Выбранный вариант решения проблемы считаем оптимальным, правовое регулирование достигнет целей указанных в НПА, поскольку затраты понесенные сельхозпроизводителями, согласно нормативно правовому акту подлежат финансовому обеспечению части затрат, связанных с производством и реализацией охлажденного мяса птицы. Для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согласно НПА предусмотрено финансовое обеспечение части затрат, связанных с производством и реализацией охлажденного мяса птицы. Возмещение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 Правовое регулирование, на которое направлен НПА вносит свои коррективы и создает оптимальные условия для конкурентной среды Камчатского края.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6. Постановление Правительства Камчатского края от 30.12.2022 № 777-П не содержит невыполнимых на практике норм.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7. Альтернативных способов позволяющих достигнуть целей, на которые направлено принятие нормативно правового акта, не существует.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Мнение участника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публичных консультаций</w:t>
            </w:r>
            <w:r>
              <w:rPr>
                <w:color w:val="000000"/>
                <w:sz w:val="24"/>
                <w:szCs w:val="24"/>
              </w:rPr>
              <w:t xml:space="preserve"> – Муниципальное казенное учреждение «Центр экономического развития»,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Управление 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Проблема, на решение которой направлено постановление Правительства Камчатского края от 30.12.2022 № 777-П «Об утверждении Порядка предоставления субсидий на финансовое обеспечение затрат, связанных с производством и реализацией охлажденного мяса птицы», является актуальной для Петропавловск-Камчатского городского округа и Камчатского края в целом, поскольку создание максимально благоприятных условий для ведения предпринимательской и инвестиционной деятельности способствуют  формированию развитой конкурентной среды, внедрению новых производственных и управленческих технологий, развитию инновационной деятельности, созданию новых рабочих мест, насыщению рынка товарами и услугами, увеличению налоговых поступлений в бюджет государства, повышению благосостояния и качества жизни.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 Термины (определения), введенные нормативным правовым актом понятны, корректны и не вызывают неоднозначного толкования. Нет необходимости добавлять иные термины (определения).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 Государственное регулирование отношений и поддержка развития малого и среднего предпринимательства в Камчатском крае является неотъемлемой частью развития экономики Камчатского края и Петропавловск-Камчатского городского округа.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4. Применение механизмов государственного регулирования отношений и поддержки развития малого и среднего предпринимательства в Камчатском крае, отраженных в постановлении Правительства Камчатского края от 30.12.2022 </w:t>
              <w:br/>
              <w:t>№ 777-П безусловно, достигнет цели по созданию благоприятных условий для ведения предпринимательской и инвестиционной деятельности.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5. Выбранный вариант решения проблемы, отраженный в постановлении Правительства Камчатского края от 30.12.2022 № 777-П является оптимальным с точки зрения общественных выгод и издержек. Отсутствуют иные варианты достижения целей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6. Действующее правовое регулирование не влияет на конкурентную среду в Камчатском крае.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 Положения НПА не содержат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края.</w:t>
            </w:r>
          </w:p>
          <w:p>
            <w:pPr>
              <w:pStyle w:val="Normal"/>
              <w:widowControl w:val="false"/>
              <w:tabs>
                <w:tab w:val="clear" w:pos="284"/>
                <w:tab w:val="left" w:pos="85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8. НПА не содержит норм, не выполнимых на практике.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Мнение участника публичных консультаций – Управления экономического развития и предпринимательства администрации Петропавловск-Камчатского городского округа,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  <w:shd w:fill="FFFF00" w:val="clear"/>
              </w:rPr>
            </w:pPr>
            <w:r>
              <w:rPr>
                <w:color w:val="000000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Администрация Тигильского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1. Проблема, на решение которой направлен НПА, является актуальной.</w:t>
            </w:r>
          </w:p>
          <w:p>
            <w:pPr>
              <w:pStyle w:val="ConsPlusNormal"/>
              <w:widowControl w:val="false"/>
              <w:spacing w:lineRule="auto" w:line="24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 Термины понятны, корректны.</w:t>
            </w:r>
          </w:p>
          <w:p>
            <w:pPr>
              <w:pStyle w:val="ListParagraph"/>
              <w:widowControl w:val="false"/>
              <w:spacing w:lineRule="auto" w:line="240"/>
              <w:ind w:left="34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 Действующее правовое регулирование достигнет целей, на которые оно направлено. Иные варианты достижения целей правового регулирования, которые были бы менее затратные (оптимальны) для ведения предпринимательской и инвестиционной деятельности отсутствуют.</w:t>
            </w:r>
          </w:p>
          <w:p>
            <w:pPr>
              <w:pStyle w:val="ListParagraph"/>
              <w:widowControl w:val="false"/>
              <w:spacing w:lineRule="auto" w:line="240"/>
              <w:ind w:left="34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4. Выбранный вариант решения проблемы является оптимальным (в том числе с точки зрения общественных выгод и издержек).</w:t>
            </w:r>
          </w:p>
          <w:p>
            <w:pPr>
              <w:pStyle w:val="ListParagraph"/>
              <w:widowControl w:val="false"/>
              <w:spacing w:lineRule="auto" w:line="240"/>
              <w:ind w:left="34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5. Положения НПА не содержат норм, невыполнимых на практике.</w:t>
            </w:r>
          </w:p>
          <w:p>
            <w:pPr>
              <w:pStyle w:val="ListParagraph"/>
              <w:widowControl w:val="false"/>
              <w:spacing w:lineRule="auto" w:line="240"/>
              <w:ind w:left="34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 Положения НПА не содержат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Мнение участника публичных консультаций – Администрации Тигильского муниципального района,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Администрация Усть-Большерецкого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1. Проблема, на решение которой направлен НПА является актуальной.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 Термины понятны, корректны и не вызывают неоднозначного толкования.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 Правовое регулирование достигнет тех целей, на которые оно направлено.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4. Выбранный вариант решения проблемы является оптимальным.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5. Действующее правовое регулирование влияет на конкурентную среду в Камчатском крае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 Положения НПА не содержат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 НПА не содержит нормы, невыполнимые на практике.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Мнение участника публичных консультации – Администрации Усть-Большерецкого муниципального района,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34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Администрация Олюторского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Проблема, на решение которой направлен НПА, на сегодняшний день, является актуальной для Камчатского края.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13" w:right="0" w:hanging="57"/>
              <w:contextualSpacing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Термины, введенные в НПА, понятны и не вызывают неоднозначного толкования. В добавлении иных терминов необходимости нет.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Цель действующего правового регулирования соотносится с проблемой, на решение которой оно направлено. Действующее правовое регулирование достигнет тех целей, на которой оно направлено.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Выбранный вариант решения проблемы оптимальный, в том числе с точки зрения общественных выгод и издержек. Наименее затратных и более эффективных способов решения проблемы нет.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Действующее правовое регулирование влияет на конкурентную среду в Камчатском крае.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Положения НПА не содержит избыточн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ых требований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НПА не содержит нормы, не выполнимые на практике.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Альтернативных способов достижения целей действующего правового регулирования не существует.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Мнение участника публичных консультациий– Администрации Олюторского муниципального района,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6.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Администрация Вилючинского городского округа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Проблема, на решение которой направлен НПА является актуальной для региона.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0" w:right="0" w:hanging="11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Термины (определения), введенные в НПА, понятны, корректны и не вызывают неоднозначного толкования в данном правовом регулировании. Необходимость добавления иных терминов (определений) в данный НПА отсутствует.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Цель действующего правового регулирования соотносится с проблемой, на решение которой оно направлено. Действующее правовое регулирование достигнет целей, на которое оно направлено.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Выбранный вариант решения проблемы является оптимальным. Иные варианты достижения целей правового регулирования отсутствуют.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Действующее правовое регулирование влияет на конкурентную среду в Камчатском крае.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Положения НПА не содержат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ind w:left="34" w:right="0" w:firstLine="23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НПА не содержит норм, невыполнимых на практике.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Мнение участника публичных консультаций – Администрации Вилючинского городского округа, учтено.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Администрация  городского округа «поселок Палана»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/>
              <w:ind w:left="34" w:right="0" w:hanging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Проблема, на решение которой направлен НПА является актуальной.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Термины (определения) понятны, корректны и не вызывают неоднозначного толкования.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Цель действующего правового регулирования соотносится с проблемой, на решение которой оно направлено.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Выбранный вариант решения проблемы является оптимальным.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Действующее правовое регулирование не влияет на конкурентную среду в Камчатском крае.</w:t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НПА не содержит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деятельности.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Мнение участника публичных консультаций –Администрации  городского округа «поселок Палана», учтено.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8.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Администрация Пенжинского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1. Проблема, на решение которой направлен  НПА, является актуальной в настоящее время для региона.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2. Термины (определения), введенные НПА понятны, корректны и не вызывают неоднозначного толкования.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3. НПА,  если не решит полностью проблему, то значительно поможет в улучшении ситуации.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4. Выбранный вариант решения проблемы является оптимальным (в том числе с точки зрения общественных выгод и издержек).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5. Действующее правовое регулирование влияет на конкурентную среду в Камчатском крае.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 Положения НПА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 не вводит.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 НПА не содержит норм, не выполнимых на практике.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Мнение участника </w:t>
            </w:r>
            <w:r>
              <w:rPr>
                <w:shd w:fill="auto" w:val="clear"/>
              </w:rPr>
              <w:t>публичных консультаций</w:t>
            </w:r>
            <w:r>
              <w:rPr/>
              <w:t xml:space="preserve"> – Администрации Пенжинского муниципального района, учтено.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9.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Администрация Карагинского муниципального района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Проблема, на решение которой направлен нормативный правовой акт Камчатского края актуальной в настоящее время для региона.</w:t>
            </w:r>
          </w:p>
          <w:p>
            <w:pPr>
              <w:pStyle w:val="ListParagraph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2. Ц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ель действующего правового регулирования соотносится с проблемой, на решение которой оно направлено. 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Мнение участника </w:t>
            </w:r>
            <w:r>
              <w:rPr>
                <w:shd w:fill="auto" w:val="clear"/>
              </w:rPr>
              <w:t>публичных консультаций</w:t>
            </w:r>
            <w:r>
              <w:rPr/>
              <w:t xml:space="preserve"> – Администрации Карагинского муниципального района, учтено.</w:t>
            </w:r>
          </w:p>
        </w:tc>
      </w:tr>
    </w:tbl>
    <w:tbl>
      <w:tblPr>
        <w:tblW w:w="14565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9"/>
        <w:gridCol w:w="2086"/>
      </w:tblGrid>
      <w:tr>
        <w:trPr/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Общее количество поступивших предложений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Общее количество учтенных предложений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Общее количество неучтенных предложений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8"/>
                <w:lang w:val="ru-RU" w:eastAsia="en-US" w:bidi="ar-SA"/>
              </w:rPr>
            </w:pPr>
            <w:r>
              <w:rPr>
                <w:kern w:val="0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tbl>
      <w:tblPr>
        <w:tblW w:w="145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5"/>
        <w:gridCol w:w="6889"/>
        <w:gridCol w:w="3451"/>
      </w:tblGrid>
      <w:tr>
        <w:trPr>
          <w:trHeight w:val="1585" w:hRule="atLeast"/>
        </w:trPr>
        <w:tc>
          <w:tcPr>
            <w:tcW w:w="4225" w:type="dxa"/>
            <w:tcBorders/>
          </w:tcPr>
          <w:p>
            <w:pPr>
              <w:pStyle w:val="Normal"/>
              <w:widowControl w:val="false"/>
              <w:spacing w:lineRule="auto" w:line="240"/>
              <w:ind w:left="30" w:right="27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  <w:t>Министр</w:t>
            </w:r>
          </w:p>
        </w:tc>
        <w:tc>
          <w:tcPr>
            <w:tcW w:w="6889" w:type="dxa"/>
            <w:tcBorders/>
          </w:tcPr>
          <w:p>
            <w:pPr>
              <w:pStyle w:val="Normal"/>
              <w:widowControl w:val="false"/>
              <w:spacing w:lineRule="auto" w:line="240"/>
              <w:ind w:left="3" w:right="0" w:hanging="3"/>
              <w:jc w:val="left"/>
              <w:rPr>
                <w:spacing w:val="0"/>
                <w:kern w:val="0"/>
                <w:sz w:val="24"/>
                <w:szCs w:val="20"/>
              </w:rPr>
            </w:pPr>
            <w:bookmarkStart w:id="1" w:name="SIGNERSTAMP1_Copy_3"/>
            <w:r>
              <w:rPr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/>
              <w:ind w:left="142" w:right="0" w:hanging="142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widowControl w:val="false"/>
              <w:spacing w:lineRule="auto" w:line="240"/>
              <w:ind w:left="142" w:right="6" w:hanging="142"/>
              <w:jc w:val="right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Cs w:val="20"/>
              </w:rPr>
              <w:t>А.С. Гончаров</w:t>
            </w:r>
          </w:p>
          <w:p>
            <w:pPr>
              <w:pStyle w:val="Normal"/>
              <w:widowControl w:val="false"/>
              <w:spacing w:lineRule="auto" w:line="240"/>
              <w:ind w:left="142" w:right="126" w:hanging="142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p>
      <w:pPr>
        <w:pStyle w:val="Normal"/>
        <w:ind w:left="-284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701" w:right="567" w:gutter="0" w:header="426" w:top="985" w:footer="568" w:bottom="11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color w:val="000000"/>
      </w:rPr>
    </w:pPr>
    <w:r>
      <w:rPr>
        <w:color w:val="000000"/>
        <w:sz w:val="22"/>
        <w:szCs w:val="16"/>
      </w:rPr>
      <w:t>Садовникова Алла Сергеевна 8</w:t>
    </w:r>
    <w:r>
      <w:rPr>
        <w:color w:val="000000"/>
        <w:sz w:val="22"/>
        <w:szCs w:val="16"/>
        <w:lang w:val="en-US"/>
      </w:rPr>
      <w:t xml:space="preserve"> (</w:t>
    </w:r>
    <w:r>
      <w:rPr>
        <w:color w:val="000000"/>
        <w:sz w:val="22"/>
        <w:szCs w:val="16"/>
      </w:rPr>
      <w:t>4152</w:t>
    </w:r>
    <w:r>
      <w:rPr>
        <w:color w:val="000000"/>
        <w:sz w:val="22"/>
        <w:szCs w:val="16"/>
        <w:lang w:val="en-US"/>
      </w:rPr>
      <w:t xml:space="preserve">) </w:t>
    </w:r>
    <w:r>
      <w:rPr>
        <w:color w:val="000000"/>
        <w:sz w:val="22"/>
        <w:szCs w:val="16"/>
      </w:rPr>
      <w:t>21</w:t>
    </w:r>
    <w:r>
      <w:rPr>
        <w:color w:val="000000"/>
        <w:sz w:val="22"/>
        <w:szCs w:val="16"/>
        <w:lang w:val="en-US"/>
      </w:rPr>
      <w:t xml:space="preserve"> </w:t>
    </w:r>
    <w:r>
      <w:rPr>
        <w:color w:val="000000"/>
        <w:sz w:val="22"/>
        <w:szCs w:val="16"/>
      </w:rPr>
      <w:t>56</w:t>
    </w:r>
    <w:r>
      <w:rPr>
        <w:color w:val="000000"/>
        <w:sz w:val="22"/>
        <w:szCs w:val="16"/>
        <w:lang w:val="en-US"/>
      </w:rPr>
      <w:t xml:space="preserve"> </w:t>
    </w:r>
    <w:r>
      <w:rPr>
        <w:color w:val="000000"/>
        <w:sz w:val="22"/>
        <w:szCs w:val="16"/>
      </w:rPr>
      <w:t>43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qFormat/>
    <w:pPr>
      <w:numPr>
        <w:ilvl w:val="0"/>
        <w:numId w:val="0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link w:val="BalloonTex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Hyperlink"/>
    <w:basedOn w:val="DefaultParagraphFont"/>
    <w:rPr>
      <w:color w:val="0563C1"/>
      <w:u w:val="single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Style13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5"/>
    <w:pPr>
      <w:tabs>
        <w:tab w:val="clear" w:pos="284"/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Noindent">
    <w:name w:val="no-indent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Header"/>
    <w:basedOn w:val="Style22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9355</TotalTime>
  <Application>LibreOffice/7.4.4.2$Linux_X86_64 LibreOffice_project/40$Build-2</Application>
  <AppVersion>15.0000</AppVersion>
  <Pages>9</Pages>
  <Words>1612</Words>
  <Characters>12585</Characters>
  <CharactersWithSpaces>14080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2022-11-03T04:07:00Z</dcterms:created>
  <dc:creator>Лапицкая Виктория Валерьевна</dc:creator>
  <dc:description/>
  <dc:language>ru-RU</dc:language>
  <cp:lastModifiedBy/>
  <cp:lastPrinted>2020-04-07T05:33:00Z</cp:lastPrinted>
  <dcterms:modified xsi:type="dcterms:W3CDTF">2023-06-22T18:40:32Z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