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B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«Остров </w:t>
            </w:r>
            <w:r>
              <w:rPr>
                <w:rFonts w:ascii="Times New Roman" w:hAnsi="Times New Roman"/>
                <w:b w:val="1"/>
                <w:sz w:val="28"/>
              </w:rPr>
              <w:t>Кекур</w:t>
            </w: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Витгенштейна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</w:t>
      </w:r>
      <w:r>
        <w:rPr>
          <w:rFonts w:ascii="Times New Roman" w:hAnsi="Times New Roman"/>
          <w:sz w:val="28"/>
        </w:rPr>
        <w:t xml:space="preserve">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</w:t>
      </w:r>
      <w:r>
        <w:rPr>
          <w:rFonts w:ascii="Times New Roman" w:hAnsi="Times New Roman"/>
          <w:sz w:val="28"/>
        </w:rPr>
        <w:t>1, 2 и</w:t>
      </w:r>
      <w:r>
        <w:rPr>
          <w:rFonts w:ascii="Times New Roman" w:hAnsi="Times New Roman"/>
          <w:sz w:val="28"/>
        </w:rPr>
        <w:t xml:space="preserve"> 26</w:t>
      </w:r>
      <w:r>
        <w:rPr>
          <w:rFonts w:ascii="Times New Roman" w:hAnsi="Times New Roman"/>
          <w:sz w:val="28"/>
        </w:rPr>
        <w:t xml:space="preserve"> Федерального закона от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14.03.</w:t>
      </w:r>
      <w:r>
        <w:rPr>
          <w:rFonts w:ascii="Times New Roman" w:hAnsi="Times New Roman"/>
          <w:sz w:val="28"/>
        </w:rPr>
        <w:t xml:space="preserve">1995 № 33-ФЗ «Об особо охраняемых природных территориях», </w:t>
      </w:r>
      <w:r>
        <w:rPr>
          <w:rFonts w:ascii="Times New Roman" w:hAnsi="Times New Roman"/>
          <w:sz w:val="28"/>
        </w:rPr>
        <w:t>Закон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sz w:val="28"/>
        </w:rPr>
        <w:t xml:space="preserve">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</w:t>
      </w:r>
      <w:r>
        <w:rPr>
          <w:rFonts w:ascii="Times New Roman" w:hAnsi="Times New Roman"/>
          <w:sz w:val="28"/>
        </w:rPr>
        <w:t>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</w:t>
      </w:r>
      <w:r>
        <w:rPr>
          <w:rFonts w:ascii="Times New Roman" w:hAnsi="Times New Roman"/>
          <w:sz w:val="28"/>
        </w:rPr>
        <w:t xml:space="preserve">амятнике природы регионального значения 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графическое описание местоположения границ памятника природы регионального значения 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согласно приложению 2 к</w:t>
      </w:r>
      <w:r>
        <w:rPr>
          <w:rFonts w:ascii="Times New Roman" w:hAnsi="Times New Roman"/>
          <w:sz w:val="28"/>
        </w:rPr>
        <w:t xml:space="preserve"> настоящему постановлению.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3544"/>
        <w:gridCol w:w="4536"/>
        <w:gridCol w:w="1418"/>
      </w:tblGrid>
      <w:tr>
        <w:trPr>
          <w:trHeight w:hRule="atLeast" w:val="2260"/>
        </w:trPr>
        <w:tc>
          <w:tcPr>
            <w:tcW w:type="dxa" w:w="3544"/>
            <w:shd w:fill="auto" w:val="clear"/>
            <w:tcMar>
              <w:left w:type="dxa" w:w="0"/>
              <w:right w:type="dxa" w:w="0"/>
            </w:tcMar>
          </w:tcPr>
          <w:p w14:paraId="1B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8"/>
              </w:rPr>
            </w:pPr>
          </w:p>
          <w:p w14:paraId="1C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8"/>
              </w:rPr>
            </w:pPr>
          </w:p>
          <w:p w14:paraId="1D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8"/>
              </w:rPr>
            </w:pPr>
          </w:p>
          <w:p w14:paraId="1E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  <w:r>
              <w:rPr>
                <w:rFonts w:ascii="Times New Roman" w:hAnsi="Times New Roman"/>
                <w:sz w:val="28"/>
              </w:rPr>
              <w:t xml:space="preserve">                       </w:t>
            </w:r>
          </w:p>
          <w:p w14:paraId="1F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536"/>
            <w:shd w:fill="auto" w:val="clear"/>
            <w:tcMar>
              <w:left w:type="dxa" w:w="0"/>
              <w:right w:type="dxa" w:w="0"/>
            </w:tcMar>
          </w:tcPr>
          <w:p w14:paraId="20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8"/>
            <w:shd w:fill="auto" w:val="clear"/>
            <w:tcMar>
              <w:left w:type="dxa" w:w="0"/>
              <w:right w:type="dxa" w:w="0"/>
            </w:tcMar>
          </w:tcPr>
          <w:p w14:paraId="22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</w:p>
          <w:p w14:paraId="24000000">
            <w:pPr>
              <w:rPr>
                <w:rFonts w:ascii="Times New Roman" w:hAnsi="Times New Roman"/>
                <w:sz w:val="24"/>
              </w:rPr>
            </w:pPr>
          </w:p>
          <w:p w14:paraId="2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26000000">
            <w:pPr>
              <w:ind w:firstLine="0" w:left="-14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5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6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7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8000000"/>
        </w:tc>
      </w:tr>
    </w:tbl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» </w:t>
      </w:r>
    </w:p>
    <w:p w14:paraId="3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F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40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1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Настоящее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оложение регулирует вопросы охраны и использования памятника </w:t>
      </w:r>
      <w:r>
        <w:rPr>
          <w:rFonts w:ascii="Times New Roman" w:hAnsi="Times New Roman"/>
          <w:sz w:val="28"/>
        </w:rPr>
        <w:t xml:space="preserve">природы регионального значения 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(далее – Памятник природы).</w:t>
      </w:r>
    </w:p>
    <w:p w14:paraId="42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3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>Целями создания Памятника природы являются:</w:t>
      </w:r>
    </w:p>
    <w:p w14:paraId="44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расположенным в северо-западной части Берингова м</w:t>
      </w:r>
      <w:r>
        <w:rPr>
          <w:rFonts w:ascii="Times New Roman" w:hAnsi="Times New Roman"/>
          <w:sz w:val="28"/>
        </w:rPr>
        <w:t xml:space="preserve">оря островом конусообразной формы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(отметка 242 м над уровнем моря), с крутыми, местами обрывистыми берегами, рифами, надводными и подводными камнями</w:t>
      </w:r>
      <w:r>
        <w:rPr>
          <w:rFonts w:ascii="Times New Roman" w:hAnsi="Times New Roman"/>
          <w:sz w:val="28"/>
        </w:rPr>
        <w:t xml:space="preserve"> как среды обитания морских колониальных птиц и морских млекопитающих;  </w:t>
      </w:r>
    </w:p>
    <w:p w14:paraId="45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</w:t>
      </w:r>
      <w:r>
        <w:rPr>
          <w:rFonts w:ascii="Times New Roman" w:hAnsi="Times New Roman"/>
          <w:sz w:val="28"/>
        </w:rPr>
        <w:t xml:space="preserve">ких видов животных, растений и грибов, занесенных в </w:t>
      </w:r>
      <w:r>
        <w:rPr>
          <w:rFonts w:ascii="Times New Roman" w:hAnsi="Times New Roman"/>
          <w:sz w:val="28"/>
        </w:rPr>
        <w:t>Красную книгу Российской Федерации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Красную книгу Камчатского края</w:t>
      </w:r>
      <w:r>
        <w:rPr>
          <w:rFonts w:ascii="Times New Roman" w:hAnsi="Times New Roman"/>
          <w:sz w:val="28"/>
        </w:rPr>
        <w:t xml:space="preserve">, таких как сивуч </w:t>
      </w:r>
      <w:r>
        <w:rPr>
          <w:rFonts w:ascii="Times New Roman" w:hAnsi="Times New Roman"/>
          <w:i w:val="1"/>
          <w:sz w:val="28"/>
        </w:rPr>
        <w:t>Eumetopias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jubtus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 w:val="1"/>
          <w:sz w:val="28"/>
        </w:rPr>
        <w:t>Nyctea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scandiaca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 w:val="1"/>
          <w:sz w:val="28"/>
        </w:rPr>
        <w:t>Haliaeetus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albicilla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 w:val="1"/>
          <w:sz w:val="28"/>
        </w:rPr>
        <w:t>Falco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peregrinus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harterti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сохранение среды их обитания;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охрана мест гнездования 8 видов морских колониальных птиц, общая численность которых превышает 8–9 тыс</w:t>
      </w:r>
      <w:r>
        <w:rPr>
          <w:rFonts w:ascii="Times New Roman" w:hAnsi="Times New Roman"/>
          <w:sz w:val="28"/>
        </w:rPr>
        <w:t>яч</w:t>
      </w:r>
      <w:r>
        <w:rPr>
          <w:rFonts w:ascii="Times New Roman" w:hAnsi="Times New Roman"/>
          <w:sz w:val="28"/>
        </w:rPr>
        <w:t xml:space="preserve"> пар, залежек морских млекопитающих; </w:t>
      </w:r>
    </w:p>
    <w:p w14:paraId="4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пр</w:t>
      </w:r>
      <w:r>
        <w:rPr>
          <w:rFonts w:ascii="Times New Roman" w:hAnsi="Times New Roman"/>
          <w:sz w:val="28"/>
        </w:rPr>
        <w:t>ибрежной части Берингова моря при осуществлении туризма;</w:t>
      </w:r>
    </w:p>
    <w:p w14:paraId="4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 w14:paraId="49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экологический мониторинг (государственный мониторинг окружающей среды);</w:t>
      </w:r>
    </w:p>
    <w:p w14:paraId="4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 w14:paraId="4B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</w:t>
      </w:r>
      <w:r>
        <w:rPr>
          <w:rFonts w:ascii="Times New Roman" w:hAnsi="Times New Roman"/>
          <w:sz w:val="28"/>
        </w:rPr>
        <w:t>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</w:t>
      </w:r>
      <w:r>
        <w:rPr>
          <w:rFonts w:ascii="Times New Roman" w:hAnsi="Times New Roman"/>
          <w:sz w:val="28"/>
        </w:rPr>
        <w:t>ласти»</w:t>
      </w:r>
      <w:r>
        <w:rPr>
          <w:rFonts w:ascii="Times New Roman" w:hAnsi="Times New Roman"/>
          <w:sz w:val="28"/>
        </w:rPr>
        <w:t xml:space="preserve"> без ограничения срока его функционирования.</w:t>
      </w:r>
    </w:p>
    <w:p w14:paraId="4C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</w:t>
      </w:r>
      <w:r>
        <w:rPr>
          <w:rFonts w:ascii="Times New Roman" w:hAnsi="Times New Roman"/>
          <w:sz w:val="28"/>
        </w:rPr>
        <w:t xml:space="preserve"> без изъятия земельных участков для государственных нужд, а также у собственников, землепользователей, землевладельцев.</w:t>
      </w:r>
    </w:p>
    <w:p w14:paraId="4D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</w:t>
      </w:r>
      <w:r>
        <w:rPr>
          <w:rFonts w:ascii="Times New Roman" w:hAnsi="Times New Roman"/>
          <w:sz w:val="28"/>
        </w:rPr>
        <w:t xml:space="preserve">ы составляет 15,92 га. </w:t>
      </w:r>
    </w:p>
    <w:p w14:paraId="4E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F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8. Запрещается изменение целевого назначения </w:t>
      </w:r>
      <w:r>
        <w:rPr>
          <w:rFonts w:ascii="Times New Roman" w:hAnsi="Times New Roman"/>
          <w:color w:themeColor="text1" w:val="000000"/>
          <w:sz w:val="28"/>
        </w:rPr>
        <w:t>земельных участков, находящихся в границах Памятника природы, за исключением случа</w:t>
      </w:r>
      <w:r>
        <w:rPr>
          <w:rFonts w:ascii="Times New Roman" w:hAnsi="Times New Roman"/>
          <w:color w:themeColor="text1" w:val="000000"/>
          <w:sz w:val="28"/>
        </w:rPr>
        <w:t xml:space="preserve">ев, предусмотренных федеральным </w:t>
      </w:r>
      <w:r>
        <w:rPr>
          <w:rFonts w:ascii="Times New Roman" w:hAnsi="Times New Roman"/>
          <w:color w:themeColor="text1" w:val="000000"/>
          <w:sz w:val="28"/>
        </w:rPr>
        <w:t>закон</w:t>
      </w:r>
      <w:r>
        <w:rPr>
          <w:rFonts w:ascii="Times New Roman" w:hAnsi="Times New Roman"/>
          <w:color w:themeColor="text1" w:val="000000"/>
          <w:sz w:val="28"/>
        </w:rPr>
        <w:t>одательством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</w:t>
      </w:r>
      <w:r>
        <w:rPr>
          <w:rFonts w:ascii="Times New Roman" w:hAnsi="Times New Roman"/>
          <w:color w:themeColor="text1" w:val="000000"/>
          <w:sz w:val="28"/>
        </w:rPr>
        <w:t>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</w:t>
      </w:r>
      <w:r>
        <w:rPr>
          <w:rFonts w:ascii="Times New Roman" w:hAnsi="Times New Roman"/>
          <w:color w:themeColor="text1" w:val="000000"/>
          <w:sz w:val="28"/>
        </w:rPr>
        <w:t>,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при условии, если это исполь</w:t>
      </w:r>
      <w:r>
        <w:rPr>
          <w:rFonts w:ascii="Times New Roman" w:hAnsi="Times New Roman"/>
          <w:sz w:val="28"/>
        </w:rPr>
        <w:t>зование совместимо с целевым назначением защитных лесов и выполняемыми ими полезными функциями.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</w:t>
      </w:r>
      <w:r>
        <w:rPr>
          <w:rFonts w:ascii="Times New Roman" w:hAnsi="Times New Roman"/>
          <w:color w:themeColor="text1" w:val="000000"/>
          <w:sz w:val="28"/>
        </w:rPr>
        <w:t>природы (код 9.0).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</w:t>
      </w:r>
      <w:r>
        <w:rPr>
          <w:rFonts w:ascii="Times New Roman" w:hAnsi="Times New Roman"/>
          <w:color w:themeColor="text1" w:val="000000"/>
          <w:sz w:val="28"/>
        </w:rPr>
        <w:t xml:space="preserve">, а также строительство, реконструкция, капитальный ремонт объектов капитального строительства запрещены </w:t>
      </w:r>
      <w:r>
        <w:rPr>
          <w:rFonts w:ascii="Times New Roman" w:hAnsi="Times New Roman"/>
          <w:color w:themeColor="text1" w:val="000000"/>
          <w:sz w:val="28"/>
        </w:rPr>
        <w:br/>
      </w:r>
      <w:r>
        <w:rPr>
          <w:rFonts w:ascii="Times New Roman" w:hAnsi="Times New Roman"/>
          <w:color w:themeColor="text1" w:val="000000"/>
          <w:sz w:val="28"/>
        </w:rPr>
        <w:t>пунктами 1 и 2 части 19 настоящего Положения.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12. Границы и особенности режима особой охраны Памятника природы учитываются при территориальном планиров</w:t>
      </w:r>
      <w:r>
        <w:rPr>
          <w:rFonts w:ascii="Times New Roman" w:hAnsi="Times New Roman"/>
          <w:color w:themeColor="text1" w:val="000000"/>
          <w:sz w:val="28"/>
        </w:rPr>
        <w:t>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</w:t>
      </w:r>
      <w:r>
        <w:rPr>
          <w:rFonts w:ascii="Times New Roman" w:hAnsi="Times New Roman"/>
          <w:color w:themeColor="text1" w:val="000000"/>
          <w:sz w:val="28"/>
        </w:rPr>
        <w:t xml:space="preserve">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</w:t>
      </w:r>
      <w:r>
        <w:rPr>
          <w:rFonts w:ascii="Times New Roman" w:hAnsi="Times New Roman"/>
          <w:sz w:val="28"/>
        </w:rPr>
        <w:t>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</w:t>
      </w:r>
      <w:r>
        <w:rPr>
          <w:rFonts w:ascii="Times New Roman" w:hAnsi="Times New Roman"/>
          <w:sz w:val="28"/>
        </w:rPr>
        <w:t xml:space="preserve"> на территории Камчатского края, утвержденных постановлением</w:t>
      </w:r>
      <w:r>
        <w:rPr>
          <w:rFonts w:ascii="Times New Roman" w:hAnsi="Times New Roman"/>
          <w:sz w:val="28"/>
        </w:rPr>
        <w:t xml:space="preserve"> Правительства Камчатского края от 15.07.2013 № 303-П. </w:t>
      </w:r>
    </w:p>
    <w:p w14:paraId="5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</w:t>
      </w:r>
      <w:r>
        <w:rPr>
          <w:rFonts w:ascii="Times New Roman" w:hAnsi="Times New Roman"/>
          <w:sz w:val="28"/>
        </w:rPr>
        <w:t xml:space="preserve">ее – Учреждение). </w:t>
      </w:r>
    </w:p>
    <w:p w14:paraId="5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 К мероприятиям по обеспечению режима особой охраны Памятника природы могут привлекаться граждане, общественные объединения и некомме</w:t>
      </w:r>
      <w:r>
        <w:rPr>
          <w:rFonts w:ascii="Times New Roman" w:hAnsi="Times New Roman"/>
          <w:sz w:val="28"/>
        </w:rPr>
        <w:t xml:space="preserve">рческие организации, осуществляющие деятельность в области охраны окружающей среды. </w:t>
      </w:r>
    </w:p>
    <w:p w14:paraId="58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9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A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5C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</w:t>
      </w:r>
      <w:r>
        <w:rPr>
          <w:rFonts w:ascii="Times New Roman" w:hAnsi="Times New Roman"/>
          <w:sz w:val="28"/>
        </w:rPr>
        <w:t>Олюторском</w:t>
      </w:r>
      <w:r>
        <w:rPr>
          <w:rFonts w:ascii="Times New Roman" w:hAnsi="Times New Roman"/>
          <w:sz w:val="28"/>
        </w:rPr>
        <w:t xml:space="preserve"> муниципальном районе Камчатского края, в северо-западной части</w:t>
      </w:r>
      <w:r>
        <w:rPr>
          <w:rFonts w:ascii="Times New Roman" w:hAnsi="Times New Roman"/>
          <w:sz w:val="28"/>
        </w:rPr>
        <w:t xml:space="preserve"> Берингова моря, в бухте </w:t>
      </w:r>
      <w:r>
        <w:rPr>
          <w:rFonts w:ascii="Times New Roman" w:hAnsi="Times New Roman"/>
          <w:sz w:val="28"/>
        </w:rPr>
        <w:t>Кекурная</w:t>
      </w:r>
      <w:r>
        <w:rPr>
          <w:rFonts w:ascii="Times New Roman" w:hAnsi="Times New Roman"/>
          <w:sz w:val="28"/>
        </w:rPr>
        <w:t xml:space="preserve"> между мысами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 xml:space="preserve"> и Цепочка. </w:t>
      </w: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</w:t>
      </w:r>
      <w:r>
        <w:rPr>
          <w:rFonts w:ascii="Times New Roman" w:hAnsi="Times New Roman"/>
          <w:sz w:val="28"/>
        </w:rPr>
        <w:t>оконтуривая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кекуры</w:t>
      </w:r>
      <w:r>
        <w:rPr>
          <w:rFonts w:ascii="Times New Roman" w:hAnsi="Times New Roman"/>
          <w:sz w:val="28"/>
        </w:rPr>
        <w:t xml:space="preserve"> и участки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обнажающихся в отлив подводных скал и камней: </w:t>
      </w:r>
    </w:p>
    <w:p w14:paraId="5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</w:t>
      </w:r>
      <w:r>
        <w:rPr>
          <w:rFonts w:ascii="Times New Roman" w:hAnsi="Times New Roman"/>
          <w:sz w:val="28"/>
        </w:rPr>
        <w:t xml:space="preserve">я граница: от характерной точки 8 с географическими координатами 60 градусов 51 минута 0.7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172 градусов 5 минут 55.6 секунды восточной долготы, расположенной в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1055,6 м к югу от мыса Цепочка, проходит в общем восточном направлении</w:t>
      </w:r>
      <w:r>
        <w:rPr>
          <w:rFonts w:ascii="Times New Roman" w:hAnsi="Times New Roman"/>
          <w:sz w:val="28"/>
        </w:rPr>
        <w:t xml:space="preserve"> на протяжении 271,1 м вдоль береговой линии острова через характерные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точки 7–1 до характерной точки 45 с географическими координатами 60 градусов 50 минут 59.2 секунды северной широты и 172 градусов 6 минут 12.7 секунды восточной долготы, соответствующей</w:t>
      </w:r>
      <w:r>
        <w:rPr>
          <w:rFonts w:ascii="Times New Roman" w:hAnsi="Times New Roman"/>
          <w:sz w:val="28"/>
        </w:rPr>
        <w:t xml:space="preserve"> крайней северо-восточной точке острова;</w:t>
      </w:r>
    </w:p>
    <w:p w14:paraId="5F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и юго-восточная граница: от характерной точки 45 в общем южном и юго-западном направлении на протяжении 622,2 м вдоль береговой линии острова через характерные точки 44–26 до характерной точки 25 с геог</w:t>
      </w:r>
      <w:r>
        <w:rPr>
          <w:rFonts w:ascii="Times New Roman" w:hAnsi="Times New Roman"/>
          <w:sz w:val="28"/>
        </w:rPr>
        <w:t>рафическими координатами 60 градусов 50 минут 43.8 секунды северной широты и 172 градусов 5 минут 59.9 секунды восточной долготы, соответствующей крайней юго-восточной точке острова;</w:t>
      </w:r>
    </w:p>
    <w:p w14:paraId="60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юго-западная и западная граница: от характерной точки 25 в общем западном, северном и северо-западном направлении на протяжении 666,3 м вдоль береговой линии острова через характерные точки 24–9 до характерной точки 8, где и замыкается. </w:t>
      </w:r>
    </w:p>
    <w:p w14:paraId="6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</w:t>
      </w:r>
      <w:r>
        <w:rPr>
          <w:rFonts w:ascii="Times New Roman" w:hAnsi="Times New Roman"/>
          <w:sz w:val="28"/>
        </w:rPr>
        <w:t>й охраны и использования территории Памятника природы</w:t>
      </w:r>
    </w:p>
    <w:p w14:paraId="6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6000000">
      <w:pPr>
        <w:numPr>
          <w:ilvl w:val="0"/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земельных участков;</w:t>
      </w:r>
    </w:p>
    <w:p w14:paraId="67000000">
      <w:pPr>
        <w:numPr>
          <w:ilvl w:val="0"/>
          <w:numId w:val="1"/>
        </w:num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строительство, реконструкция, капитальн</w:t>
      </w:r>
      <w:r>
        <w:rPr>
          <w:rFonts w:ascii="Times New Roman" w:hAnsi="Times New Roman"/>
          <w:sz w:val="28"/>
        </w:rPr>
        <w:t>ый ремонт объектов капитального строительства;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9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 </w:t>
      </w:r>
      <w:r>
        <w:rPr>
          <w:rFonts w:ascii="Times New Roman" w:hAnsi="Times New Roman"/>
          <w:sz w:val="28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</w:t>
      </w:r>
      <w:r>
        <w:rPr>
          <w:rFonts w:ascii="Times New Roman" w:hAnsi="Times New Roman"/>
          <w:sz w:val="28"/>
        </w:rPr>
        <w:t>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A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</w:t>
      </w:r>
      <w:r>
        <w:rPr>
          <w:rFonts w:ascii="Times New Roman" w:hAnsi="Times New Roman"/>
          <w:sz w:val="28"/>
        </w:rPr>
        <w:t>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B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C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дноуглубительных и других работ, связанных с изменением дна прилегающей морской акв</w:t>
      </w:r>
      <w:r>
        <w:rPr>
          <w:rFonts w:ascii="Times New Roman" w:hAnsi="Times New Roman"/>
          <w:sz w:val="28"/>
        </w:rPr>
        <w:t xml:space="preserve">атории и берегов острова; 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F000000">
      <w:pPr>
        <w:numPr>
          <w:ilvl w:val="0"/>
          <w:numId w:val="2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</w:t>
      </w:r>
      <w:r>
        <w:rPr>
          <w:rFonts w:ascii="Times New Roman" w:hAnsi="Times New Roman"/>
          <w:sz w:val="28"/>
        </w:rPr>
        <w:t>сности в лесах, в том числе разведение огня, выжигание растительности, пускание палов;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</w:t>
      </w:r>
      <w:r>
        <w:rPr>
          <w:rFonts w:ascii="Times New Roman" w:hAnsi="Times New Roman"/>
          <w:sz w:val="28"/>
        </w:rPr>
        <w:t>чных материалов, размещения радиоактивных, химических, взрывчатых, токсичных, отравляющих и ядовитых веществ;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акватории Берингова моря; 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</w:t>
      </w:r>
      <w:r>
        <w:rPr>
          <w:rFonts w:ascii="Times New Roman" w:hAnsi="Times New Roman"/>
          <w:sz w:val="28"/>
        </w:rPr>
        <w:t>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осуществление туризма вне специально оборудованных для этого местах и маршрутах</w:t>
      </w:r>
      <w:r>
        <w:rPr>
          <w:rFonts w:ascii="Times New Roman" w:hAnsi="Times New Roman"/>
          <w:sz w:val="28"/>
        </w:rPr>
        <w:t xml:space="preserve">; 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</w:t>
      </w:r>
      <w:r>
        <w:rPr>
          <w:rFonts w:ascii="Times New Roman" w:hAnsi="Times New Roman"/>
          <w:sz w:val="28"/>
        </w:rPr>
        <w:t>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</w:t>
      </w:r>
      <w:r>
        <w:rPr>
          <w:rFonts w:ascii="Times New Roman" w:hAnsi="Times New Roman"/>
          <w:sz w:val="28"/>
        </w:rPr>
        <w:t>азателей, нанесение на скалы, информационные знаки и указатели самовольных надписей.</w:t>
      </w:r>
    </w:p>
    <w:p w14:paraId="7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C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</w:t>
      </w:r>
      <w:r>
        <w:rPr>
          <w:rFonts w:ascii="Times New Roman" w:hAnsi="Times New Roman"/>
          <w:sz w:val="28"/>
        </w:rPr>
        <w:t>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осуществление </w:t>
      </w:r>
      <w:r>
        <w:rPr>
          <w:rFonts w:ascii="Times New Roman" w:hAnsi="Times New Roman"/>
          <w:sz w:val="28"/>
        </w:rPr>
        <w:t>государственного экологического мониторинга (государственного мониторинга окружающей среды);</w:t>
      </w:r>
    </w:p>
    <w:p w14:paraId="7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</w:t>
      </w:r>
      <w:r>
        <w:rPr>
          <w:rFonts w:ascii="Times New Roman" w:hAnsi="Times New Roman"/>
          <w:sz w:val="28"/>
        </w:rPr>
        <w:t>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туризм (при соблюдении требований, предусмотренных частью 19 </w:t>
      </w:r>
      <w:r>
        <w:rPr>
          <w:rFonts w:ascii="Times New Roman" w:hAnsi="Times New Roman"/>
          <w:sz w:val="28"/>
        </w:rPr>
        <w:t xml:space="preserve">настоящего </w:t>
      </w:r>
      <w:r>
        <w:rPr>
          <w:rFonts w:ascii="Times New Roman" w:hAnsi="Times New Roman"/>
          <w:sz w:val="28"/>
        </w:rPr>
        <w:t>Положения);</w:t>
      </w:r>
    </w:p>
    <w:p w14:paraId="80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br w:type="page"/>
      </w: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2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7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B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C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1000000"/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93000000"/>
        </w:tc>
      </w:tr>
    </w:tbl>
    <w:p w14:paraId="9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</w:t>
      </w:r>
      <w:r>
        <w:rPr>
          <w:rFonts w:ascii="Times New Roman" w:hAnsi="Times New Roman"/>
          <w:sz w:val="28"/>
        </w:rPr>
        <w:t>Кекур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Витгенштейна</w:t>
      </w:r>
      <w:r>
        <w:rPr>
          <w:rFonts w:ascii="Times New Roman" w:hAnsi="Times New Roman"/>
          <w:sz w:val="28"/>
        </w:rPr>
        <w:t>» (далее – Памятник природы)</w:t>
      </w:r>
    </w:p>
    <w:p w14:paraId="9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A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00000">
            <w:pPr>
              <w:tabs>
                <w:tab w:leader="none" w:pos="195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Камчатский край,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Олюторский</w:t>
            </w:r>
            <w:r>
              <w:rPr>
                <w:rFonts w:ascii="Times New Roman" w:hAnsi="Times New Roman"/>
                <w:sz w:val="24"/>
              </w:rPr>
              <w:t xml:space="preserve">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</w:t>
            </w:r>
            <w:r>
              <w:rPr>
                <w:rFonts w:ascii="Times New Roman" w:hAnsi="Times New Roman"/>
                <w:sz w:val="24"/>
              </w:rPr>
              <w:t xml:space="preserve">площади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159230 +/- 3492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  <w:bookmarkStart w:id="3" w:name="_GoBack"/>
            <w:bookmarkEnd w:id="3"/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</w:t>
            </w:r>
            <w:r>
              <w:rPr>
                <w:rFonts w:ascii="Times New Roman" w:hAnsi="Times New Roman"/>
                <w:sz w:val="24"/>
              </w:rPr>
              <w:t xml:space="preserve">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A000000">
      <w:pPr>
        <w:spacing w:after="0"/>
        <w:ind/>
        <w:jc w:val="center"/>
      </w:pPr>
    </w:p>
    <w:p w14:paraId="A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7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4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4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Сведения о </w:t>
            </w:r>
            <w:r>
              <w:rPr>
                <w:rFonts w:ascii="Times New Roman" w:hAnsi="Times New Roman"/>
                <w:sz w:val="24"/>
              </w:rPr>
              <w:t>характерных точках границ Памятника природы:</w:t>
            </w:r>
          </w:p>
        </w:tc>
      </w:tr>
      <w:tr>
        <w:tc>
          <w:tcPr>
            <w:tcW w:type="dxa" w:w="17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14:paraId="B8000000">
      <w:pPr>
        <w:spacing w:after="0"/>
        <w:ind/>
        <w:rPr>
          <w:sz w:val="2"/>
        </w:rPr>
      </w:pPr>
    </w:p>
    <w:tbl>
      <w:tblPr>
        <w:tblStyle w:val="Style_1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7"/>
        <w:gridCol w:w="1710"/>
        <w:gridCol w:w="1738"/>
        <w:gridCol w:w="2106"/>
        <w:gridCol w:w="2381"/>
      </w:tblGrid>
      <w:tr>
        <w:trPr>
          <w:trHeight w:hRule="atLeast" w:val="287"/>
          <w:tblHeader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1433411.28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172°6'11.6''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1433396.24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3488809.32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172°6'9.3''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1433396.61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3488779.78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172°6'7.3''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1433410.00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3488748.88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1433425.31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3488710.32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172°6'2.7''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1433442.86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3488667.30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172°5'59.9''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1433450.76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3488635.40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172°5'57.8''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1433448.80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3488601.62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172°5'55.6''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1433429.46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3488568.28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60°51'0.1''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172°5'53.4''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1433376.37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3488540.07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172°5'51.4''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1433345.34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3488515.76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60°50'57.4''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172°5'49.7''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1433313.10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3488492.53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60°50'56.4''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172°5'48.1''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1433265.04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3488487.20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1433219.06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3488480.67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60°50'53.4''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172°5'47.2''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1433166.81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3488486.32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60°50'51.7''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1433133.05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3488487.16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60°50'50.6''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172°5'47.5''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1433085.34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3488496.02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172°5'48.0''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1433049.79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3488514.35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60°50'47.9''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172°5'49.2''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1433014.41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3488534.87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60°50'46.7''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172°5'50.5''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1432983.42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3488561.85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60°50'45.7''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172°5'52.2''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1432959.93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3488581.04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172°5'53.4''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1432943.23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3488613.11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172°5'55.5''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1432928.54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3488636.38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60°50'43.9''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172°5'57.0''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1432925.85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3488658.31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60°50'43.8''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172°5'58.5''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1432928.65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3488681.20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60°50'43.8''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172°5'59.9''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1432945.43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3488701.51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1432961.50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3488733.84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60°50'44.9''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172°6'3.5''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1432997.11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3488762.49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60°50'45.9''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1433021.53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3488780.43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60°50'46.8''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172°6'6.7''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1433049.96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3488780.81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60°50'47.7''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172°6'6.8''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1433071.36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3488767.17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60°50'48.4''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1433092.08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3488766.65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172°6'5.9''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1433102.20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3488779.51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172°6'6.8''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1433093.98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3488798.26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172°6'8.0''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1433093.35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3488817.96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60°50'49.0''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172°6'9.3''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1433107.94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3488835.06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60°50'49.5''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172°6'10.5''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1433143.38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3488857.07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60°50'50.6''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172°6'11.9''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1433174.42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3488877.07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60°50'51.6''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172°6'13.4''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1433199.84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3488890.64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60°50'52.4''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172°6'14.3''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1433238.18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3488899.52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60°50'53.7''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1433268.74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3488899.85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60°50'54.6''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172°6'15.0''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1433340.54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3488895.88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60°50'56.9''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172°6'14.9''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1433374.10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3488887.37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60°50'58.1''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172°6'14.4''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1433394.50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3488873.76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60°50'58.7''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172°6'13.5''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1433409.46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3488861.37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60°50'59.2''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172°6'12.7''</w:t>
            </w:r>
          </w:p>
        </w:tc>
      </w:tr>
      <w:tr>
        <w:trPr>
          <w:trHeight w:hRule="atLeast" w:val="316"/>
        </w:trPr>
        <w:tc>
          <w:tcPr>
            <w:tcW w:type="dxa" w:w="1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1433411.28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60°50'59.3''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172°6'11.6''</w:t>
            </w:r>
          </w:p>
        </w:tc>
      </w:tr>
    </w:tbl>
    <w:p w14:paraId="A4010000">
      <w:pPr>
        <w:ind/>
        <w:jc w:val="center"/>
        <w:rPr>
          <w:rFonts w:ascii="Times New Roman" w:hAnsi="Times New Roman"/>
          <w:sz w:val="24"/>
        </w:rPr>
      </w:pPr>
    </w:p>
    <w:p w14:paraId="A5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A6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A7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A8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A9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AA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AB010000">
      <w:pPr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AC01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AD010000">
      <w:pPr>
        <w:ind/>
        <w:jc w:val="center"/>
        <w:rPr>
          <w:b w:val="1"/>
          <w:sz w:val="24"/>
        </w:rPr>
      </w:pPr>
      <w:r>
        <w:rPr>
          <w:b w:val="1"/>
          <w:color w:themeColor="text1" w:val="000000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95249</wp:posOffset>
            </wp:positionV>
            <wp:extent cx="5953125" cy="7096125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26021" l="2266" r="5346" t="2780"/>
                    <a:stretch/>
                  </pic:blipFill>
                  <pic:spPr>
                    <a:xfrm flipH="false" flipV="false" rot="0">
                      <a:ext cx="5953125" cy="70961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E010000">
      <w:pPr>
        <w:ind/>
        <w:jc w:val="center"/>
        <w:rPr>
          <w:b w:val="1"/>
          <w:color w:themeColor="text1" w:val="000000"/>
        </w:rPr>
      </w:pPr>
    </w:p>
    <w:p w14:paraId="AF010000">
      <w:pPr>
        <w:tabs>
          <w:tab w:leader="none" w:pos="8700" w:val="left"/>
        </w:tabs>
        <w:ind/>
        <w:rPr>
          <w:b w:val="1"/>
          <w:color w:themeColor="text1" w:val="000000"/>
        </w:rPr>
      </w:pPr>
      <w:r>
        <w:rPr>
          <w:b w:val="1"/>
          <w:color w:themeColor="text1" w:val="000000"/>
        </w:rPr>
        <w:tab/>
      </w:r>
    </w:p>
    <w:p w14:paraId="B0010000">
      <w:pPr>
        <w:ind/>
        <w:jc w:val="center"/>
      </w:pPr>
    </w:p>
    <w:p w14:paraId="B1010000">
      <w:pPr>
        <w:ind/>
        <w:jc w:val="center"/>
        <w:rPr>
          <w:b w:val="1"/>
          <w:color w:themeColor="text1" w:val="000000"/>
        </w:rPr>
      </w:pPr>
    </w:p>
    <w:p w14:paraId="B2010000">
      <w:pPr>
        <w:ind/>
        <w:jc w:val="center"/>
      </w:pPr>
    </w:p>
    <w:p w14:paraId="B3010000">
      <w:pPr>
        <w:ind/>
        <w:jc w:val="center"/>
      </w:pPr>
    </w:p>
    <w:p w14:paraId="B4010000">
      <w:pPr>
        <w:ind/>
        <w:jc w:val="center"/>
      </w:pPr>
    </w:p>
    <w:p w14:paraId="B5010000">
      <w:pPr>
        <w:ind/>
        <w:jc w:val="center"/>
      </w:pPr>
    </w:p>
    <w:p w14:paraId="B6010000">
      <w:pPr>
        <w:ind/>
        <w:jc w:val="center"/>
      </w:pPr>
    </w:p>
    <w:p w14:paraId="B7010000">
      <w:pPr>
        <w:ind/>
        <w:jc w:val="center"/>
      </w:pPr>
    </w:p>
    <w:p w14:paraId="B8010000">
      <w:pPr>
        <w:ind/>
        <w:jc w:val="center"/>
      </w:pPr>
    </w:p>
    <w:p w14:paraId="B9010000">
      <w:pPr>
        <w:ind/>
        <w:jc w:val="center"/>
      </w:pPr>
    </w:p>
    <w:p w14:paraId="BA010000">
      <w:pPr>
        <w:ind/>
        <w:jc w:val="center"/>
      </w:pPr>
    </w:p>
    <w:p w14:paraId="BB010000">
      <w:pPr>
        <w:ind/>
        <w:jc w:val="center"/>
      </w:pPr>
    </w:p>
    <w:p w14:paraId="BC010000">
      <w:pPr>
        <w:ind/>
        <w:jc w:val="center"/>
      </w:pPr>
    </w:p>
    <w:p w14:paraId="BD010000">
      <w:pPr>
        <w:ind/>
        <w:jc w:val="center"/>
      </w:pPr>
    </w:p>
    <w:p w14:paraId="BE010000">
      <w:pPr>
        <w:ind/>
        <w:jc w:val="center"/>
      </w:pPr>
    </w:p>
    <w:p w14:paraId="BF010000">
      <w:pPr>
        <w:ind/>
        <w:jc w:val="center"/>
      </w:pPr>
    </w:p>
    <w:p w14:paraId="C0010000">
      <w:pPr>
        <w:ind/>
        <w:jc w:val="center"/>
      </w:pPr>
    </w:p>
    <w:p w14:paraId="C1010000">
      <w:pPr>
        <w:ind/>
        <w:jc w:val="center"/>
      </w:pPr>
    </w:p>
    <w:p w14:paraId="C2010000">
      <w:pPr>
        <w:ind/>
        <w:jc w:val="center"/>
      </w:pPr>
    </w:p>
    <w:p w14:paraId="C3010000">
      <w:pPr>
        <w:ind/>
        <w:jc w:val="center"/>
      </w:pPr>
    </w:p>
    <w:p w14:paraId="C4010000">
      <w:pPr>
        <w:ind/>
        <w:jc w:val="center"/>
      </w:pPr>
    </w:p>
    <w:p w14:paraId="C5010000">
      <w:pPr>
        <w:ind/>
        <w:jc w:val="center"/>
      </w:pPr>
    </w:p>
    <w:p w14:paraId="C6010000">
      <w:pPr>
        <w:spacing w:after="0" w:line="240" w:lineRule="auto"/>
        <w:ind/>
        <w:jc w:val="center"/>
      </w:pPr>
      <w:r>
        <w:rPr>
          <w:rFonts w:ascii="Calibri" w:hAnsi="Calibri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13334</wp:posOffset>
            </wp:positionV>
            <wp:extent cx="5968513" cy="7879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5" l="2647" r="3797" t="80792"/>
                    <a:stretch/>
                  </pic:blipFill>
                  <pic:spPr>
                    <a:xfrm flipH="false" flipV="false" rot="0">
                      <a:ext cx="5968513" cy="787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7010000">
      <w:pPr>
        <w:spacing w:after="0" w:line="240" w:lineRule="auto"/>
        <w:ind/>
        <w:jc w:val="center"/>
      </w:pPr>
    </w:p>
    <w:p w14:paraId="C8010000">
      <w:pPr>
        <w:spacing w:after="0" w:line="240" w:lineRule="auto"/>
        <w:ind/>
        <w:jc w:val="center"/>
      </w:pPr>
    </w:p>
    <w:p w14:paraId="C9010000">
      <w:pPr>
        <w:spacing w:after="0" w:line="240" w:lineRule="auto"/>
        <w:ind/>
        <w:jc w:val="center"/>
      </w:pPr>
    </w:p>
    <w:p w14:paraId="CA010000">
      <w:pPr>
        <w:spacing w:after="0" w:line="240" w:lineRule="auto"/>
        <w:ind/>
        <w:jc w:val="center"/>
      </w:pPr>
    </w:p>
    <w:p w14:paraId="CB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CC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CD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CE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CF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0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1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</w:t>
      </w:r>
      <w:r>
        <w:rPr>
          <w:rFonts w:ascii="Times New Roman" w:hAnsi="Times New Roman"/>
          <w:sz w:val="28"/>
        </w:rPr>
        <w:t xml:space="preserve"> местоположения</w:t>
      </w:r>
      <w:r>
        <w:rPr>
          <w:rFonts w:ascii="Times New Roman" w:hAnsi="Times New Roman"/>
          <w:sz w:val="28"/>
        </w:rPr>
        <w:t xml:space="preserve"> Памятника </w:t>
      </w:r>
      <w:r>
        <w:rPr>
          <w:rFonts w:ascii="Times New Roman" w:hAnsi="Times New Roman"/>
          <w:sz w:val="28"/>
        </w:rPr>
        <w:t>природы</w:t>
      </w:r>
    </w:p>
    <w:p w14:paraId="D2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D3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3600" cy="690562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1202" l="1089" r="1785" t="543"/>
                    <a:stretch/>
                  </pic:blipFill>
                  <pic:spPr>
                    <a:xfrm flipH="false" flipV="false" rot="0">
                      <a:ext cx="5943600" cy="690562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6838" w:orient="portrait" w:w="11906"/>
      <w:pgMar w:bottom="851" w:footer="709" w:gutter="0" w:header="709" w:left="1418" w:right="851" w:top="1276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>PAGE \* Arabic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end"/>
    </w:r>
  </w:p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russianLower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lvlJc w:val="left"/>
      <w:pPr>
        <w:ind w:hanging="360" w:left="2880"/>
      </w:pPr>
    </w:lvl>
    <w:lvl w:ilvl="4">
      <w:start w:val="1"/>
      <w:numFmt w:val="russianLower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russianLow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russianLower"/>
      <w:lvlText w:val="%1)"/>
      <w:lvlJc w:val="left"/>
      <w:pPr>
        <w:ind w:hanging="360" w:left="720"/>
      </w:pPr>
    </w:lvl>
    <w:lvl w:ilvl="1">
      <w:start w:val="1"/>
      <w:numFmt w:val="decimal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russianLower"/>
      <w:lvlText w:val="%4)"/>
      <w:lvlJc w:val="left"/>
      <w:pPr>
        <w:ind w:hanging="360" w:left="2880"/>
      </w:pPr>
    </w:lvl>
    <w:lvl w:ilvl="4">
      <w:start w:val="1"/>
      <w:numFmt w:val="decimal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russianLower"/>
      <w:lvlText w:val="%7)"/>
      <w:lvlJc w:val="left"/>
      <w:pPr>
        <w:ind w:hanging="360" w:left="5040"/>
      </w:pPr>
    </w:lvl>
    <w:lvl w:ilvl="7">
      <w:start w:val="1"/>
      <w:numFmt w:val="decimal"/>
      <w:lvlText w:val="%8)"/>
      <w:lvlJc w:val="left"/>
      <w:pPr>
        <w:ind w:hanging="360" w:left="5760"/>
      </w:pPr>
    </w:lvl>
    <w:lvl w:ilvl="8">
      <w:start w:val="1"/>
      <w:numFmt w:val="lowerRoman"/>
      <w:lvlText w:val="%9)"/>
      <w:lvlJc w:val="right"/>
      <w:pPr>
        <w:ind w:hanging="360" w:left="6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Гиперссылка1"/>
    <w:basedOn w:val="Style_6"/>
    <w:link w:val="Style_5_ch"/>
    <w:rPr>
      <w:color w:themeColor="hyperlink" w:val="0563C1"/>
      <w:u w:val="single"/>
    </w:rPr>
  </w:style>
  <w:style w:styleId="Style_5_ch" w:type="character">
    <w:name w:val="Гиперссылка1"/>
    <w:basedOn w:val="Style_6_ch"/>
    <w:link w:val="Style_5"/>
    <w:rPr>
      <w:color w:themeColor="hyperlink" w:val="0563C1"/>
      <w:u w:val="single"/>
    </w:rPr>
  </w:style>
  <w:style w:styleId="Style_7" w:type="paragraph">
    <w:name w:val="toc 4"/>
    <w:next w:val="Style_3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3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Гиперссылка2"/>
    <w:link w:val="Style_10_ch"/>
    <w:rPr>
      <w:color w:val="0000FF"/>
      <w:u w:val="single"/>
    </w:rPr>
  </w:style>
  <w:style w:styleId="Style_10_ch" w:type="character">
    <w:name w:val="Гиперссылка2"/>
    <w:link w:val="Style_10"/>
    <w:rPr>
      <w:color w:val="0000FF"/>
      <w:u w:val="single"/>
    </w:rPr>
  </w:style>
  <w:style w:styleId="Style_6" w:type="paragraph">
    <w:name w:val="Основной шрифт абзаца1"/>
    <w:link w:val="Style_6_ch"/>
  </w:style>
  <w:style w:styleId="Style_6_ch" w:type="character">
    <w:name w:val="Основной шрифт абзаца1"/>
    <w:link w:val="Style_6"/>
  </w:style>
  <w:style w:styleId="Style_11" w:type="paragraph">
    <w:name w:val="heading 3"/>
    <w:next w:val="Style_3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Обычный1"/>
    <w:link w:val="Style_12_ch"/>
  </w:style>
  <w:style w:styleId="Style_12_ch" w:type="character">
    <w:name w:val="Обычный1"/>
    <w:link w:val="Style_12"/>
  </w:style>
  <w:style w:styleId="Style_13" w:type="paragraph">
    <w:name w:val="toc 3"/>
    <w:next w:val="Style_3"/>
    <w:link w:val="Style_13_ch"/>
    <w:uiPriority w:val="39"/>
    <w:pPr>
      <w:ind w:firstLine="0" w:left="400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Balloon Text"/>
    <w:basedOn w:val="Style_3"/>
    <w:link w:val="Style_14_ch"/>
    <w:pPr>
      <w:spacing w:after="0" w:line="240" w:lineRule="auto"/>
      <w:ind/>
    </w:pPr>
    <w:rPr>
      <w:rFonts w:ascii="Segoe UI" w:hAnsi="Segoe UI"/>
      <w:sz w:val="18"/>
    </w:rPr>
  </w:style>
  <w:style w:styleId="Style_14_ch" w:type="character">
    <w:name w:val="Balloon Text"/>
    <w:basedOn w:val="Style_3_ch"/>
    <w:link w:val="Style_14"/>
    <w:rPr>
      <w:rFonts w:ascii="Segoe UI" w:hAnsi="Segoe UI"/>
      <w:sz w:val="18"/>
    </w:rPr>
  </w:style>
  <w:style w:styleId="Style_15" w:type="paragraph">
    <w:name w:val="Обычный1"/>
    <w:link w:val="Style_15_ch"/>
  </w:style>
  <w:style w:styleId="Style_15_ch" w:type="character">
    <w:name w:val="Обычный1"/>
    <w:link w:val="Style_15"/>
  </w:style>
  <w:style w:styleId="Style_16" w:type="paragraph">
    <w:name w:val="footer"/>
    <w:basedOn w:val="Style_3"/>
    <w:link w:val="Style_16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6_ch" w:type="character">
    <w:name w:val="footer"/>
    <w:basedOn w:val="Style_3_ch"/>
    <w:link w:val="Style_16"/>
    <w:rPr>
      <w:rFonts w:ascii="Times New Roman" w:hAnsi="Times New Roman"/>
      <w:sz w:val="28"/>
    </w:rPr>
  </w:style>
  <w:style w:styleId="Style_17" w:type="paragraph">
    <w:name w:val="heading 5"/>
    <w:next w:val="Style_3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7_ch" w:type="character">
    <w:name w:val="heading 5"/>
    <w:link w:val="Style_17"/>
    <w:rPr>
      <w:rFonts w:ascii="XO Thames" w:hAnsi="XO Thames"/>
      <w:b w:val="1"/>
    </w:rPr>
  </w:style>
  <w:style w:styleId="Style_18" w:type="paragraph">
    <w:name w:val="heading 1"/>
    <w:next w:val="Style_3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Основной шрифт абзаца1"/>
    <w:link w:val="Style_19_ch"/>
  </w:style>
  <w:style w:styleId="Style_19_ch" w:type="character">
    <w:name w:val="Основной шрифт абзаца1"/>
    <w:link w:val="Style_19"/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</w:rPr>
  </w:style>
  <w:style w:styleId="Style_21_ch" w:type="character">
    <w:name w:val="Footnote"/>
    <w:link w:val="Style_21"/>
    <w:rPr>
      <w:rFonts w:ascii="XO Thames" w:hAnsi="XO Thames"/>
    </w:rPr>
  </w:style>
  <w:style w:styleId="Style_22" w:type="paragraph">
    <w:name w:val="toc 1"/>
    <w:next w:val="Style_3"/>
    <w:link w:val="Style_22_ch"/>
    <w:uiPriority w:val="39"/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Plain Text"/>
    <w:basedOn w:val="Style_3"/>
    <w:link w:val="Style_23_ch"/>
    <w:pPr>
      <w:spacing w:after="0" w:line="240" w:lineRule="auto"/>
      <w:ind/>
    </w:pPr>
    <w:rPr>
      <w:rFonts w:ascii="Calibri" w:hAnsi="Calibri"/>
    </w:rPr>
  </w:style>
  <w:style w:styleId="Style_23_ch" w:type="character">
    <w:name w:val="Plain Text"/>
    <w:basedOn w:val="Style_3_ch"/>
    <w:link w:val="Style_23"/>
    <w:rPr>
      <w:rFonts w:ascii="Calibri" w:hAnsi="Calibri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25" w:type="paragraph">
    <w:name w:val="toc 9"/>
    <w:next w:val="Style_3"/>
    <w:link w:val="Style_25_ch"/>
    <w:uiPriority w:val="39"/>
    <w:pPr>
      <w:ind w:firstLine="0" w:left="1600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header"/>
    <w:basedOn w:val="Style_3"/>
    <w:link w:val="Style_26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6_ch" w:type="character">
    <w:name w:val="header"/>
    <w:basedOn w:val="Style_3_ch"/>
    <w:link w:val="Style_26"/>
  </w:style>
  <w:style w:styleId="Style_27" w:type="paragraph">
    <w:name w:val="toc 8"/>
    <w:next w:val="Style_3"/>
    <w:link w:val="Style_27_ch"/>
    <w:uiPriority w:val="39"/>
    <w:pPr>
      <w:ind w:firstLine="0" w:left="1400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Default Paragraph Font"/>
    <w:link w:val="Style_28_ch"/>
  </w:style>
  <w:style w:styleId="Style_28_ch" w:type="character">
    <w:name w:val="Default Paragraph Font"/>
    <w:link w:val="Style_28"/>
  </w:style>
  <w:style w:styleId="Style_29" w:type="paragraph">
    <w:name w:val="Основной шрифт абзаца1"/>
    <w:link w:val="Style_29_ch"/>
  </w:style>
  <w:style w:styleId="Style_29_ch" w:type="character">
    <w:name w:val="Основной шрифт абзаца1"/>
    <w:link w:val="Style_29"/>
  </w:style>
  <w:style w:styleId="Style_30" w:type="paragraph">
    <w:name w:val="toc 5"/>
    <w:next w:val="Style_3"/>
    <w:link w:val="Style_30_ch"/>
    <w:uiPriority w:val="39"/>
    <w:pPr>
      <w:ind w:firstLine="0" w:left="800"/>
    </w:pPr>
    <w:rPr>
      <w:rFonts w:ascii="XO Thames" w:hAnsi="XO Thames"/>
      <w:sz w:val="28"/>
    </w:rPr>
  </w:style>
  <w:style w:styleId="Style_30_ch" w:type="character">
    <w:name w:val="toc 5"/>
    <w:link w:val="Style_30"/>
    <w:rPr>
      <w:rFonts w:ascii="XO Thames" w:hAnsi="XO Thames"/>
      <w:sz w:val="28"/>
    </w:rPr>
  </w:style>
  <w:style w:styleId="Style_31" w:type="paragraph">
    <w:name w:val="Гиперссылка1"/>
    <w:link w:val="Style_31_ch"/>
    <w:rPr>
      <w:color w:val="0000FF"/>
      <w:u w:val="single"/>
    </w:rPr>
  </w:style>
  <w:style w:styleId="Style_31_ch" w:type="character">
    <w:name w:val="Гиперссылка1"/>
    <w:link w:val="Style_31"/>
    <w:rPr>
      <w:color w:val="0000FF"/>
      <w:u w:val="single"/>
    </w:rPr>
  </w:style>
  <w:style w:styleId="Style_32" w:type="paragraph">
    <w:name w:val="Обычный1"/>
    <w:link w:val="Style_32_ch"/>
  </w:style>
  <w:style w:styleId="Style_32_ch" w:type="character">
    <w:name w:val="Обычный1"/>
    <w:link w:val="Style_32"/>
  </w:style>
  <w:style w:styleId="Style_33" w:type="paragraph">
    <w:name w:val="Subtitle"/>
    <w:next w:val="Style_3"/>
    <w:link w:val="Style_3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3_ch" w:type="character">
    <w:name w:val="Subtitle"/>
    <w:link w:val="Style_33"/>
    <w:rPr>
      <w:rFonts w:ascii="XO Thames" w:hAnsi="XO Thames"/>
      <w:i w:val="1"/>
      <w:sz w:val="24"/>
    </w:rPr>
  </w:style>
  <w:style w:styleId="Style_34" w:type="paragraph">
    <w:name w:val="Title"/>
    <w:next w:val="Style_3"/>
    <w:link w:val="Style_3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4_ch" w:type="character">
    <w:name w:val="Title"/>
    <w:link w:val="Style_34"/>
    <w:rPr>
      <w:rFonts w:ascii="XO Thames" w:hAnsi="XO Thames"/>
      <w:b w:val="1"/>
      <w:caps w:val="1"/>
      <w:sz w:val="40"/>
    </w:rPr>
  </w:style>
  <w:style w:styleId="Style_35" w:type="paragraph">
    <w:name w:val="heading 4"/>
    <w:next w:val="Style_3"/>
    <w:link w:val="Style_3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5_ch" w:type="character">
    <w:name w:val="heading 4"/>
    <w:link w:val="Style_35"/>
    <w:rPr>
      <w:rFonts w:ascii="XO Thames" w:hAnsi="XO Thames"/>
      <w:b w:val="1"/>
      <w:sz w:val="24"/>
    </w:rPr>
  </w:style>
  <w:style w:styleId="Style_36" w:type="paragraph">
    <w:name w:val="heading 2"/>
    <w:next w:val="Style_3"/>
    <w:link w:val="Style_3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6_ch" w:type="character">
    <w:name w:val="heading 2"/>
    <w:link w:val="Style_36"/>
    <w:rPr>
      <w:rFonts w:ascii="XO Thames" w:hAnsi="XO Thames"/>
      <w:b w:val="1"/>
      <w:sz w:val="28"/>
    </w:r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7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8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12" Target="numbering.xml" Type="http://schemas.openxmlformats.org/officeDocument/2006/relationships/numbering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2023-08-28T23:02:42Z</dcterms:modified>
</cp:coreProperties>
</file>