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drawing>
          <wp:anchor behindDoc="0" distT="0" distB="0" distL="114300" distR="114300" simplePos="0" locked="0" layoutInCell="0" allowOverlap="1" relativeHeight="2">
            <wp:simplePos x="0" y="0"/>
            <wp:positionH relativeFrom="margin">
              <wp:align>center</wp:align>
            </wp:positionH>
            <wp:positionV relativeFrom="paragraph">
              <wp:posOffset>9525</wp:posOffset>
            </wp:positionV>
            <wp:extent cx="647700" cy="807720"/>
            <wp:effectExtent l="0" t="0" r="0" b="0"/>
            <wp:wrapTight wrapText="bothSides">
              <wp:wrapPolygon edited="0">
                <wp:start x="-26" y="0"/>
                <wp:lineTo x="-26" y="20864"/>
                <wp:lineTo x="20942" y="20864"/>
                <wp:lineTo x="20942" y="0"/>
                <wp:lineTo x="-26" y="0"/>
              </wp:wrapPolygon>
            </wp:wrapTight>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 xml:space="preserve">Р А С П О Р Я Ж Е Н И Е </w:t>
      </w:r>
    </w:p>
    <w:p>
      <w:pPr>
        <w:pStyle w:val="Normal"/>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ПРАВИТЕЛЬСТВА</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КАМЧАТСКОГО КРАЯ</w:t>
      </w:r>
    </w:p>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r>
    </w:p>
    <w:tbl>
      <w:tblPr>
        <w:tblW w:w="4395" w:type="dxa"/>
        <w:jc w:val="left"/>
        <w:tblInd w:w="-142" w:type="dxa"/>
        <w:tblLayout w:type="fixed"/>
        <w:tblCellMar>
          <w:top w:w="0" w:type="dxa"/>
          <w:left w:w="108" w:type="dxa"/>
          <w:bottom w:w="0" w:type="dxa"/>
          <w:right w:w="108" w:type="dxa"/>
        </w:tblCellMar>
        <w:tblLook w:lastRow="0" w:firstRow="1" w:lastColumn="0" w:firstColumn="1" w:val="04a0" w:noHBand="0" w:noVBand="1"/>
      </w:tblPr>
      <w:tblGrid>
        <w:gridCol w:w="1983"/>
        <w:gridCol w:w="427"/>
        <w:gridCol w:w="1985"/>
      </w:tblGrid>
      <w:tr>
        <w:trPr/>
        <w:tc>
          <w:tcPr>
            <w:tcW w:w="1983" w:type="dxa"/>
            <w:tcBorders>
              <w:bottom w:val="single" w:sz="4" w:space="0" w:color="000000"/>
            </w:tcBorders>
          </w:tcPr>
          <w:p>
            <w:pPr>
              <w:pStyle w:val="Normal"/>
              <w:widowControl w:val="false"/>
              <w:spacing w:lineRule="auto" w:line="276" w:before="0" w:after="0"/>
              <w:ind w:right="34" w:hanging="0"/>
              <w:jc w:val="center"/>
              <w:rPr>
                <w:rFonts w:ascii="Times New Roman" w:hAnsi="Times New Roman" w:cs="Times New Roman"/>
                <w:sz w:val="20"/>
                <w:szCs w:val="20"/>
              </w:rPr>
            </w:pPr>
            <w:bookmarkStart w:id="0" w:name="REGDATESTAMP"/>
            <w:r>
              <w:rPr>
                <w:rFonts w:cs="Times New Roman" w:ascii="Times New Roman" w:hAnsi="Times New Roman"/>
                <w:sz w:val="28"/>
                <w:szCs w:val="20"/>
                <w:lang w:val="en-US"/>
              </w:rPr>
              <w:t>[</w:t>
            </w:r>
            <w:r>
              <w:rPr>
                <w:rFonts w:cs="Times New Roman" w:ascii="Times New Roman" w:hAnsi="Times New Roman"/>
                <w:sz w:val="28"/>
                <w:szCs w:val="20"/>
              </w:rPr>
              <w:t>27.12.2021</w:t>
            </w:r>
            <w:r>
              <w:rPr>
                <w:rFonts w:cs="Times New Roman" w:ascii="Times New Roman" w:hAnsi="Times New Roman"/>
                <w:sz w:val="28"/>
                <w:szCs w:val="20"/>
                <w:lang w:val="en-US"/>
              </w:rPr>
              <w:t>]</w:t>
            </w:r>
            <w:bookmarkEnd w:id="0"/>
          </w:p>
        </w:tc>
        <w:tc>
          <w:tcPr>
            <w:tcW w:w="427" w:type="dxa"/>
            <w:tcBorders/>
          </w:tcPr>
          <w:p>
            <w:pPr>
              <w:pStyle w:val="Normal"/>
              <w:widowControl w:val="false"/>
              <w:spacing w:lineRule="auto" w:line="276" w:before="0" w:after="0"/>
              <w:jc w:val="both"/>
              <w:rPr>
                <w:rFonts w:ascii="Times New Roman" w:hAnsi="Times New Roman" w:cs="Times New Roman"/>
                <w:sz w:val="20"/>
                <w:szCs w:val="20"/>
              </w:rPr>
            </w:pPr>
            <w:r>
              <w:rPr>
                <w:rFonts w:cs="Times New Roman" w:ascii="Times New Roman" w:hAnsi="Times New Roman"/>
                <w:sz w:val="28"/>
                <w:szCs w:val="20"/>
              </w:rPr>
              <w:t>№</w:t>
            </w:r>
          </w:p>
        </w:tc>
        <w:tc>
          <w:tcPr>
            <w:tcW w:w="1985" w:type="dxa"/>
            <w:tcBorders>
              <w:bottom w:val="single" w:sz="4" w:space="0" w:color="000000"/>
            </w:tcBorders>
          </w:tcPr>
          <w:p>
            <w:pPr>
              <w:pStyle w:val="Normal"/>
              <w:widowControl w:val="false"/>
              <w:spacing w:lineRule="auto" w:line="276" w:before="0" w:after="0"/>
              <w:jc w:val="center"/>
              <w:rPr>
                <w:rFonts w:ascii="Times New Roman" w:hAnsi="Times New Roman" w:cs="Times New Roman"/>
                <w:b/>
                <w:b/>
                <w:sz w:val="20"/>
                <w:szCs w:val="20"/>
              </w:rPr>
            </w:pPr>
            <w:bookmarkStart w:id="1" w:name="REGNUMSTAMP"/>
            <w:r>
              <w:rPr>
                <w:rFonts w:cs="Times New Roman" w:ascii="Times New Roman" w:hAnsi="Times New Roman"/>
                <w:sz w:val="28"/>
                <w:szCs w:val="20"/>
                <w:lang w:val="en-US"/>
              </w:rPr>
              <w:t>[</w:t>
            </w:r>
            <w:r>
              <w:rPr>
                <w:rFonts w:cs="Times New Roman" w:ascii="Times New Roman" w:hAnsi="Times New Roman"/>
                <w:sz w:val="28"/>
                <w:szCs w:val="20"/>
              </w:rPr>
              <w:t>649-РП</w:t>
            </w:r>
            <w:r>
              <w:rPr>
                <w:rFonts w:cs="Times New Roman" w:ascii="Times New Roman" w:hAnsi="Times New Roman"/>
                <w:sz w:val="28"/>
                <w:szCs w:val="20"/>
                <w:lang w:val="en-US"/>
              </w:rPr>
              <w:t>]</w:t>
            </w:r>
            <w:bookmarkEnd w:id="1"/>
          </w:p>
        </w:tc>
      </w:tr>
    </w:tbl>
    <w:p>
      <w:pPr>
        <w:pStyle w:val="Normal"/>
        <w:spacing w:lineRule="auto" w:line="276" w:before="0" w:after="0"/>
        <w:ind w:left="142" w:right="5668" w:hanging="0"/>
        <w:jc w:val="center"/>
        <w:rPr>
          <w:rFonts w:ascii="Times New Roman" w:hAnsi="Times New Roman" w:cs="Times New Roman"/>
          <w:bCs/>
          <w:sz w:val="28"/>
          <w:szCs w:val="28"/>
        </w:rPr>
      </w:pPr>
      <w:r>
        <w:rPr>
          <w:rFonts w:cs="Times New Roman" w:ascii="Times New Roman" w:hAnsi="Times New Roman"/>
          <w:bCs/>
          <w:sz w:val="24"/>
          <w:szCs w:val="28"/>
        </w:rPr>
        <w:t>г. Петропавловск-Камчатский</w:t>
      </w:r>
    </w:p>
    <w:tbl>
      <w:tblPr>
        <w:tblStyle w:val="a3"/>
        <w:tblW w:w="4395" w:type="dxa"/>
        <w:jc w:val="left"/>
        <w:tblInd w:w="-142" w:type="dxa"/>
        <w:tblLayout w:type="fixed"/>
        <w:tblCellMar>
          <w:top w:w="0" w:type="dxa"/>
          <w:left w:w="108" w:type="dxa"/>
          <w:bottom w:w="0" w:type="dxa"/>
          <w:right w:w="108" w:type="dxa"/>
        </w:tblCellMar>
        <w:tblLook w:noVBand="1" w:val="04a0" w:noHBand="0" w:lastColumn="0" w:firstColumn="1" w:lastRow="0" w:firstRow="1"/>
      </w:tblPr>
      <w:tblGrid>
        <w:gridCol w:w="4395"/>
      </w:tblGrid>
      <w:tr>
        <w:trPr/>
        <w:tc>
          <w:tcPr>
            <w:tcW w:w="4395"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редакции распоряжения Правительства Камчатского края от 02.03.2023 № 81-РП)</w:t>
      </w:r>
    </w:p>
    <w:p>
      <w:pPr>
        <w:pStyle w:val="Normal"/>
        <w:spacing w:lineRule="auto" w:line="240" w:before="0" w:after="0"/>
        <w:ind w:firstLine="709"/>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В целях реализации Национального плана («дорожной карты») развития конкуренции в Российской Федерации на 2021-2025 годы, а также во исполнение Перечня поручений Президента Российской Федерации от 15.05.2018 № Пр817ГС по итогам заседания Государственного совета Российской Федерации, состоявшегося 05.04.2018 года</w:t>
      </w:r>
    </w:p>
    <w:p>
      <w:pPr>
        <w:pStyle w:val="Normal"/>
        <w:spacing w:lineRule="auto" w:line="276" w:before="0" w:after="0"/>
        <w:ind w:firstLine="709"/>
        <w:jc w:val="both"/>
        <w:rPr>
          <w:rFonts w:ascii="Times New Roman" w:hAnsi="Times New Roman" w:cs="Times New Roman"/>
          <w:bCs/>
          <w:spacing w:val="-2"/>
          <w:sz w:val="28"/>
          <w:szCs w:val="28"/>
        </w:rPr>
      </w:pPr>
      <w:r>
        <w:rPr>
          <w:rFonts w:cs="Times New Roman" w:ascii="Times New Roman" w:hAnsi="Times New Roman"/>
          <w:bCs/>
          <w:spacing w:val="-2"/>
          <w:sz w:val="28"/>
          <w:szCs w:val="28"/>
        </w:rPr>
      </w:r>
    </w:p>
    <w:p>
      <w:pPr>
        <w:pStyle w:val="Normal"/>
        <w:spacing w:lineRule="auto" w:line="240" w:before="0" w:after="0"/>
        <w:ind w:firstLine="709"/>
        <w:jc w:val="both"/>
        <w:rPr>
          <w:rFonts w:ascii="Times New Roman" w:hAnsi="Times New Roman" w:cs="Times New Roman"/>
          <w:bCs/>
          <w:spacing w:val="-2"/>
          <w:sz w:val="28"/>
          <w:szCs w:val="28"/>
        </w:rPr>
      </w:pPr>
      <w:r>
        <w:rPr>
          <w:rFonts w:cs="Times New Roman" w:ascii="Times New Roman" w:hAnsi="Times New Roman"/>
          <w:bCs/>
          <w:spacing w:val="-2"/>
          <w:sz w:val="28"/>
          <w:szCs w:val="28"/>
        </w:rPr>
        <w:t>1. Утвердить План мероприятий («дорожную карту») по содействию развитию конкуренции в Камчатском крае на 2022-2025 годы (далее – «дорожная карта») согласно приложению к настоящему распоряжению.</w:t>
      </w:r>
    </w:p>
    <w:p>
      <w:pPr>
        <w:pStyle w:val="Normal"/>
        <w:spacing w:lineRule="auto" w:line="240" w:before="0" w:after="0"/>
        <w:ind w:firstLine="709"/>
        <w:jc w:val="both"/>
        <w:rPr>
          <w:rFonts w:ascii="Times New Roman" w:hAnsi="Times New Roman" w:cs="Times New Roman"/>
          <w:bCs/>
          <w:spacing w:val="-2"/>
          <w:sz w:val="28"/>
          <w:szCs w:val="28"/>
        </w:rPr>
      </w:pPr>
      <w:r>
        <w:rPr>
          <w:rFonts w:cs="Times New Roman" w:ascii="Times New Roman" w:hAnsi="Times New Roman"/>
          <w:bCs/>
          <w:spacing w:val="-2"/>
          <w:sz w:val="28"/>
          <w:szCs w:val="28"/>
        </w:rPr>
        <w:t>2. Руководителям исполнительных органов Камчатского края, являющихся ответственными исполнителями по мероприятиям «дорожной карты», обеспечить:</w:t>
      </w:r>
    </w:p>
    <w:p>
      <w:pPr>
        <w:pStyle w:val="Normal"/>
        <w:spacing w:lineRule="auto" w:line="240" w:before="0" w:after="0"/>
        <w:ind w:firstLine="709"/>
        <w:jc w:val="both"/>
        <w:rPr>
          <w:rFonts w:ascii="Times New Roman" w:hAnsi="Times New Roman" w:cs="Times New Roman"/>
          <w:bCs/>
          <w:spacing w:val="-2"/>
          <w:sz w:val="28"/>
          <w:szCs w:val="28"/>
        </w:rPr>
      </w:pPr>
      <w:r>
        <w:rPr>
          <w:rFonts w:eastAsia="Times New Roman" w:cs="Times New Roman" w:ascii="Times New Roman" w:hAnsi="Times New Roman"/>
          <w:sz w:val="24"/>
          <w:szCs w:val="24"/>
          <w:lang w:eastAsia="ru-RU"/>
        </w:rPr>
        <w:t>(абзац первый части 2 в редакции распоряжения Правительства Камчатского края</w:t>
        <w:br/>
        <w:t>от 02.03.2023 № 81-РП)</w:t>
      </w:r>
    </w:p>
    <w:p>
      <w:pPr>
        <w:pStyle w:val="Normal"/>
        <w:spacing w:lineRule="auto" w:line="240" w:before="0" w:after="0"/>
        <w:ind w:firstLine="709"/>
        <w:jc w:val="both"/>
        <w:rPr>
          <w:rFonts w:ascii="Times New Roman" w:hAnsi="Times New Roman" w:cs="Times New Roman"/>
          <w:bCs/>
          <w:spacing w:val="-2"/>
          <w:sz w:val="28"/>
          <w:szCs w:val="28"/>
        </w:rPr>
      </w:pPr>
      <w:r>
        <w:rPr>
          <w:rFonts w:cs="Times New Roman" w:ascii="Times New Roman" w:hAnsi="Times New Roman"/>
          <w:bCs/>
          <w:spacing w:val="-2"/>
          <w:sz w:val="28"/>
          <w:szCs w:val="28"/>
        </w:rPr>
        <w:t>1) достижение ключевых показателей развития конкуренции в Камчатском крае к 31.12.2025;</w:t>
      </w:r>
    </w:p>
    <w:p>
      <w:pPr>
        <w:pStyle w:val="Normal"/>
        <w:spacing w:lineRule="auto" w:line="240" w:before="0" w:after="0"/>
        <w:ind w:firstLine="709"/>
        <w:jc w:val="both"/>
        <w:rPr>
          <w:rFonts w:ascii="Times New Roman" w:hAnsi="Times New Roman" w:cs="Times New Roman"/>
          <w:bCs/>
          <w:spacing w:val="-2"/>
          <w:sz w:val="28"/>
          <w:szCs w:val="28"/>
        </w:rPr>
      </w:pPr>
      <w:r>
        <w:rPr>
          <w:rFonts w:cs="Times New Roman" w:ascii="Times New Roman" w:hAnsi="Times New Roman"/>
          <w:bCs/>
          <w:spacing w:val="-2"/>
          <w:sz w:val="28"/>
          <w:szCs w:val="28"/>
        </w:rPr>
        <w:t xml:space="preserve">2) представление в Министерство экономического развития Камчатского края: </w:t>
      </w:r>
    </w:p>
    <w:p>
      <w:pPr>
        <w:pStyle w:val="Normal"/>
        <w:spacing w:lineRule="auto" w:line="240" w:before="0" w:after="0"/>
        <w:ind w:firstLine="709"/>
        <w:jc w:val="both"/>
        <w:rPr>
          <w:rFonts w:ascii="Times New Roman" w:hAnsi="Times New Roman" w:cs="Times New Roman"/>
          <w:bCs/>
          <w:spacing w:val="-2"/>
          <w:sz w:val="28"/>
          <w:szCs w:val="28"/>
        </w:rPr>
      </w:pPr>
      <w:r>
        <w:rPr>
          <w:rFonts w:cs="Times New Roman" w:ascii="Times New Roman" w:hAnsi="Times New Roman"/>
          <w:bCs/>
          <w:spacing w:val="-2"/>
          <w:sz w:val="28"/>
          <w:szCs w:val="28"/>
        </w:rPr>
        <w:t xml:space="preserve">а) информации </w:t>
      </w:r>
      <w:r>
        <w:rPr>
          <w:rFonts w:eastAsia="Times New Roman" w:cs="Times New Roman" w:ascii="Times New Roman" w:hAnsi="Times New Roman"/>
          <w:spacing w:val="-2"/>
          <w:kern w:val="2"/>
          <w:sz w:val="28"/>
          <w:szCs w:val="28"/>
          <w:lang w:eastAsia="ru-RU"/>
        </w:rPr>
        <w:t>о ходе выполнения мероприятий «дорожной карты»</w:t>
      </w:r>
      <w:r>
        <w:rPr>
          <w:rFonts w:cs="Times New Roman" w:ascii="Times New Roman" w:hAnsi="Times New Roman"/>
          <w:bCs/>
          <w:spacing w:val="-2"/>
          <w:sz w:val="28"/>
          <w:szCs w:val="28"/>
        </w:rPr>
        <w:t xml:space="preserve"> в срок до 10 числа месяца, следующего за отчетным кварталом;</w:t>
      </w:r>
    </w:p>
    <w:p>
      <w:pPr>
        <w:pStyle w:val="Normal"/>
        <w:spacing w:lineRule="auto" w:line="240" w:before="0" w:after="0"/>
        <w:ind w:firstLine="709"/>
        <w:jc w:val="both"/>
        <w:rPr>
          <w:rFonts w:ascii="Times New Roman" w:hAnsi="Times New Roman" w:cs="Times New Roman"/>
          <w:bCs/>
          <w:spacing w:val="-2"/>
          <w:sz w:val="28"/>
          <w:szCs w:val="28"/>
        </w:rPr>
      </w:pPr>
      <w:r>
        <w:rPr>
          <w:rFonts w:cs="Times New Roman" w:ascii="Times New Roman" w:hAnsi="Times New Roman"/>
          <w:bCs/>
          <w:spacing w:val="-2"/>
          <w:sz w:val="28"/>
          <w:szCs w:val="28"/>
        </w:rPr>
        <w:t>б) анализа деятельности по развитию конкуренции и достигнутых результатов по реализации «дорожной карты» в срок до 1 февраля года, следующего за отчетным.</w:t>
      </w:r>
    </w:p>
    <w:p>
      <w:pPr>
        <w:pStyle w:val="Normal"/>
        <w:spacing w:lineRule="auto" w:line="276"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76"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76"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W w:w="9780"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3713"/>
        <w:gridCol w:w="3400"/>
        <w:gridCol w:w="2667"/>
      </w:tblGrid>
      <w:tr>
        <w:trPr>
          <w:trHeight w:val="1232" w:hRule="atLeast"/>
        </w:trPr>
        <w:tc>
          <w:tcPr>
            <w:tcW w:w="3713" w:type="dxa"/>
            <w:tcBorders/>
            <w:shd w:color="auto" w:fill="auto" w:val="clear"/>
          </w:tcPr>
          <w:p>
            <w:pPr>
              <w:pStyle w:val="Normal"/>
              <w:widowControl w:val="false"/>
              <w:spacing w:lineRule="auto" w:line="240" w:before="0" w:after="0"/>
              <w:ind w:hanging="4"/>
              <w:rPr>
                <w:rFonts w:ascii="Times New Roman" w:hAnsi="Times New Roman" w:cs="Times New Roman"/>
                <w:sz w:val="24"/>
                <w:szCs w:val="28"/>
                <w:highlight w:val="yellow"/>
              </w:rPr>
            </w:pPr>
            <w:r>
              <w:rPr>
                <w:rFonts w:cs="Times New Roman" w:ascii="Times New Roman" w:hAnsi="Times New Roman"/>
                <w:sz w:val="28"/>
                <w:szCs w:val="28"/>
              </w:rPr>
              <w:t>Председатель Правительства Камчатского края</w:t>
            </w:r>
          </w:p>
        </w:tc>
        <w:tc>
          <w:tcPr>
            <w:tcW w:w="3400" w:type="dxa"/>
            <w:tcBorders/>
            <w:shd w:color="auto" w:fill="auto" w:val="clear"/>
          </w:tcPr>
          <w:p>
            <w:pPr>
              <w:pStyle w:val="Normal"/>
              <w:widowControl w:val="false"/>
              <w:spacing w:lineRule="auto" w:line="240" w:before="0" w:after="0"/>
              <w:ind w:right="-116" w:hanging="0"/>
              <w:jc w:val="center"/>
              <w:rPr>
                <w:rFonts w:ascii="Times New Roman" w:hAnsi="Times New Roman" w:cs="Times New Roman"/>
                <w:color w:val="D9D9D9"/>
                <w:sz w:val="28"/>
                <w:szCs w:val="28"/>
              </w:rPr>
            </w:pPr>
            <w:bookmarkStart w:id="2" w:name="SIGNERSTAMP1"/>
            <w:r>
              <w:rPr>
                <w:rFonts w:cs="Times New Roman" w:ascii="Times New Roman" w:hAnsi="Times New Roman"/>
                <w:color w:val="D9D9D9"/>
                <w:sz w:val="28"/>
                <w:szCs w:val="28"/>
              </w:rPr>
              <w:t>[горизонтальный штамп подписи 1]</w:t>
            </w:r>
            <w:bookmarkEnd w:id="2"/>
          </w:p>
          <w:p>
            <w:pPr>
              <w:pStyle w:val="Normal"/>
              <w:widowControl w:val="false"/>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tc>
        <w:tc>
          <w:tcPr>
            <w:tcW w:w="2667" w:type="dxa"/>
            <w:tcBorders/>
            <w:shd w:color="auto" w:fill="auto" w:val="clear"/>
          </w:tcPr>
          <w:p>
            <w:pPr>
              <w:pStyle w:val="Normal"/>
              <w:widowControl w:val="false"/>
              <w:spacing w:lineRule="auto" w:line="240" w:before="0" w:after="0"/>
              <w:ind w:right="141"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right="141" w:hanging="0"/>
              <w:jc w:val="right"/>
              <w:rPr>
                <w:rFonts w:ascii="Times New Roman" w:hAnsi="Times New Roman" w:cs="Times New Roman"/>
                <w:sz w:val="28"/>
                <w:szCs w:val="28"/>
              </w:rPr>
            </w:pPr>
            <w:r>
              <w:rPr>
                <w:rFonts w:cs="Times New Roman" w:ascii="Times New Roman" w:hAnsi="Times New Roman"/>
                <w:sz w:val="28"/>
                <w:szCs w:val="28"/>
              </w:rPr>
              <w:t>Е.А. Чекин</w:t>
            </w:r>
          </w:p>
        </w:tc>
      </w:tr>
    </w:tbl>
    <w:p>
      <w:pPr>
        <w:sectPr>
          <w:type w:val="nextPage"/>
          <w:pgSz w:w="11906" w:h="16838"/>
          <w:pgMar w:left="1418" w:right="851" w:gutter="0" w:header="0" w:top="1134" w:footer="0" w:bottom="1134"/>
          <w:pgNumType w:fmt="decimal"/>
          <w:formProt w:val="false"/>
          <w:textDirection w:val="lrTb"/>
          <w:docGrid w:type="default" w:linePitch="360" w:charSpace="4096"/>
        </w:sectPr>
      </w:pPr>
    </w:p>
    <w:p>
      <w:pPr>
        <w:pStyle w:val="Normal"/>
        <w:tabs>
          <w:tab w:val="clear" w:pos="708"/>
          <w:tab w:val="left" w:pos="11199" w:leader="none"/>
        </w:tabs>
        <w:spacing w:lineRule="auto" w:line="240" w:before="0" w:after="0"/>
        <w:ind w:left="10490" w:hanging="0"/>
        <w:rPr>
          <w:rFonts w:ascii="Times New Roman" w:hAnsi="Times New Roman" w:cs="Times New Roman"/>
          <w:sz w:val="28"/>
          <w:szCs w:val="28"/>
        </w:rPr>
      </w:pPr>
      <w:r>
        <w:rPr>
          <w:rFonts w:cs="Times New Roman" w:ascii="Times New Roman" w:hAnsi="Times New Roman"/>
          <w:sz w:val="28"/>
          <w:szCs w:val="28"/>
        </w:rPr>
        <w:t xml:space="preserve">Приложение к распоряжению </w:t>
      </w:r>
    </w:p>
    <w:p>
      <w:pPr>
        <w:pStyle w:val="Normal"/>
        <w:tabs>
          <w:tab w:val="clear" w:pos="708"/>
          <w:tab w:val="left" w:pos="11199" w:leader="none"/>
        </w:tabs>
        <w:spacing w:lineRule="auto" w:line="240" w:before="0" w:after="0"/>
        <w:ind w:left="10490" w:hanging="0"/>
        <w:rPr>
          <w:rFonts w:ascii="Times New Roman" w:hAnsi="Times New Roman" w:cs="Times New Roman"/>
          <w:sz w:val="28"/>
          <w:szCs w:val="28"/>
        </w:rPr>
      </w:pPr>
      <w:r>
        <w:rPr>
          <w:rFonts w:cs="Times New Roman" w:ascii="Times New Roman" w:hAnsi="Times New Roman"/>
          <w:sz w:val="28"/>
          <w:szCs w:val="28"/>
        </w:rPr>
        <w:t>Правительства Камчатского края от_27.12.2021_№_649-РП_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План мероприятий «дорожная карта»</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по содействию развитию конкуренции в Камчатском крае на 2022-2025 годы</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редакции распоряжения Правительства Камчатского края от 02.03.2023 № 81-РП)</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bookmarkStart w:id="3" w:name="_GoBack"/>
      <w:bookmarkStart w:id="4" w:name="_GoBack"/>
      <w:bookmarkEnd w:id="4"/>
    </w:p>
    <w:p>
      <w:pPr>
        <w:pStyle w:val="Normal"/>
        <w:spacing w:lineRule="auto" w:line="240"/>
        <w:ind w:left="-426" w:right="-457" w:hanging="0"/>
        <w:rPr>
          <w:rFonts w:ascii="Times New Roman" w:hAnsi="Times New Roman" w:eastAsia="Calibri" w:cs="Times New Roman"/>
          <w:sz w:val="28"/>
          <w:szCs w:val="28"/>
        </w:rPr>
      </w:pPr>
      <w:r>
        <w:rPr>
          <w:rFonts w:eastAsia="Calibri" w:cs="Times New Roman" w:ascii="Times New Roman" w:hAnsi="Times New Roman"/>
          <w:sz w:val="28"/>
          <w:szCs w:val="28"/>
        </w:rPr>
        <w:t>Раздел 1. Перечень ключевых показателей (сфер, товарных рынков) для развития конкуренции в Камчатском крае на 2022-2025 год</w:t>
      </w:r>
    </w:p>
    <w:tbl>
      <w:tblPr>
        <w:tblStyle w:val="3"/>
        <w:tblW w:w="15824"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61"/>
        <w:gridCol w:w="3355"/>
        <w:gridCol w:w="3970"/>
        <w:gridCol w:w="2174"/>
        <w:gridCol w:w="945"/>
        <w:gridCol w:w="851"/>
        <w:gridCol w:w="850"/>
        <w:gridCol w:w="861"/>
        <w:gridCol w:w="2255"/>
      </w:tblGrid>
      <w:tr>
        <w:trPr>
          <w:trHeight w:val="549" w:hRule="atLeast"/>
        </w:trPr>
        <w:tc>
          <w:tcPr>
            <w:tcW w:w="561"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w:t>
            </w:r>
            <w:r>
              <w:rPr>
                <w:rFonts w:eastAsia="Calibri" w:cs="Times New Roman" w:ascii="Times New Roman" w:hAnsi="Times New Roman"/>
                <w:kern w:val="0"/>
                <w:sz w:val="24"/>
                <w:szCs w:val="24"/>
                <w:lang w:val="en-US" w:eastAsia="en-US" w:bidi="ar-SA"/>
              </w:rPr>
              <w:t>/</w:t>
            </w:r>
            <w:r>
              <w:rPr>
                <w:rFonts w:eastAsia="Calibri" w:cs="Times New Roman" w:ascii="Times New Roman" w:hAnsi="Times New Roman"/>
                <w:kern w:val="0"/>
                <w:sz w:val="24"/>
                <w:szCs w:val="24"/>
                <w:lang w:val="ru-RU" w:eastAsia="en-US" w:bidi="ar-SA"/>
              </w:rPr>
              <w:t>п</w:t>
            </w:r>
          </w:p>
        </w:tc>
        <w:tc>
          <w:tcPr>
            <w:tcW w:w="3355"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Наименование рынка (сферы)</w:t>
            </w:r>
          </w:p>
        </w:tc>
        <w:tc>
          <w:tcPr>
            <w:tcW w:w="3970"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Наименование ключевого показателя</w:t>
            </w:r>
          </w:p>
        </w:tc>
        <w:tc>
          <w:tcPr>
            <w:tcW w:w="2174"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Фактическое значение ключевого показателя</w:t>
            </w:r>
          </w:p>
        </w:tc>
        <w:tc>
          <w:tcPr>
            <w:tcW w:w="3507" w:type="dxa"/>
            <w:gridSpan w:val="4"/>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Целевое значение ключевого показателя</w:t>
            </w:r>
          </w:p>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2255"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Исполнительный орган Камчатского края, ответственный за достижение ключевого показателя</w:t>
            </w:r>
          </w:p>
          <w:p>
            <w:pPr>
              <w:pStyle w:val="Normal"/>
              <w:widowControl w:val="false"/>
              <w:suppressAutoHyphens w:val="true"/>
              <w:spacing w:lineRule="auto" w:line="240" w:before="0" w:after="0"/>
              <w:jc w:val="center"/>
              <w:rPr>
                <w:rFonts w:eastAsia="Calibri"/>
                <w:sz w:val="24"/>
                <w:szCs w:val="24"/>
              </w:rPr>
            </w:pPr>
            <w:r>
              <w:rPr>
                <w:rFonts w:eastAsia="Times New Roman" w:cs="Times New Roman" w:ascii="Times New Roman" w:hAnsi="Times New Roman"/>
                <w:kern w:val="0"/>
                <w:sz w:val="24"/>
                <w:szCs w:val="24"/>
                <w:lang w:val="ru-RU" w:eastAsia="ru-RU" w:bidi="ar-SA"/>
              </w:rPr>
              <w:t>(в редакции распоряжения Правительства Камчатского края от 02.03.2023 № 81-РП)</w:t>
            </w:r>
          </w:p>
        </w:tc>
      </w:tr>
      <w:tr>
        <w:trPr/>
        <w:tc>
          <w:tcPr>
            <w:tcW w:w="561"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3355"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3970"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2174"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31.12.2023</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31.12.2024</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31.12.2025</w:t>
            </w:r>
          </w:p>
        </w:tc>
        <w:tc>
          <w:tcPr>
            <w:tcW w:w="2255"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r>
    </w:tbl>
    <w:p>
      <w:pPr>
        <w:pStyle w:val="Normal"/>
        <w:spacing w:lineRule="auto" w:line="240" w:before="0" w:after="0"/>
        <w:rPr>
          <w:rFonts w:ascii="Times New Roman" w:hAnsi="Times New Roman" w:cs="Times New Roman"/>
          <w:sz w:val="2"/>
          <w:szCs w:val="2"/>
        </w:rPr>
      </w:pPr>
      <w:r>
        <w:rPr>
          <w:rFonts w:cs="Times New Roman" w:ascii="Times New Roman" w:hAnsi="Times New Roman"/>
          <w:sz w:val="2"/>
          <w:szCs w:val="2"/>
        </w:rPr>
      </w:r>
    </w:p>
    <w:tbl>
      <w:tblPr>
        <w:tblStyle w:val="3"/>
        <w:tblW w:w="15824"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61"/>
        <w:gridCol w:w="3355"/>
        <w:gridCol w:w="3970"/>
        <w:gridCol w:w="2174"/>
        <w:gridCol w:w="945"/>
        <w:gridCol w:w="851"/>
        <w:gridCol w:w="850"/>
        <w:gridCol w:w="861"/>
        <w:gridCol w:w="2255"/>
      </w:tblGrid>
      <w:tr>
        <w:trPr>
          <w:tblHeader w:val="true"/>
        </w:trPr>
        <w:tc>
          <w:tcPr>
            <w:tcW w:w="561" w:type="dxa"/>
            <w:tcBorders/>
          </w:tcPr>
          <w:p>
            <w:pPr>
              <w:pStyle w:val="Normal"/>
              <w:widowControl w:val="false"/>
              <w:suppressAutoHyphens w:val="true"/>
              <w:spacing w:lineRule="auto" w:line="240" w:before="0" w:after="0"/>
              <w:ind w:left="-255" w:right="-108" w:hanging="0"/>
              <w:contextualSpacing/>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3355" w:type="dxa"/>
            <w:tcBorders/>
            <w:shd w:color="auto" w:fill="FFFFFF" w:val="clear"/>
          </w:tcPr>
          <w:p>
            <w:pPr>
              <w:pStyle w:val="Normal"/>
              <w:widowControl w:val="false"/>
              <w:suppressAutoHyphens w:val="true"/>
              <w:spacing w:lineRule="auto" w:line="240" w:before="0" w:after="0"/>
              <w:ind w:left="-255" w:right="-155" w:hanging="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3970" w:type="dxa"/>
            <w:tcBorders/>
          </w:tcPr>
          <w:p>
            <w:pPr>
              <w:pStyle w:val="Normal"/>
              <w:widowControl w:val="false"/>
              <w:suppressAutoHyphens w:val="true"/>
              <w:spacing w:lineRule="auto" w:line="240" w:before="0" w:after="0"/>
              <w:ind w:left="-61" w:hanging="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2174" w:type="dxa"/>
            <w:tcBorders/>
          </w:tcPr>
          <w:p>
            <w:pPr>
              <w:pStyle w:val="Normal"/>
              <w:widowControl w:val="false"/>
              <w:suppressAutoHyphens w:val="true"/>
              <w:spacing w:lineRule="auto" w:line="240" w:before="0" w:after="0"/>
              <w:ind w:left="-61" w:right="-108" w:hanging="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45" w:type="dxa"/>
            <w:tcBorders/>
          </w:tcPr>
          <w:p>
            <w:pPr>
              <w:pStyle w:val="Normal"/>
              <w:widowControl w:val="false"/>
              <w:suppressAutoHyphens w:val="true"/>
              <w:spacing w:lineRule="auto" w:line="240" w:before="0" w:after="0"/>
              <w:ind w:left="-108" w:hanging="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851" w:type="dxa"/>
            <w:tcBorders/>
          </w:tcPr>
          <w:p>
            <w:pPr>
              <w:pStyle w:val="Normal"/>
              <w:widowControl w:val="false"/>
              <w:suppressAutoHyphens w:val="true"/>
              <w:spacing w:lineRule="auto" w:line="240" w:before="0" w:after="0"/>
              <w:ind w:left="-202" w:right="-155" w:hanging="0"/>
              <w:jc w:val="center"/>
              <w:rPr>
                <w:rFonts w:eastAsia="Calibri"/>
                <w:sz w:val="24"/>
                <w:szCs w:val="24"/>
              </w:rPr>
            </w:pPr>
            <w:r>
              <w:rPr>
                <w:rFonts w:eastAsia="Calibri" w:cs="Times New Roman" w:ascii="Times New Roman" w:hAnsi="Times New Roman"/>
                <w:kern w:val="0"/>
                <w:sz w:val="24"/>
                <w:szCs w:val="24"/>
                <w:lang w:val="ru-RU" w:eastAsia="en-US" w:bidi="ar-SA"/>
              </w:rPr>
              <w:t>6</w:t>
            </w:r>
          </w:p>
        </w:tc>
        <w:tc>
          <w:tcPr>
            <w:tcW w:w="850" w:type="dxa"/>
            <w:tcBorders/>
          </w:tcPr>
          <w:p>
            <w:pPr>
              <w:pStyle w:val="Normal"/>
              <w:widowControl w:val="false"/>
              <w:suppressAutoHyphens w:val="true"/>
              <w:spacing w:lineRule="auto" w:line="240" w:before="0" w:after="0"/>
              <w:ind w:left="-202" w:right="-156" w:hanging="0"/>
              <w:jc w:val="center"/>
              <w:rPr>
                <w:rFonts w:eastAsia="Calibri"/>
                <w:sz w:val="24"/>
                <w:szCs w:val="24"/>
              </w:rPr>
            </w:pPr>
            <w:r>
              <w:rPr>
                <w:rFonts w:eastAsia="Calibri" w:cs="Times New Roman" w:ascii="Times New Roman" w:hAnsi="Times New Roman"/>
                <w:kern w:val="0"/>
                <w:sz w:val="24"/>
                <w:szCs w:val="24"/>
                <w:lang w:val="ru-RU" w:eastAsia="en-US" w:bidi="ar-SA"/>
              </w:rPr>
              <w:t>7</w:t>
            </w:r>
          </w:p>
        </w:tc>
        <w:tc>
          <w:tcPr>
            <w:tcW w:w="861" w:type="dxa"/>
            <w:tcBorders/>
          </w:tcPr>
          <w:p>
            <w:pPr>
              <w:pStyle w:val="Normal"/>
              <w:widowControl w:val="false"/>
              <w:suppressAutoHyphens w:val="true"/>
              <w:spacing w:lineRule="auto" w:line="240" w:before="0" w:after="0"/>
              <w:ind w:left="-202" w:right="-145" w:hanging="0"/>
              <w:jc w:val="center"/>
              <w:rPr>
                <w:rFonts w:eastAsia="Calibri"/>
                <w:sz w:val="24"/>
                <w:szCs w:val="24"/>
              </w:rPr>
            </w:pPr>
            <w:r>
              <w:rPr>
                <w:rFonts w:eastAsia="Calibri" w:cs="Times New Roman" w:ascii="Times New Roman" w:hAnsi="Times New Roman"/>
                <w:kern w:val="0"/>
                <w:sz w:val="24"/>
                <w:szCs w:val="24"/>
                <w:lang w:val="ru-RU" w:eastAsia="en-US" w:bidi="ar-SA"/>
              </w:rPr>
              <w:t>8</w:t>
            </w:r>
          </w:p>
        </w:tc>
        <w:tc>
          <w:tcPr>
            <w:tcW w:w="2255" w:type="dxa"/>
            <w:tcBorders/>
          </w:tcPr>
          <w:p>
            <w:pPr>
              <w:pStyle w:val="Normal"/>
              <w:widowControl w:val="false"/>
              <w:suppressAutoHyphens w:val="true"/>
              <w:spacing w:lineRule="auto" w:line="240" w:before="0" w:after="0"/>
              <w:ind w:left="-71" w:hanging="0"/>
              <w:jc w:val="center"/>
              <w:rPr>
                <w:rFonts w:eastAsia="Calibri"/>
                <w:sz w:val="24"/>
                <w:szCs w:val="24"/>
              </w:rPr>
            </w:pPr>
            <w:r>
              <w:rPr>
                <w:rFonts w:eastAsia="Calibri" w:cs="Times New Roman" w:ascii="Times New Roman" w:hAnsi="Times New Roman"/>
                <w:kern w:val="0"/>
                <w:sz w:val="24"/>
                <w:szCs w:val="24"/>
                <w:lang w:val="ru-RU" w:eastAsia="en-US" w:bidi="ar-SA"/>
              </w:rPr>
              <w:t>9</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услуг дошкольного образования</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детей, получающих образование в организациях частной формы собственности, от общего числа детей, получающих образование (процентов), не менее 1 частной организации</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1,7</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услуг среднего профессионального образования</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студентов, получающих среднее профессиональное образование в организациях частной формы собственности, от общего числа студентов, получающих среднее профессиональное образование (процентов), не менее 1 частной организации</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4,5</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6,5</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7,5</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услуг общего образования</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 не менее 1 частной организации</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0,2</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0,2</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0,2</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0,2</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0,2</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услуг дополнительного образования детей</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негосударственных организаций в сфере услуг дополнительного образования детей, имеющих лицензию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8,7</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8,7</w:t>
            </w:r>
          </w:p>
        </w:tc>
        <w:tc>
          <w:tcPr>
            <w:tcW w:w="85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10,5</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11,5</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12,0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услуг детского отдыха и оздоровления</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отдыха и оздоровления детей частной формы собственности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19,8</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left"/>
              <w:rPr>
                <w:sz w:val="24"/>
              </w:rPr>
            </w:pPr>
            <w:r>
              <w:rPr>
                <w:rFonts w:eastAsia="Calibri" w:cs="Times New Roman" w:ascii="Times New Roman" w:hAnsi="Times New Roman"/>
                <w:kern w:val="0"/>
                <w:sz w:val="24"/>
                <w:szCs w:val="28"/>
                <w:lang w:val="ru-RU" w:eastAsia="en-US" w:bidi="ar-SA"/>
              </w:rPr>
              <w:t>Рынок</w:t>
            </w:r>
            <w:r>
              <w:rPr>
                <w:rFonts w:eastAsia="Calibri" w:cs="Times New Roman" w:ascii="Times New Roman" w:hAnsi="Times New Roman"/>
                <w:spacing w:val="-3"/>
                <w:kern w:val="0"/>
                <w:sz w:val="24"/>
                <w:szCs w:val="28"/>
                <w:lang w:val="ru-RU" w:eastAsia="en-US" w:bidi="ar-SA"/>
              </w:rPr>
              <w:t xml:space="preserve"> </w:t>
            </w:r>
            <w:r>
              <w:rPr>
                <w:rFonts w:eastAsia="Calibri" w:cs="Times New Roman" w:ascii="Times New Roman" w:hAnsi="Times New Roman"/>
                <w:kern w:val="0"/>
                <w:sz w:val="24"/>
                <w:szCs w:val="28"/>
                <w:lang w:val="ru-RU" w:eastAsia="en-US" w:bidi="ar-SA"/>
              </w:rPr>
              <w:t>социальных</w:t>
            </w:r>
            <w:r>
              <w:rPr>
                <w:rFonts w:eastAsia="Calibri" w:cs="Times New Roman" w:ascii="Times New Roman" w:hAnsi="Times New Roman"/>
                <w:spacing w:val="-1"/>
                <w:kern w:val="0"/>
                <w:sz w:val="24"/>
                <w:szCs w:val="28"/>
                <w:lang w:val="ru-RU" w:eastAsia="en-US" w:bidi="ar-SA"/>
              </w:rPr>
              <w:t xml:space="preserve"> </w:t>
            </w:r>
            <w:r>
              <w:rPr>
                <w:rFonts w:eastAsia="Calibri" w:cs="Times New Roman" w:ascii="Times New Roman" w:hAnsi="Times New Roman"/>
                <w:kern w:val="0"/>
                <w:sz w:val="24"/>
                <w:szCs w:val="28"/>
                <w:lang w:val="ru-RU" w:eastAsia="en-US" w:bidi="ar-SA"/>
              </w:rPr>
              <w:t>услуг</w:t>
            </w:r>
          </w:p>
        </w:tc>
        <w:tc>
          <w:tcPr>
            <w:tcW w:w="3970"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left"/>
              <w:rPr>
                <w:sz w:val="24"/>
              </w:rPr>
            </w:pPr>
            <w:r>
              <w:rPr>
                <w:rFonts w:eastAsia="Calibri" w:cs="Times New Roman" w:ascii="Times New Roman" w:hAnsi="Times New Roman"/>
                <w:kern w:val="0"/>
                <w:sz w:val="24"/>
                <w:szCs w:val="28"/>
                <w:lang w:val="ru-RU" w:eastAsia="en-US" w:bidi="ar-SA"/>
              </w:rPr>
              <w:t>Доля частных организаций,</w:t>
            </w:r>
            <w:r>
              <w:rPr>
                <w:rFonts w:eastAsia="Calibri" w:cs="Times New Roman" w:ascii="Times New Roman" w:hAnsi="Times New Roman"/>
                <w:spacing w:val="1"/>
                <w:kern w:val="0"/>
                <w:sz w:val="24"/>
                <w:szCs w:val="28"/>
                <w:lang w:val="ru-RU" w:eastAsia="en-US" w:bidi="ar-SA"/>
              </w:rPr>
              <w:t xml:space="preserve"> </w:t>
            </w:r>
            <w:r>
              <w:rPr>
                <w:rFonts w:eastAsia="Calibri" w:cs="Times New Roman" w:ascii="Times New Roman" w:hAnsi="Times New Roman"/>
                <w:kern w:val="0"/>
                <w:sz w:val="24"/>
                <w:szCs w:val="28"/>
                <w:lang w:val="ru-RU" w:eastAsia="en-US" w:bidi="ar-SA"/>
              </w:rPr>
              <w:t>оказывающих социальные услуги</w:t>
            </w:r>
            <w:r>
              <w:rPr>
                <w:rFonts w:eastAsia="Calibri" w:cs="Times New Roman" w:ascii="Times New Roman" w:hAnsi="Times New Roman"/>
                <w:spacing w:val="-58"/>
                <w:kern w:val="0"/>
                <w:sz w:val="24"/>
                <w:szCs w:val="28"/>
                <w:lang w:val="ru-RU" w:eastAsia="en-US" w:bidi="ar-SA"/>
              </w:rPr>
              <w:t xml:space="preserve"> </w:t>
            </w:r>
            <w:r>
              <w:rPr>
                <w:rFonts w:eastAsia="Calibri" w:cs="Times New Roman" w:ascii="Times New Roman" w:hAnsi="Times New Roman"/>
                <w:kern w:val="0"/>
                <w:sz w:val="24"/>
                <w:szCs w:val="28"/>
                <w:lang w:val="ru-RU" w:eastAsia="en-US" w:bidi="ar-SA"/>
              </w:rPr>
              <w:t>(процентов)</w:t>
            </w:r>
          </w:p>
        </w:tc>
        <w:tc>
          <w:tcPr>
            <w:tcW w:w="2174"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center"/>
              <w:rPr>
                <w:sz w:val="24"/>
              </w:rPr>
            </w:pPr>
            <w:r>
              <w:rPr>
                <w:rFonts w:eastAsia="Calibri" w:cs="Times New Roman" w:ascii="Times New Roman" w:hAnsi="Times New Roman"/>
                <w:kern w:val="0"/>
                <w:sz w:val="24"/>
                <w:szCs w:val="28"/>
                <w:lang w:val="ru-RU" w:eastAsia="en-US" w:bidi="ar-SA"/>
              </w:rPr>
              <w:t>37,97</w:t>
            </w:r>
          </w:p>
        </w:tc>
        <w:tc>
          <w:tcPr>
            <w:tcW w:w="945"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center"/>
              <w:rPr>
                <w:sz w:val="24"/>
              </w:rPr>
            </w:pPr>
            <w:r>
              <w:rPr>
                <w:rFonts w:eastAsia="Calibri" w:cs="Times New Roman" w:ascii="Times New Roman" w:hAnsi="Times New Roman"/>
                <w:kern w:val="0"/>
                <w:sz w:val="24"/>
                <w:szCs w:val="28"/>
                <w:lang w:val="ru-RU" w:eastAsia="en-US" w:bidi="ar-SA"/>
              </w:rPr>
              <w:t>37,9</w:t>
            </w:r>
          </w:p>
        </w:tc>
        <w:tc>
          <w:tcPr>
            <w:tcW w:w="851"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center"/>
              <w:rPr>
                <w:sz w:val="24"/>
              </w:rPr>
            </w:pPr>
            <w:r>
              <w:rPr>
                <w:rFonts w:eastAsia="Calibri" w:cs="Times New Roman" w:ascii="Times New Roman" w:hAnsi="Times New Roman"/>
                <w:kern w:val="0"/>
                <w:sz w:val="24"/>
                <w:szCs w:val="28"/>
                <w:lang w:val="ru-RU" w:eastAsia="en-US" w:bidi="ar-SA"/>
              </w:rPr>
              <w:t>37,9</w:t>
            </w:r>
          </w:p>
        </w:tc>
        <w:tc>
          <w:tcPr>
            <w:tcW w:w="850"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center"/>
              <w:rPr>
                <w:sz w:val="24"/>
              </w:rPr>
            </w:pPr>
            <w:r>
              <w:rPr>
                <w:rFonts w:eastAsia="Calibri" w:cs="Times New Roman" w:ascii="Times New Roman" w:hAnsi="Times New Roman"/>
                <w:kern w:val="0"/>
                <w:sz w:val="24"/>
                <w:szCs w:val="28"/>
                <w:lang w:val="ru-RU" w:eastAsia="en-US" w:bidi="ar-SA"/>
              </w:rPr>
              <w:t>40,0</w:t>
            </w:r>
          </w:p>
        </w:tc>
        <w:tc>
          <w:tcPr>
            <w:tcW w:w="861"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center"/>
              <w:rPr>
                <w:sz w:val="24"/>
              </w:rPr>
            </w:pPr>
            <w:r>
              <w:rPr>
                <w:rFonts w:eastAsia="Calibri" w:cs="Times New Roman" w:ascii="Times New Roman" w:hAnsi="Times New Roman"/>
                <w:kern w:val="0"/>
                <w:sz w:val="24"/>
                <w:szCs w:val="28"/>
                <w:lang w:val="ru-RU" w:eastAsia="en-US" w:bidi="ar-SA"/>
              </w:rPr>
              <w:t>40,0</w:t>
            </w:r>
          </w:p>
        </w:tc>
        <w:tc>
          <w:tcPr>
            <w:tcW w:w="2255"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left"/>
              <w:rPr>
                <w:sz w:val="24"/>
              </w:rPr>
            </w:pPr>
            <w:r>
              <w:rPr>
                <w:rFonts w:eastAsia="Calibri" w:cs="Times New Roman" w:ascii="Times New Roman" w:hAnsi="Times New Roman"/>
                <w:kern w:val="0"/>
                <w:sz w:val="24"/>
                <w:szCs w:val="28"/>
                <w:lang w:val="ru-RU" w:eastAsia="en-US" w:bidi="ar-SA"/>
              </w:rPr>
              <w:t>Министерство</w:t>
            </w:r>
            <w:r>
              <w:rPr>
                <w:rFonts w:eastAsia="Calibri" w:cs="Times New Roman" w:ascii="Times New Roman" w:hAnsi="Times New Roman"/>
                <w:spacing w:val="1"/>
                <w:kern w:val="0"/>
                <w:sz w:val="24"/>
                <w:szCs w:val="28"/>
                <w:lang w:val="ru-RU" w:eastAsia="en-US" w:bidi="ar-SA"/>
              </w:rPr>
              <w:t xml:space="preserve"> </w:t>
            </w:r>
            <w:r>
              <w:rPr>
                <w:rFonts w:eastAsia="Calibri" w:cs="Times New Roman" w:ascii="Times New Roman" w:hAnsi="Times New Roman"/>
                <w:kern w:val="0"/>
                <w:sz w:val="24"/>
                <w:szCs w:val="28"/>
                <w:lang w:val="ru-RU" w:eastAsia="en-US" w:bidi="ar-SA"/>
              </w:rPr>
              <w:t>социального</w:t>
            </w:r>
            <w:r>
              <w:rPr>
                <w:rFonts w:eastAsia="Calibri" w:cs="Times New Roman" w:ascii="Times New Roman" w:hAnsi="Times New Roman"/>
                <w:spacing w:val="1"/>
                <w:kern w:val="0"/>
                <w:sz w:val="24"/>
                <w:szCs w:val="28"/>
                <w:lang w:val="ru-RU" w:eastAsia="en-US" w:bidi="ar-SA"/>
              </w:rPr>
              <w:t xml:space="preserve"> </w:t>
            </w:r>
            <w:r>
              <w:rPr>
                <w:rFonts w:eastAsia="Calibri" w:cs="Times New Roman" w:ascii="Times New Roman" w:hAnsi="Times New Roman"/>
                <w:kern w:val="0"/>
                <w:sz w:val="24"/>
                <w:szCs w:val="28"/>
                <w:lang w:val="ru-RU" w:eastAsia="en-US" w:bidi="ar-SA"/>
              </w:rPr>
              <w:t>благополучия</w:t>
            </w:r>
            <w:r>
              <w:rPr>
                <w:rFonts w:eastAsia="Calibri" w:cs="Times New Roman" w:ascii="Times New Roman" w:hAnsi="Times New Roman"/>
                <w:spacing w:val="-13"/>
                <w:kern w:val="0"/>
                <w:sz w:val="24"/>
                <w:szCs w:val="28"/>
                <w:lang w:val="ru-RU" w:eastAsia="en-US" w:bidi="ar-SA"/>
              </w:rPr>
              <w:t xml:space="preserve"> </w:t>
            </w:r>
            <w:r>
              <w:rPr>
                <w:rFonts w:eastAsia="Calibri" w:cs="Times New Roman" w:ascii="Times New Roman" w:hAnsi="Times New Roman"/>
                <w:kern w:val="0"/>
                <w:sz w:val="24"/>
                <w:szCs w:val="28"/>
                <w:lang w:val="ru-RU" w:eastAsia="en-US" w:bidi="ar-SA"/>
              </w:rPr>
              <w:t>и семейной политики</w:t>
            </w:r>
            <w:r>
              <w:rPr>
                <w:rFonts w:eastAsia="Calibri" w:cs="Times New Roman" w:ascii="Times New Roman" w:hAnsi="Times New Roman"/>
                <w:spacing w:val="-57"/>
                <w:kern w:val="0"/>
                <w:sz w:val="24"/>
                <w:szCs w:val="28"/>
                <w:lang w:val="ru-RU" w:eastAsia="en-US" w:bidi="ar-SA"/>
              </w:rPr>
              <w:t xml:space="preserve"> </w:t>
            </w:r>
            <w:r>
              <w:rPr>
                <w:rFonts w:eastAsia="Calibri" w:cs="Times New Roman" w:ascii="Times New Roman" w:hAnsi="Times New Roman"/>
                <w:kern w:val="0"/>
                <w:sz w:val="24"/>
                <w:szCs w:val="28"/>
                <w:lang w:val="ru-RU" w:eastAsia="en-US" w:bidi="ar-SA"/>
              </w:rPr>
              <w:t>Камчатского</w:t>
            </w:r>
            <w:r>
              <w:rPr>
                <w:rFonts w:eastAsia="Calibri" w:cs="Times New Roman" w:ascii="Times New Roman" w:hAnsi="Times New Roman"/>
                <w:spacing w:val="-1"/>
                <w:kern w:val="0"/>
                <w:sz w:val="24"/>
                <w:szCs w:val="28"/>
                <w:lang w:val="ru-RU" w:eastAsia="en-US" w:bidi="ar-SA"/>
              </w:rPr>
              <w:t xml:space="preserve"> </w:t>
            </w:r>
            <w:r>
              <w:rPr>
                <w:rFonts w:eastAsia="Calibri" w:cs="Times New Roman" w:ascii="Times New Roman" w:hAnsi="Times New Roman"/>
                <w:kern w:val="0"/>
                <w:sz w:val="24"/>
                <w:szCs w:val="28"/>
                <w:lang w:val="ru-RU" w:eastAsia="en-US" w:bidi="ar-SA"/>
              </w:rPr>
              <w:t>края</w:t>
            </w:r>
          </w:p>
          <w:p>
            <w:pPr>
              <w:pStyle w:val="ListParagraph"/>
              <w:widowControl w:val="false"/>
              <w:tabs>
                <w:tab w:val="clear" w:pos="708"/>
                <w:tab w:val="left" w:pos="1276" w:leader="none"/>
              </w:tabs>
              <w:suppressAutoHyphens w:val="true"/>
              <w:spacing w:lineRule="auto" w:line="240" w:before="0" w:after="0"/>
              <w:ind w:left="0" w:hanging="0"/>
              <w:contextualSpacing/>
              <w:jc w:val="left"/>
              <w:rPr>
                <w:sz w:val="24"/>
              </w:rPr>
            </w:pPr>
            <w:r>
              <w:rPr>
                <w:rFonts w:eastAsia="Times New Roman" w:cs="Times New Roman" w:ascii="Times New Roman" w:hAnsi="Times New Roman"/>
                <w:kern w:val="0"/>
                <w:sz w:val="24"/>
                <w:szCs w:val="24"/>
                <w:lang w:val="ru-RU" w:eastAsia="ru-RU" w:bidi="ar-SA"/>
              </w:rPr>
              <w:t>(строка 6 в редакции распоряжения Правительства Камчатского края от 02.03.2023 № 81-РП)</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в сфере туризма</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туристских компаний, осуществляющих деятельность в сфере внутреннего въездного туризма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87,5</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88,5</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89</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89,5</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туризма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медицинских услуг</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(процентов)</w:t>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73</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77</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здравоохранения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услуг розничной торговли лекарственными препаратами, медицинскими изделиями и сопутствующими товарами</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на рынках розничной торговли лекарственными препаратами, медицинскими изделиями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65</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67</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68</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здравоохранения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Розничная торговля</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нестационарных и мобильных торговых объектов, и торговых мест под них (единиц)</w:t>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751</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770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790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810</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830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Министерство экономического развития Камчатского края,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органы местного самоуправления (по согласованию)</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реализации сельскохозяйственной продукции</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 (единиц)</w:t>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45"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47</w:t>
            </w:r>
          </w:p>
        </w:tc>
        <w:tc>
          <w:tcPr>
            <w:tcW w:w="851"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49</w:t>
            </w:r>
          </w:p>
        </w:tc>
        <w:tc>
          <w:tcPr>
            <w:tcW w:w="850"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50</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52</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племенного животноводства</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на рынке племенного животноводства (процентов)</w:t>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25,5</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семеноводства</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организации частной формы собственности на рынке семеноводства (процентов)</w:t>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вылова водных биоресурсов</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на рынке вылова водных биоресурсов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99,80</w:t>
            </w:r>
          </w:p>
        </w:tc>
        <w:tc>
          <w:tcPr>
            <w:tcW w:w="945" w:type="dxa"/>
            <w:tcBorders/>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4"/>
                <w:szCs w:val="24"/>
                <w:lang w:val="ru-RU" w:eastAsia="en-US" w:bidi="ar-SA"/>
              </w:rPr>
              <w:t>99,80</w:t>
            </w:r>
          </w:p>
        </w:tc>
        <w:tc>
          <w:tcPr>
            <w:tcW w:w="851" w:type="dxa"/>
            <w:tcBorders/>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4"/>
                <w:szCs w:val="24"/>
                <w:lang w:val="ru-RU" w:eastAsia="en-US" w:bidi="ar-SA"/>
              </w:rPr>
              <w:t>99,80</w:t>
            </w:r>
          </w:p>
        </w:tc>
        <w:tc>
          <w:tcPr>
            <w:tcW w:w="850" w:type="dxa"/>
            <w:tcBorders/>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4"/>
                <w:szCs w:val="24"/>
                <w:lang w:val="ru-RU" w:eastAsia="en-US" w:bidi="ar-SA"/>
              </w:rPr>
              <w:t>99,80</w:t>
            </w:r>
          </w:p>
        </w:tc>
        <w:tc>
          <w:tcPr>
            <w:tcW w:w="861" w:type="dxa"/>
            <w:tcBorders/>
            <w:shd w:color="auto" w:fill="auto" w:val="clear"/>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4"/>
                <w:szCs w:val="24"/>
                <w:lang w:val="ru-RU" w:eastAsia="en-US" w:bidi="ar-SA"/>
              </w:rPr>
              <w:t>99,80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рыбного хозяйства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переработки водных биоресурсов</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на рынке переработки водных биоресурсов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99,76</w:t>
            </w:r>
          </w:p>
        </w:tc>
        <w:tc>
          <w:tcPr>
            <w:tcW w:w="945" w:type="dxa"/>
            <w:tcBorders/>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4"/>
                <w:szCs w:val="24"/>
                <w:lang w:val="ru-RU" w:eastAsia="en-US" w:bidi="ar-SA"/>
              </w:rPr>
              <w:t>99,76</w:t>
            </w:r>
          </w:p>
        </w:tc>
        <w:tc>
          <w:tcPr>
            <w:tcW w:w="851" w:type="dxa"/>
            <w:tcBorders/>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4"/>
                <w:szCs w:val="24"/>
                <w:lang w:val="ru-RU" w:eastAsia="en-US" w:bidi="ar-SA"/>
              </w:rPr>
              <w:t>99,76</w:t>
            </w:r>
          </w:p>
        </w:tc>
        <w:tc>
          <w:tcPr>
            <w:tcW w:w="850" w:type="dxa"/>
            <w:tcBorders/>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4"/>
                <w:szCs w:val="24"/>
                <w:lang w:val="ru-RU" w:eastAsia="en-US" w:bidi="ar-SA"/>
              </w:rPr>
              <w:t>99,76</w:t>
            </w:r>
          </w:p>
        </w:tc>
        <w:tc>
          <w:tcPr>
            <w:tcW w:w="861" w:type="dxa"/>
            <w:tcBorders/>
            <w:shd w:color="auto" w:fill="auto" w:val="clear"/>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4"/>
                <w:szCs w:val="24"/>
                <w:lang w:val="ru-RU" w:eastAsia="en-US" w:bidi="ar-SA"/>
              </w:rPr>
              <w:t>99,76</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рыбного хозяйства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производства электрической энергии (мощности) на розничном рынке электрической энергии (модности), включая производство</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хозяйствующих субъектов частной формы собственности на розничном рынке электрической энергии, включая производство электрической энергии (процентов)</w:t>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99,17</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купли-продажи электрической энергии (мощности) на розничном рынке электрической энергии</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хозяйствующих субъектов частной формы собственности, осуществляющих деятельность по купле-продаже электроэнергии (энергосбытовую деятельность) на розничном рынке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97,94</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98</w:t>
            </w:r>
          </w:p>
        </w:tc>
        <w:tc>
          <w:tcPr>
            <w:tcW w:w="85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98</w:t>
            </w:r>
          </w:p>
        </w:tc>
        <w:tc>
          <w:tcPr>
            <w:tcW w:w="850"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98</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98</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теплоснабжения (производство тепловой энергии)</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организации частной формы собственности в сфере теплоснабжения (производство тепловой энергии) (процентов)</w:t>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25,12</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27</w:t>
            </w:r>
          </w:p>
        </w:tc>
        <w:tc>
          <w:tcPr>
            <w:tcW w:w="85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28</w:t>
            </w:r>
          </w:p>
        </w:tc>
        <w:tc>
          <w:tcPr>
            <w:tcW w:w="850"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29</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услуг по сбору и транспортированию твердых коммунальных отходов</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Объем твердых коммунальных отходов, транспортируемых организациями частной формы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выполнения работ по содержанию и текущему ремонту общего имущества собственников в помещении в многоквартирном доме</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88,9</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89</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Государственная жилищная инспекция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left"/>
              <w:rPr>
                <w:sz w:val="24"/>
              </w:rPr>
            </w:pPr>
            <w:r>
              <w:rPr>
                <w:rFonts w:eastAsia="Calibri" w:cs="Times New Roman" w:ascii="Times New Roman" w:hAnsi="Times New Roman"/>
                <w:kern w:val="0"/>
                <w:sz w:val="24"/>
                <w:szCs w:val="28"/>
                <w:lang w:val="ru-RU" w:eastAsia="en-US" w:bidi="ar-SA"/>
              </w:rPr>
              <w:t>Рынок выполнения работ по благоустройству</w:t>
            </w:r>
          </w:p>
        </w:tc>
        <w:tc>
          <w:tcPr>
            <w:tcW w:w="3970"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left"/>
              <w:rPr>
                <w:sz w:val="24"/>
              </w:rPr>
            </w:pPr>
            <w:r>
              <w:rPr>
                <w:rFonts w:eastAsia="Calibri" w:cs="Times New Roman" w:ascii="Times New Roman" w:hAnsi="Times New Roman"/>
                <w:kern w:val="0"/>
                <w:sz w:val="24"/>
                <w:szCs w:val="28"/>
                <w:lang w:val="ru-RU" w:eastAsia="en-US" w:bidi="ar-SA"/>
              </w:rPr>
              <w:t>Доля организаций частной формы собственности в сфере выполнения работ по благоустройству городской среды (процентов)</w:t>
            </w:r>
          </w:p>
        </w:tc>
        <w:tc>
          <w:tcPr>
            <w:tcW w:w="2174"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90</w:t>
            </w:r>
          </w:p>
        </w:tc>
        <w:tc>
          <w:tcPr>
            <w:tcW w:w="945"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90</w:t>
            </w:r>
          </w:p>
        </w:tc>
        <w:tc>
          <w:tcPr>
            <w:tcW w:w="85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90</w:t>
            </w:r>
          </w:p>
        </w:tc>
        <w:tc>
          <w:tcPr>
            <w:tcW w:w="850"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90</w:t>
            </w:r>
          </w:p>
        </w:tc>
        <w:tc>
          <w:tcPr>
            <w:tcW w:w="86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90</w:t>
            </w:r>
          </w:p>
        </w:tc>
        <w:tc>
          <w:tcPr>
            <w:tcW w:w="2255" w:type="dxa"/>
            <w:tcBorders/>
          </w:tcPr>
          <w:p>
            <w:pPr>
              <w:pStyle w:val="ListParagraph"/>
              <w:widowControl w:val="false"/>
              <w:tabs>
                <w:tab w:val="clear" w:pos="708"/>
                <w:tab w:val="left" w:pos="1276" w:leader="none"/>
              </w:tabs>
              <w:suppressAutoHyphens w:val="true"/>
              <w:spacing w:lineRule="auto" w:line="240" w:before="0" w:after="0"/>
              <w:ind w:left="0" w:hanging="0"/>
              <w:contextualSpacing/>
              <w:jc w:val="left"/>
              <w:rPr>
                <w:sz w:val="24"/>
              </w:rPr>
            </w:pPr>
            <w:r>
              <w:rPr>
                <w:rFonts w:eastAsia="Calibri" w:cs="Times New Roman" w:ascii="Times New Roman" w:hAnsi="Times New Roman"/>
                <w:kern w:val="0"/>
                <w:sz w:val="24"/>
                <w:szCs w:val="28"/>
                <w:lang w:val="ru-RU" w:eastAsia="en-US" w:bidi="ar-SA"/>
              </w:rPr>
              <w:t>Министерство строительства и жилищной политики Камчатского края (строка 21</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строительства (по виду экономической деятельности «строительство»)</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в объеме выполненных работ по виду экономической деятельности «Строительство»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74,6</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(графа 4 строки 22 в редакции распоряжения Правительства Камчатского края от 02.03.2023 № 81-РП)</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74,6</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86</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91</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строительства и жилищной политики Камчатского края</w:t>
            </w:r>
          </w:p>
        </w:tc>
      </w:tr>
      <w:tr>
        <w:trPr>
          <w:trHeight w:val="1381" w:hRule="atLeast"/>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производства бетона</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в сфере производства бетона (процентов)</w:t>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строительства и жилищной политики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Рынок кадастровых и землеустроительных работ </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в сфере кадастровых и землеустроительных работ (процентов)</w:t>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имущественных и земельных отношений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Рынок оказания услуг по перевозке пассажиров автомобильным транспортом по муниципальным маршрутам регулярных перевозок</w:t>
            </w:r>
          </w:p>
        </w:tc>
        <w:tc>
          <w:tcPr>
            <w:tcW w:w="3970"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2174"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82</w:t>
            </w:r>
          </w:p>
        </w:tc>
        <w:tc>
          <w:tcPr>
            <w:tcW w:w="945"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82</w:t>
            </w:r>
          </w:p>
        </w:tc>
        <w:tc>
          <w:tcPr>
            <w:tcW w:w="85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75</w:t>
            </w:r>
          </w:p>
        </w:tc>
        <w:tc>
          <w:tcPr>
            <w:tcW w:w="850"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75</w:t>
            </w:r>
          </w:p>
        </w:tc>
        <w:tc>
          <w:tcPr>
            <w:tcW w:w="86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75</w:t>
            </w:r>
          </w:p>
        </w:tc>
        <w:tc>
          <w:tcPr>
            <w:tcW w:w="2255"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Министерство транспорта и дорожного строительства Камчатского края</w:t>
            </w:r>
          </w:p>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(строка 25</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Рынок оказания услуг по перевозке пассажиров автомобильным транспортом по межмуниципальным маршрутам регулярных перевозок</w:t>
            </w:r>
          </w:p>
        </w:tc>
        <w:tc>
          <w:tcPr>
            <w:tcW w:w="3970"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w:t>
            </w:r>
          </w:p>
        </w:tc>
        <w:tc>
          <w:tcPr>
            <w:tcW w:w="2174"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100</w:t>
            </w:r>
          </w:p>
        </w:tc>
        <w:tc>
          <w:tcPr>
            <w:tcW w:w="945"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100</w:t>
            </w:r>
          </w:p>
        </w:tc>
        <w:tc>
          <w:tcPr>
            <w:tcW w:w="85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100</w:t>
            </w:r>
          </w:p>
        </w:tc>
        <w:tc>
          <w:tcPr>
            <w:tcW w:w="850"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100</w:t>
            </w:r>
          </w:p>
        </w:tc>
        <w:tc>
          <w:tcPr>
            <w:tcW w:w="86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100</w:t>
            </w:r>
          </w:p>
        </w:tc>
        <w:tc>
          <w:tcPr>
            <w:tcW w:w="2255"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Министерство транспорта и дорожного строительства Камчатского края</w:t>
            </w:r>
          </w:p>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(строка 26</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Times New Roman"/>
                <w:sz w:val="24"/>
                <w:szCs w:val="24"/>
                <w:lang w:eastAsia="ru-RU"/>
              </w:rPr>
            </w:pPr>
            <w:r>
              <w:rPr>
                <w:rFonts w:eastAsia="Times New Roman" w:cs="Times New Roman" w:ascii="Times New Roman" w:hAnsi="Times New Roman"/>
                <w:kern w:val="0"/>
                <w:sz w:val="24"/>
                <w:szCs w:val="24"/>
                <w:lang w:val="ru-RU" w:eastAsia="ru-RU" w:bidi="ar-SA"/>
              </w:rPr>
              <w:t>Рынок оказания услуг по перевозке пассажиров и багажа легковым такси на территории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в сфере оказания услуг по перевозке пассажиров и багажа легковым такси на территории Камчатского края,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561" w:type="dxa"/>
            <w:tcBorders/>
            <w:shd w:color="auto" w:fill="auto" w:val="clear"/>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оказания услуг по ремонту автотранспортных средств</w:t>
            </w:r>
          </w:p>
        </w:tc>
        <w:tc>
          <w:tcPr>
            <w:tcW w:w="3970" w:type="dxa"/>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в сфере оказания услуг по ремонту автотранспортных средств (процентов)</w:t>
            </w:r>
          </w:p>
        </w:tc>
        <w:tc>
          <w:tcPr>
            <w:tcW w:w="2174"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45"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0"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61"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255" w:type="dxa"/>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Рынок дорожной деятельности</w:t>
            </w:r>
          </w:p>
        </w:tc>
        <w:tc>
          <w:tcPr>
            <w:tcW w:w="3970"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Доля организаций частной формы собственности в сфере дорожной деятельности (за исключением проектирования) (процентов)</w:t>
            </w:r>
          </w:p>
        </w:tc>
        <w:tc>
          <w:tcPr>
            <w:tcW w:w="2174"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50</w:t>
            </w:r>
          </w:p>
        </w:tc>
        <w:tc>
          <w:tcPr>
            <w:tcW w:w="945"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50,1</w:t>
            </w:r>
          </w:p>
        </w:tc>
        <w:tc>
          <w:tcPr>
            <w:tcW w:w="85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50,2</w:t>
            </w:r>
          </w:p>
        </w:tc>
        <w:tc>
          <w:tcPr>
            <w:tcW w:w="850"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50,3</w:t>
            </w:r>
          </w:p>
        </w:tc>
        <w:tc>
          <w:tcPr>
            <w:tcW w:w="86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50,4</w:t>
            </w:r>
          </w:p>
        </w:tc>
        <w:tc>
          <w:tcPr>
            <w:tcW w:w="2255"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Министерство транспорта и дорожного строительства Камчатского края</w:t>
            </w:r>
          </w:p>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(строка 29</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Рынок добычи общераспространенных полезных ископаемых на участках недр местного значения</w:t>
            </w:r>
          </w:p>
        </w:tc>
        <w:tc>
          <w:tcPr>
            <w:tcW w:w="3970"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2174"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88,5</w:t>
            </w:r>
          </w:p>
        </w:tc>
        <w:tc>
          <w:tcPr>
            <w:tcW w:w="945"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88,5</w:t>
            </w:r>
          </w:p>
        </w:tc>
        <w:tc>
          <w:tcPr>
            <w:tcW w:w="85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88,5</w:t>
            </w:r>
          </w:p>
        </w:tc>
        <w:tc>
          <w:tcPr>
            <w:tcW w:w="850"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88,6</w:t>
            </w:r>
          </w:p>
        </w:tc>
        <w:tc>
          <w:tcPr>
            <w:tcW w:w="86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88,6</w:t>
            </w:r>
          </w:p>
        </w:tc>
        <w:tc>
          <w:tcPr>
            <w:tcW w:w="2255"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Министерство природных ресурсов и экологии Камчатского края</w:t>
            </w:r>
          </w:p>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(строка 30</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обработки древесины и производства изделий из дерева</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организации частной формы собственности в сфере обработки древесины и производства изделий из дерева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Агентство лесного хозяйства Камчатского края</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Рынок легкой промышленности</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в сфере легкой промышленности (процентов)</w:t>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Министерство экономического развития Камчатского края </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Сфера </w:t>
            </w:r>
            <w:r>
              <w:rPr>
                <w:rFonts w:eastAsia="Calibri" w:cs="Times New Roman" w:ascii="Times New Roman" w:hAnsi="Times New Roman"/>
                <w:kern w:val="0"/>
                <w:sz w:val="24"/>
                <w:szCs w:val="24"/>
                <w:lang w:val="en-US" w:eastAsia="en-US" w:bidi="ar-SA"/>
              </w:rPr>
              <w:t>р</w:t>
            </w:r>
            <w:r>
              <w:rPr>
                <w:rFonts w:eastAsia="Calibri" w:cs="Times New Roman" w:ascii="Times New Roman" w:hAnsi="Times New Roman"/>
                <w:kern w:val="0"/>
                <w:sz w:val="24"/>
                <w:szCs w:val="24"/>
                <w:lang w:val="ru-RU" w:eastAsia="en-US" w:bidi="ar-SA"/>
              </w:rPr>
              <w:t>итуальных услуг</w:t>
            </w:r>
          </w:p>
        </w:tc>
        <w:tc>
          <w:tcPr>
            <w:tcW w:w="3970"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кладбищ, включенных информация о которых включена в реестр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45"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50</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Органы местного самоуправления Камчатского края (по согласованию)</w:t>
            </w:r>
          </w:p>
        </w:tc>
      </w:tr>
      <w:tr>
        <w:trPr/>
        <w:tc>
          <w:tcPr>
            <w:tcW w:w="561" w:type="dxa"/>
            <w:tcBorders/>
          </w:tcPr>
          <w:p>
            <w:pPr>
              <w:pStyle w:val="Normal"/>
              <w:widowControl w:val="false"/>
              <w:numPr>
                <w:ilvl w:val="0"/>
                <w:numId w:val="1"/>
              </w:numPr>
              <w:suppressAutoHyphens w:val="true"/>
              <w:spacing w:lineRule="auto" w:line="240" w:before="0" w:after="0"/>
              <w:contextualSpacing/>
              <w:jc w:val="center"/>
              <w:rPr>
                <w:rFonts w:eastAsia="Calibri"/>
                <w:sz w:val="24"/>
                <w:szCs w:val="24"/>
              </w:rPr>
            </w:pPr>
            <w:r>
              <w:rPr>
                <w:rFonts w:eastAsia="Calibri"/>
                <w:sz w:val="24"/>
                <w:szCs w:val="24"/>
              </w:rPr>
            </w:r>
          </w:p>
        </w:tc>
        <w:tc>
          <w:tcPr>
            <w:tcW w:w="3355" w:type="dxa"/>
            <w:tcBorders/>
            <w:shd w:color="auto" w:fill="FFFFFF"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Сфера наружной рекламы</w:t>
            </w:r>
          </w:p>
        </w:tc>
        <w:tc>
          <w:tcPr>
            <w:tcW w:w="3970" w:type="dxa"/>
            <w:tcBorders/>
          </w:tcPr>
          <w:p>
            <w:pPr>
              <w:pStyle w:val="Normal"/>
              <w:widowControl w:val="false"/>
              <w:suppressAutoHyphens w:val="true"/>
              <w:spacing w:lineRule="auto" w:line="240" w:before="0" w:after="0"/>
              <w:jc w:val="left"/>
              <w:rPr>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в сфере наружной рекламы,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174" w:type="dxa"/>
            <w:tcBorders/>
          </w:tcPr>
          <w:p>
            <w:pPr>
              <w:pStyle w:val="Normal"/>
              <w:widowControl w:val="false"/>
              <w:suppressAutoHyphens w:val="true"/>
              <w:spacing w:lineRule="auto" w:line="240" w:before="0" w:after="0"/>
              <w:jc w:val="center"/>
              <w:rPr>
                <w:rFonts w:ascii="Times New Roman" w:hAnsi="Times New Roman" w:eastAsia="Calibri" w:cs="Times New Roman"/>
                <w:kern w:val="0"/>
                <w:sz w:val="28"/>
                <w:szCs w:val="28"/>
                <w:lang w:val="ru-RU" w:eastAsia="en-US" w:bidi="ar-SA"/>
              </w:rPr>
            </w:pPr>
            <w:r>
              <w:rPr>
                <w:rFonts w:eastAsia="Calibri" w:cs="Times New Roman" w:ascii="Times New Roman" w:hAnsi="Times New Roman"/>
                <w:kern w:val="0"/>
                <w:sz w:val="28"/>
                <w:szCs w:val="28"/>
                <w:lang w:val="ru-RU" w:eastAsia="en-US" w:bidi="ar-SA"/>
              </w:rPr>
              <w:t>100</w:t>
            </w:r>
          </w:p>
        </w:tc>
        <w:tc>
          <w:tcPr>
            <w:tcW w:w="945" w:type="dxa"/>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100</w:t>
            </w:r>
          </w:p>
        </w:tc>
        <w:tc>
          <w:tcPr>
            <w:tcW w:w="85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6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255"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Органы местного самоуправления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 согласованию)</w:t>
            </w:r>
          </w:p>
        </w:tc>
      </w:tr>
    </w:tbl>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jc w:val="center"/>
        <w:rPr>
          <w:rFonts w:ascii="Times New Roman" w:hAnsi="Times New Roman" w:eastAsia="Calibri" w:cs="Times New Roman"/>
          <w:sz w:val="28"/>
          <w:szCs w:val="28"/>
        </w:rPr>
      </w:pPr>
      <w:r>
        <w:rPr>
          <w:rFonts w:eastAsia="Calibri" w:cs="Times New Roman" w:ascii="Times New Roman" w:hAnsi="Times New Roman"/>
          <w:sz w:val="28"/>
          <w:szCs w:val="28"/>
        </w:rPr>
        <w:t>Раздел 2. Системные мероприятия</w:t>
      </w:r>
    </w:p>
    <w:tbl>
      <w:tblPr>
        <w:tblStyle w:val="3"/>
        <w:tblW w:w="15871"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704"/>
        <w:gridCol w:w="2787"/>
        <w:gridCol w:w="2481"/>
        <w:gridCol w:w="1447"/>
        <w:gridCol w:w="2547"/>
        <w:gridCol w:w="838"/>
        <w:gridCol w:w="838"/>
        <w:gridCol w:w="842"/>
        <w:gridCol w:w="838"/>
        <w:gridCol w:w="2547"/>
      </w:tblGrid>
      <w:tr>
        <w:trPr/>
        <w:tc>
          <w:tcPr>
            <w:tcW w:w="704"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w:t>
            </w:r>
            <w:r>
              <w:rPr>
                <w:rFonts w:eastAsia="Calibri" w:cs="Times New Roman" w:ascii="Times New Roman" w:hAnsi="Times New Roman"/>
                <w:kern w:val="0"/>
                <w:sz w:val="24"/>
                <w:szCs w:val="24"/>
                <w:lang w:val="en-US" w:eastAsia="en-US" w:bidi="ar-SA"/>
              </w:rPr>
              <w:t>/</w:t>
            </w:r>
            <w:r>
              <w:rPr>
                <w:rFonts w:eastAsia="Calibri" w:cs="Times New Roman" w:ascii="Times New Roman" w:hAnsi="Times New Roman"/>
                <w:kern w:val="0"/>
                <w:sz w:val="24"/>
                <w:szCs w:val="24"/>
                <w:lang w:val="ru-RU" w:eastAsia="en-US" w:bidi="ar-SA"/>
              </w:rPr>
              <w:t>п</w:t>
            </w:r>
          </w:p>
        </w:tc>
        <w:tc>
          <w:tcPr>
            <w:tcW w:w="2787"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Наименование мероприятия</w:t>
            </w:r>
          </w:p>
        </w:tc>
        <w:tc>
          <w:tcPr>
            <w:tcW w:w="2481"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Ожидаемый результат</w:t>
            </w:r>
          </w:p>
        </w:tc>
        <w:tc>
          <w:tcPr>
            <w:tcW w:w="1447"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Срок исполнения</w:t>
            </w:r>
          </w:p>
        </w:tc>
        <w:tc>
          <w:tcPr>
            <w:tcW w:w="2547"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 xml:space="preserve">Наименование ключевого показателя </w:t>
            </w:r>
          </w:p>
        </w:tc>
        <w:tc>
          <w:tcPr>
            <w:tcW w:w="3356" w:type="dxa"/>
            <w:gridSpan w:val="4"/>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Значение ключевого показателя</w:t>
            </w:r>
          </w:p>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2547"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Ответственные исполнители</w:t>
            </w:r>
          </w:p>
        </w:tc>
      </w:tr>
      <w:tr>
        <w:trPr/>
        <w:tc>
          <w:tcPr>
            <w:tcW w:w="704"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2787"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2481"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1447"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2547"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31.12.2022</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31.12.2023</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31.12.2024</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31.12.2025</w:t>
            </w:r>
          </w:p>
        </w:tc>
        <w:tc>
          <w:tcPr>
            <w:tcW w:w="2547"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r>
      <w:tr>
        <w:trPr/>
        <w:tc>
          <w:tcPr>
            <w:tcW w:w="15869" w:type="dxa"/>
            <w:gridSpan w:val="10"/>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 Развитие конкурентоспособности товаров, работ, услуг субъектов малого и среднего предпринимательства (далее – СМСП)</w:t>
            </w:r>
          </w:p>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r>
    </w:tbl>
    <w:p>
      <w:pPr>
        <w:pStyle w:val="Normal"/>
        <w:spacing w:lineRule="auto" w:line="240" w:before="0" w:after="0"/>
        <w:rPr>
          <w:sz w:val="2"/>
          <w:szCs w:val="2"/>
        </w:rPr>
      </w:pPr>
      <w:r>
        <w:rPr>
          <w:sz w:val="2"/>
          <w:szCs w:val="2"/>
        </w:rPr>
      </w:r>
    </w:p>
    <w:tbl>
      <w:tblPr>
        <w:tblStyle w:val="3"/>
        <w:tblW w:w="15871"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704"/>
        <w:gridCol w:w="2787"/>
        <w:gridCol w:w="2481"/>
        <w:gridCol w:w="1447"/>
        <w:gridCol w:w="2547"/>
        <w:gridCol w:w="838"/>
        <w:gridCol w:w="838"/>
        <w:gridCol w:w="842"/>
        <w:gridCol w:w="838"/>
        <w:gridCol w:w="2547"/>
      </w:tblGrid>
      <w:tr>
        <w:trPr>
          <w:tblHeader w:val="true"/>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787"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2481" w:type="dxa"/>
            <w:tcBorders/>
          </w:tcPr>
          <w:p>
            <w:pPr>
              <w:pStyle w:val="Normal"/>
              <w:widowControl w:val="false"/>
              <w:suppressAutoHyphens w:val="true"/>
              <w:spacing w:lineRule="auto" w:line="240" w:before="0" w:after="0"/>
              <w:jc w:val="center"/>
              <w:rPr>
                <w:rFonts w:eastAsia="Calibri"/>
                <w:color w:val="000000"/>
                <w:sz w:val="24"/>
                <w:szCs w:val="24"/>
              </w:rPr>
            </w:pPr>
            <w:r>
              <w:rPr>
                <w:rFonts w:eastAsia="Calibri" w:cs="Times New Roman" w:ascii="Times New Roman" w:hAnsi="Times New Roman"/>
                <w:color w:val="000000"/>
                <w:kern w:val="0"/>
                <w:sz w:val="24"/>
                <w:szCs w:val="24"/>
                <w:lang w:val="ru-RU" w:eastAsia="en-US" w:bidi="ar-SA"/>
              </w:rPr>
              <w:t>3</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25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w:t>
            </w:r>
          </w:p>
        </w:tc>
        <w:tc>
          <w:tcPr>
            <w:tcW w:w="25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1.1.</w:t>
            </w:r>
          </w:p>
        </w:tc>
        <w:tc>
          <w:tcPr>
            <w:tcW w:w="2787" w:type="dxa"/>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Размещение на официальном сайте органов исполнительной власти, ответственных за реализацию государственной политики по развитию конкуренции в Камчатском крае информации о результатах реализации положений Национального плана</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color w:val="000000"/>
                <w:kern w:val="0"/>
                <w:sz w:val="24"/>
                <w:szCs w:val="24"/>
                <w:lang w:val="ru-RU" w:eastAsia="en-US" w:bidi="ar-SA"/>
              </w:rPr>
              <w:t>Создан электронный информационный ресурс в сети «Интернет», информация по исполнению мероприятий Национального плана размещена</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публикаций на официальной станице Министерства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экономического развития Камчатского края</w:t>
            </w:r>
          </w:p>
        </w:tc>
      </w:tr>
      <w:tr>
        <w:trPr/>
        <w:tc>
          <w:tcPr>
            <w:tcW w:w="15869" w:type="dxa"/>
            <w:gridSpan w:val="10"/>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 xml:space="preserve">2. Развитие конкуренции при осуществлении процедур государственных и муниципальных закупок, </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а также закупок отдельными видами юридических лиц</w:t>
            </w:r>
          </w:p>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2.1.</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481" w:type="dxa"/>
            <w:tcBorders/>
          </w:tcPr>
          <w:p>
            <w:pPr>
              <w:pStyle w:val="Normal"/>
              <w:widowControl w:val="false"/>
              <w:suppressAutoHyphens w:val="true"/>
              <w:spacing w:lineRule="auto" w:line="240" w:before="0" w:after="0"/>
              <w:jc w:val="both"/>
              <w:rPr>
                <w:rFonts w:eastAsia="Times New Roman"/>
                <w:sz w:val="24"/>
                <w:szCs w:val="24"/>
                <w:lang w:eastAsia="ru-RU"/>
              </w:rPr>
            </w:pPr>
            <w:r>
              <w:rPr>
                <w:rFonts w:eastAsia="Times New Roman" w:cs="Times New Roman" w:ascii="Times New Roman" w:hAnsi="Times New Roman"/>
                <w:kern w:val="0"/>
                <w:sz w:val="24"/>
                <w:szCs w:val="24"/>
                <w:lang w:val="ru-RU" w:eastAsia="ru-RU" w:bidi="ar-SA"/>
              </w:rPr>
              <w:t xml:space="preserve">Увеличение конкуренции, повышение эффективности процедур </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Среднее количество участников закупок, принявших участие в государственных закупках, осуществляемых конкурентными способами (процентов)</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2,3</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2,5</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2,6</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2,7</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финансов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2.2.</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Организация и проведение мероприятий (семинаров, «круглых столов», конференций, совещаний), направленных на повышение уровня квалификации заказчиков и участников закупок товаров, работ, услуг для обеспечения государственных и муниципальных нужд, а также обмен опытом в сфере закупок</w:t>
            </w:r>
          </w:p>
        </w:tc>
        <w:tc>
          <w:tcPr>
            <w:tcW w:w="2481" w:type="dxa"/>
            <w:tcBorders/>
          </w:tcPr>
          <w:p>
            <w:pPr>
              <w:pStyle w:val="Normal"/>
              <w:widowControl w:val="false"/>
              <w:suppressAutoHyphens w:val="true"/>
              <w:spacing w:lineRule="auto" w:line="240" w:before="0" w:after="0"/>
              <w:jc w:val="both"/>
              <w:rPr>
                <w:rFonts w:eastAsia="Calibri"/>
                <w:sz w:val="24"/>
                <w:szCs w:val="24"/>
              </w:rPr>
            </w:pPr>
            <w:r>
              <w:rPr>
                <w:rFonts w:eastAsia="Calibri" w:cs="Times New Roman" w:ascii="Times New Roman" w:hAnsi="Times New Roman"/>
                <w:kern w:val="0"/>
                <w:sz w:val="24"/>
                <w:szCs w:val="24"/>
                <w:lang w:val="ru-RU" w:eastAsia="en-US" w:bidi="ar-SA"/>
              </w:rPr>
              <w:t xml:space="preserve">Обеспечение равных условий участников закупок, </w:t>
            </w:r>
          </w:p>
          <w:p>
            <w:pPr>
              <w:pStyle w:val="Normal"/>
              <w:widowControl w:val="false"/>
              <w:suppressAutoHyphens w:val="true"/>
              <w:spacing w:lineRule="auto" w:line="240" w:before="0" w:after="0"/>
              <w:jc w:val="left"/>
              <w:rPr>
                <w:rFonts w:eastAsia="Calibri"/>
                <w:sz w:val="24"/>
                <w:szCs w:val="24"/>
              </w:rPr>
            </w:pPr>
            <w:r>
              <w:rPr>
                <w:rFonts w:eastAsia="Times New Roman" w:cs="Times New Roman" w:ascii="Times New Roman" w:hAnsi="Times New Roman"/>
                <w:kern w:val="0"/>
                <w:sz w:val="24"/>
                <w:szCs w:val="24"/>
                <w:lang w:val="ru-RU" w:eastAsia="ru-RU" w:bidi="ar-SA"/>
              </w:rPr>
              <w:t>отсутствие обоснованных жалоб на ограничение конкуренции</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обоснованных жалоб и частично обоснованных жалоб, поданных на ограничение конкуренции в антимонопольный орган, в общем количестве процедур закупок товаров, работ, услуг для обеспечения государственных нужд, осуществленных конкурентными способами (процентов)</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финансов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2.3.</w:t>
            </w:r>
          </w:p>
        </w:tc>
        <w:tc>
          <w:tcPr>
            <w:tcW w:w="2787" w:type="dxa"/>
            <w:tcBorders/>
          </w:tcPr>
          <w:p>
            <w:pPr>
              <w:pStyle w:val="Normal"/>
              <w:widowControl w:val="false"/>
              <w:suppressAutoHyphens w:val="true"/>
              <w:spacing w:lineRule="auto" w:line="240" w:before="0" w:after="0"/>
              <w:jc w:val="left"/>
              <w:rPr>
                <w:rFonts w:eastAsia="Calibri"/>
                <w:sz w:val="24"/>
                <w:szCs w:val="24"/>
                <w:highlight w:val="yellow"/>
              </w:rPr>
            </w:pPr>
            <w:r>
              <w:rPr>
                <w:rFonts w:eastAsia="Calibri" w:cs="Times New Roman" w:ascii="Times New Roman" w:hAnsi="Times New Roman"/>
                <w:kern w:val="0"/>
                <w:sz w:val="24"/>
                <w:szCs w:val="24"/>
                <w:lang w:val="ru-RU" w:eastAsia="en-US" w:bidi="ar-SA"/>
              </w:rPr>
              <w:t>Устранение случаев (снижение количества) осуществления закупки у единственного поставщика (подрядчика, исполнителя)</w:t>
            </w:r>
          </w:p>
        </w:tc>
        <w:tc>
          <w:tcPr>
            <w:tcW w:w="2481" w:type="dxa"/>
            <w:tcBorders/>
          </w:tcPr>
          <w:p>
            <w:pPr>
              <w:pStyle w:val="Normal"/>
              <w:widowControl w:val="false"/>
              <w:suppressAutoHyphens w:val="true"/>
              <w:spacing w:lineRule="auto" w:line="240" w:before="0" w:after="0"/>
              <w:jc w:val="left"/>
              <w:rPr>
                <w:rFonts w:eastAsia="Calibri"/>
                <w:sz w:val="24"/>
                <w:szCs w:val="24"/>
                <w:highlight w:val="yellow"/>
              </w:rPr>
            </w:pPr>
            <w:r>
              <w:rPr>
                <w:rFonts w:eastAsia="Calibri" w:cs="Times New Roman" w:ascii="Times New Roman" w:hAnsi="Times New Roman"/>
                <w:kern w:val="0"/>
                <w:sz w:val="24"/>
                <w:szCs w:val="24"/>
                <w:lang w:val="ru-RU" w:eastAsia="en-US" w:bidi="ar-SA"/>
              </w:rPr>
              <w:t>Развитие конкуренции, экономия бюджетных средств</w:t>
            </w:r>
          </w:p>
        </w:tc>
        <w:tc>
          <w:tcPr>
            <w:tcW w:w="1447" w:type="dxa"/>
            <w:tcBorders/>
          </w:tcPr>
          <w:p>
            <w:pPr>
              <w:pStyle w:val="Normal"/>
              <w:widowControl w:val="false"/>
              <w:suppressAutoHyphens w:val="true"/>
              <w:spacing w:lineRule="auto" w:line="240" w:before="0" w:after="0"/>
              <w:jc w:val="center"/>
              <w:rPr>
                <w:rFonts w:eastAsia="Calibri"/>
                <w:sz w:val="24"/>
                <w:szCs w:val="24"/>
                <w:highlight w:val="yellow"/>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highlight w:val="yellow"/>
              </w:rPr>
            </w:pPr>
            <w:r>
              <w:rPr>
                <w:rFonts w:eastAsia="Calibri" w:cs="Times New Roman" w:ascii="Times New Roman" w:hAnsi="Times New Roman"/>
                <w:kern w:val="0"/>
                <w:sz w:val="24"/>
                <w:szCs w:val="24"/>
                <w:lang w:val="ru-RU" w:eastAsia="en-US" w:bidi="ar-SA"/>
              </w:rPr>
              <w:t>Доля закупок товаров, работ, услуг у единственного поставщика (подрядчика, исполнителя) (закупки «малого объема») в объеме государственных закупок (процентов)</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42</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40</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38</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финансов Камчатского края,</w:t>
            </w:r>
          </w:p>
          <w:p>
            <w:pPr>
              <w:pStyle w:val="Normal"/>
              <w:widowControl w:val="false"/>
              <w:suppressAutoHyphens w:val="true"/>
              <w:spacing w:lineRule="auto" w:line="240" w:before="0" w:after="0"/>
              <w:jc w:val="left"/>
              <w:rPr>
                <w:rFonts w:eastAsia="Calibri"/>
                <w:sz w:val="24"/>
                <w:szCs w:val="24"/>
                <w:highlight w:val="yellow"/>
              </w:rPr>
            </w:pPr>
            <w:r>
              <w:rPr>
                <w:rFonts w:eastAsia="Calibri" w:cs="Times New Roman" w:ascii="Times New Roman" w:hAnsi="Times New Roman"/>
                <w:kern w:val="0"/>
                <w:sz w:val="24"/>
                <w:szCs w:val="24"/>
                <w:lang w:val="ru-RU" w:eastAsia="en-US" w:bidi="ar-SA"/>
              </w:rPr>
              <w:t xml:space="preserve">исполнительные органы Камчатского края </w:t>
            </w:r>
            <w:r>
              <w:rPr>
                <w:rFonts w:eastAsia="Calibri" w:cs="Times New Roman" w:ascii="Times New Roman" w:hAnsi="Times New Roman"/>
                <w:kern w:val="0"/>
                <w:sz w:val="24"/>
                <w:szCs w:val="22"/>
                <w:lang w:val="ru-RU" w:eastAsia="en-US" w:bidi="ar-SA"/>
              </w:rPr>
              <w:t xml:space="preserve">(графа 10 строки 2.3 </w:t>
            </w:r>
            <w:r>
              <w:rPr>
                <w:rFonts w:eastAsia="Calibri" w:cs="Times New Roman" w:ascii="Times New Roman" w:hAnsi="Times New Roman"/>
                <w:kern w:val="0"/>
                <w:sz w:val="24"/>
                <w:szCs w:val="22"/>
                <w:lang w:val="ru-RU" w:eastAsia="en-US" w:bidi="hi-IN"/>
              </w:rPr>
              <w:t>в редакции распоряжения Правительства Камчатского края от 02.03.2023 № 81-РП)</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2.4.</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ежегодного мониторинга закупок, осуществленных заказчиками Камчатского края у СМСП, социально ориентированных некоммерческих организаций (далее – СОНКО)</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Выявление заказчиков, не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выполняющих требования части 1 статьи 30 Федерального закона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закупок у СМСП, СОНКО в совокупном годовом объеме закупок Камчатского края, рассчитанном в соответствии с требованиями Федерального закона № 44-ФЗ (процентов)</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не менее 25</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не менее 27</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не менее 29</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не менее 30</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финансов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15869" w:type="dxa"/>
            <w:gridSpan w:val="10"/>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 Устранение избыточного государственного и муниципального регулирования, а также снижение административных барьеров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3.1.</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оценки регулирующего воздействия проектов нормативных правовых актов Камчатского края в целях выявления положений, устанавливающих избыточные обязанности, запреты и ограничения для СМСП</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Отсутствие нормативных правовых актов Камчатского края, негативно воздействующих на конкуренцию</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прошедших процедуру оценки регулирующего воздействия проектов нормативных правовых актов Камчатского края, устанавливающих новые или изменяющих ранее предусмотренные нормативными правовыми актами Камчатского края обязанности для СМСП (процентов)</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экономического развития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3.2.</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Своевременно выявленные проблемы и препятствия, сдерживающие развитие предпринимательства</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наличии и уровне административных барьеров в динамике, включающий предложения по их устранению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экономического развития Камчатского края</w:t>
            </w:r>
          </w:p>
        </w:tc>
      </w:tr>
      <w:tr>
        <w:trPr/>
        <w:tc>
          <w:tcPr>
            <w:tcW w:w="15869" w:type="dxa"/>
            <w:gridSpan w:val="10"/>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kern w:val="2"/>
                <w:sz w:val="24"/>
                <w:szCs w:val="24"/>
              </w:rPr>
            </w:pPr>
            <w:r>
              <w:rPr>
                <w:rFonts w:eastAsia="Calibri" w:cs="Times New Roman" w:ascii="Times New Roman" w:hAnsi="Times New Roman"/>
                <w:kern w:val="0"/>
                <w:sz w:val="24"/>
                <w:szCs w:val="24"/>
                <w:lang w:val="ru-RU" w:eastAsia="en-US" w:bidi="ar-SA"/>
              </w:rPr>
              <w:t xml:space="preserve">4. </w:t>
            </w:r>
            <w:r>
              <w:rPr>
                <w:rFonts w:eastAsia="Calibri" w:cs="Times New Roman" w:ascii="Times New Roman" w:hAnsi="Times New Roman"/>
                <w:kern w:val="2"/>
                <w:sz w:val="24"/>
                <w:szCs w:val="24"/>
                <w:lang w:val="ru-RU" w:eastAsia="en-US" w:bidi="ar-SA"/>
              </w:rPr>
              <w:t xml:space="preserve">Совершенствование процессов управления в рамках полномочий исполнительных органов </w:t>
            </w:r>
            <w:r>
              <w:rPr>
                <w:rFonts w:eastAsia="Calibri" w:cs="Times New Roman" w:ascii="Times New Roman" w:hAnsi="Times New Roman"/>
                <w:kern w:val="2"/>
                <w:sz w:val="24"/>
                <w:szCs w:val="24"/>
                <w:shd w:fill="F44336" w:val="clear"/>
                <w:lang w:val="ru-RU" w:eastAsia="en-US" w:bidi="ar-SA"/>
              </w:rPr>
              <w:t>государственной власти</w:t>
            </w:r>
            <w:r>
              <w:rPr>
                <w:rFonts w:eastAsia="Calibri" w:cs="Times New Roman" w:ascii="Times New Roman" w:hAnsi="Times New Roman"/>
                <w:kern w:val="2"/>
                <w:sz w:val="24"/>
                <w:szCs w:val="24"/>
                <w:lang w:val="ru-RU" w:eastAsia="en-US" w:bidi="ar-SA"/>
              </w:rPr>
              <w:t xml:space="preserve"> Камчатского края </w:t>
            </w:r>
          </w:p>
          <w:p>
            <w:pPr>
              <w:pStyle w:val="Normal"/>
              <w:widowControl w:val="false"/>
              <w:suppressAutoHyphens w:val="true"/>
              <w:spacing w:lineRule="auto" w:line="240" w:before="0" w:after="0"/>
              <w:jc w:val="center"/>
              <w:rPr>
                <w:rFonts w:eastAsia="Calibri"/>
                <w:kern w:val="2"/>
                <w:sz w:val="24"/>
                <w:szCs w:val="24"/>
              </w:rPr>
            </w:pPr>
            <w:r>
              <w:rPr>
                <w:rFonts w:eastAsia="Calibri" w:cs="Times New Roman" w:ascii="Times New Roman" w:hAnsi="Times New Roman"/>
                <w:kern w:val="2"/>
                <w:sz w:val="24"/>
                <w:szCs w:val="24"/>
                <w:lang w:val="ru-RU" w:eastAsia="en-US" w:bidi="ar-SA"/>
              </w:rPr>
              <w:t xml:space="preserve">или органов местного самоуправления муниципальных образований в Камчатском крае, закрепленных за ними законодательством </w:t>
            </w:r>
          </w:p>
          <w:p>
            <w:pPr>
              <w:pStyle w:val="Normal"/>
              <w:widowControl w:val="false"/>
              <w:suppressAutoHyphens w:val="true"/>
              <w:spacing w:lineRule="auto" w:line="240" w:before="0" w:after="0"/>
              <w:jc w:val="center"/>
              <w:rPr>
                <w:rFonts w:eastAsia="Calibri"/>
                <w:kern w:val="2"/>
                <w:sz w:val="24"/>
                <w:szCs w:val="24"/>
              </w:rPr>
            </w:pPr>
            <w:r>
              <w:rPr>
                <w:rFonts w:eastAsia="Calibri" w:cs="Times New Roman" w:ascii="Times New Roman" w:hAnsi="Times New Roman"/>
                <w:kern w:val="2"/>
                <w:sz w:val="24"/>
                <w:szCs w:val="24"/>
                <w:lang w:val="ru-RU" w:eastAsia="en-US" w:bidi="ar-SA"/>
              </w:rPr>
              <w:t>Российской Федерации (далее – РФ), объектами государственной собственности Камчатского края и муниципальной собственности. Обеспечение равных условий доступа к информации о государственном (муниципальном) имуществе</w:t>
            </w:r>
          </w:p>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4.1.</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Формирование реестра хозяйствующих субъектов, доля участия Камчатского края или муниципального образования в Камчатском крае в которых составляет 50 и более процентов, с обозначением рынка их присутствия, указанием доли занимаемого рынка каждого такого хозяйствующего субъекта</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Анализ влияния предприятий с государственным (муниципальным) участием на развитие отраслевых рынков</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Количество организаций, размещенных в реестре (единиц) </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44</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43</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42</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41</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имущественных и земельных отношений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4.2. </w:t>
            </w:r>
          </w:p>
        </w:tc>
        <w:tc>
          <w:tcPr>
            <w:tcW w:w="2787"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Преобразование краевых государственных унитарных предприятий в хозяйственные общества</w:t>
            </w:r>
          </w:p>
        </w:tc>
        <w:tc>
          <w:tcPr>
            <w:tcW w:w="2481"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Сокращение количества государственных унитарных предприятий, действующих на товарных рынках</w:t>
            </w:r>
          </w:p>
        </w:tc>
        <w:tc>
          <w:tcPr>
            <w:tcW w:w="1447"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2022–2025</w:t>
            </w:r>
          </w:p>
        </w:tc>
        <w:tc>
          <w:tcPr>
            <w:tcW w:w="2547"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Количество приватизированных в 2022 - 2025 годах государственных унитарных предприятий Камчатского края (единиц)</w:t>
            </w:r>
          </w:p>
        </w:tc>
        <w:tc>
          <w:tcPr>
            <w:tcW w:w="838"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1</w:t>
            </w:r>
          </w:p>
        </w:tc>
        <w:tc>
          <w:tcPr>
            <w:tcW w:w="838"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2</w:t>
            </w:r>
          </w:p>
        </w:tc>
        <w:tc>
          <w:tcPr>
            <w:tcW w:w="842"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0</w:t>
            </w:r>
          </w:p>
        </w:tc>
        <w:tc>
          <w:tcPr>
            <w:tcW w:w="838"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0</w:t>
            </w:r>
          </w:p>
        </w:tc>
        <w:tc>
          <w:tcPr>
            <w:tcW w:w="2547"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Министерство имущественных и земельных отношений Камчатского края</w:t>
            </w:r>
          </w:p>
          <w:p>
            <w:pPr>
              <w:pStyle w:val="Normal"/>
              <w:widowControl w:val="false"/>
              <w:suppressAutoHyphens w:val="true"/>
              <w:spacing w:lineRule="auto" w:line="240" w:before="0" w:after="0"/>
              <w:jc w:val="left"/>
              <w:rPr>
                <w:rFonts w:ascii="Times New Roman" w:hAnsi="Times New Roman" w:eastAsia="Calibri" w:cs="Times New Roman"/>
                <w:kern w:val="0"/>
                <w:szCs w:val="28"/>
                <w:lang w:val="ru-RU" w:eastAsia="en-US"/>
              </w:rPr>
            </w:pPr>
            <w:r>
              <w:rPr>
                <w:rFonts w:eastAsia="Calibri" w:cs="Times New Roman" w:ascii="Times New Roman" w:hAnsi="Times New Roman"/>
                <w:kern w:val="0"/>
                <w:sz w:val="24"/>
                <w:szCs w:val="28"/>
                <w:lang w:val="ru-RU" w:eastAsia="en-US" w:bidi="ar-SA"/>
              </w:rPr>
              <w:t>(строка 4.2</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4.3.</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Определение состава имущества, находящегося в собственности Камчатского края, не используемого для реализации функций и полномочий органов </w:t>
            </w:r>
            <w:r>
              <w:rPr>
                <w:rFonts w:eastAsia="Calibri" w:cs="Times New Roman" w:ascii="Times New Roman" w:hAnsi="Times New Roman"/>
                <w:kern w:val="0"/>
                <w:sz w:val="24"/>
                <w:szCs w:val="24"/>
                <w:shd w:fill="F44336" w:val="clear"/>
                <w:lang w:val="ru-RU" w:eastAsia="en-US" w:bidi="ar-SA"/>
              </w:rPr>
              <w:t>государственной власти</w:t>
            </w:r>
            <w:r>
              <w:rPr>
                <w:rFonts w:eastAsia="Calibri" w:cs="Times New Roman" w:ascii="Times New Roman" w:hAnsi="Times New Roman"/>
                <w:kern w:val="0"/>
                <w:sz w:val="24"/>
                <w:szCs w:val="24"/>
                <w:lang w:val="ru-RU" w:eastAsia="en-US" w:bidi="ar-SA"/>
              </w:rPr>
              <w:t xml:space="preserve"> Камчатского края (далее – ОГВ)</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Сформирован перечень имущества, находящегося в собственности Камчатского края, не используемого для реализации функций и полномочий ОГВ</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01.01.2024</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объектов, включенных в перечень</w:t>
            </w: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4"/>
                <w:szCs w:val="24"/>
                <w:lang w:val="ru-RU" w:eastAsia="en-US" w:bidi="ar-SA"/>
              </w:rPr>
              <w:t xml:space="preserve">имущества, находящегося в собственности Камчатского края, не используемого для реализации функций и полномочий </w:t>
            </w:r>
            <w:r>
              <w:rPr>
                <w:rFonts w:eastAsia="Calibri" w:cs="Times New Roman" w:ascii="Times New Roman" w:hAnsi="Times New Roman"/>
                <w:kern w:val="0"/>
                <w:sz w:val="24"/>
                <w:szCs w:val="24"/>
                <w:shd w:fill="F44336" w:val="clear"/>
                <w:lang w:val="ru-RU" w:eastAsia="en-US" w:bidi="ar-SA"/>
              </w:rPr>
              <w:t>органов государственной власти Камчатского</w:t>
            </w:r>
            <w:r>
              <w:rPr>
                <w:rFonts w:eastAsia="Calibri" w:cs="Times New Roman" w:ascii="Times New Roman" w:hAnsi="Times New Roman"/>
                <w:kern w:val="0"/>
                <w:sz w:val="24"/>
                <w:szCs w:val="24"/>
                <w:lang w:val="ru-RU" w:eastAsia="en-US" w:bidi="ar-SA"/>
              </w:rPr>
              <w:t xml:space="preserve"> края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имущественных и земельных отношений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4.4.</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Составление плана-графика полной инвентаризации государственного имущества, в том числе закрепленного за предприятиями, учреждениями</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Сформирован план-график</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2022-2023</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предприятий и учреждений. включенных в план-график (единиц)</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имущественных и земельных отношений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4.5.</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инвентаризации государственного имущества, определение имущества, находящегося в собственности Камчатского края, не используемого для реализации функций ОГВ, включение указанного имущества в программу приватизации</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Сформирован перечень имущества, находящегося в собственности Камчатского края, не используемого для реализации функций ОГВ, для включения указанного имущества в программу приватизации</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План приватизации государственного имущества, находящегося в собственности Камчатского края (единиц)</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имущественных и земельных отношений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4.6.</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Приватизация имущества, находящегося в собственности Камчатского края, не используемого для реализации функций и полномочий ОГВ</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Обеспечена приватизация имущества, находящегося в собственности Камчатского края, не используемого для реализации функций и полномочий ОГВ</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31.12.2025</w:t>
            </w:r>
          </w:p>
        </w:tc>
        <w:tc>
          <w:tcPr>
            <w:tcW w:w="2547" w:type="dxa"/>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об итогах исполнения плана приватизации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имущественных и земельных отношений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4.7.</w:t>
            </w:r>
          </w:p>
        </w:tc>
        <w:tc>
          <w:tcPr>
            <w:tcW w:w="2787"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Организация и проведение публичных торгов по реализации указанного имущества</w:t>
            </w:r>
          </w:p>
        </w:tc>
        <w:tc>
          <w:tcPr>
            <w:tcW w:w="2481" w:type="dxa"/>
            <w:tcBorders/>
          </w:tcPr>
          <w:p>
            <w:pPr>
              <w:pStyle w:val="Normal"/>
              <w:widowControl w:val="false"/>
              <w:tabs>
                <w:tab w:val="clear" w:pos="708"/>
                <w:tab w:val="left" w:pos="1276" w:leader="none"/>
              </w:tabs>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Реализация государственного имущества, находящегося в собственности Камчатского края, не используемого для реализации функций и полномочий ОГВ</w:t>
            </w:r>
          </w:p>
        </w:tc>
        <w:tc>
          <w:tcPr>
            <w:tcW w:w="1447" w:type="dxa"/>
            <w:tcBorders/>
          </w:tcPr>
          <w:p>
            <w:pPr>
              <w:pStyle w:val="Normal"/>
              <w:widowControl w:val="false"/>
              <w:tabs>
                <w:tab w:val="clear" w:pos="708"/>
                <w:tab w:val="left" w:pos="1276" w:leader="none"/>
              </w:tabs>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2022–2025</w:t>
            </w:r>
          </w:p>
        </w:tc>
        <w:tc>
          <w:tcPr>
            <w:tcW w:w="2547" w:type="dxa"/>
            <w:tcBorders/>
          </w:tcPr>
          <w:p>
            <w:pPr>
              <w:pStyle w:val="Normal"/>
              <w:widowControl w:val="false"/>
              <w:tabs>
                <w:tab w:val="clear" w:pos="708"/>
                <w:tab w:val="left" w:pos="1276" w:leader="none"/>
              </w:tabs>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Количество проведенных торгов по реализации государственного имущества, находящегося в собственности Камчатского края (единиц)</w:t>
            </w:r>
          </w:p>
        </w:tc>
        <w:tc>
          <w:tcPr>
            <w:tcW w:w="838"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0</w:t>
            </w:r>
          </w:p>
        </w:tc>
        <w:tc>
          <w:tcPr>
            <w:tcW w:w="838"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3</w:t>
            </w:r>
          </w:p>
        </w:tc>
        <w:tc>
          <w:tcPr>
            <w:tcW w:w="842"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0</w:t>
            </w:r>
          </w:p>
        </w:tc>
        <w:tc>
          <w:tcPr>
            <w:tcW w:w="838"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0</w:t>
            </w:r>
          </w:p>
        </w:tc>
        <w:tc>
          <w:tcPr>
            <w:tcW w:w="2547"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Министерство имущественных и земельных отношений Камчатского края</w:t>
            </w:r>
          </w:p>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(строка 4.7</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4.8.</w:t>
            </w:r>
          </w:p>
        </w:tc>
        <w:tc>
          <w:tcPr>
            <w:tcW w:w="2787" w:type="dxa"/>
            <w:tcBorders/>
          </w:tcPr>
          <w:p>
            <w:pPr>
              <w:pStyle w:val="Normal"/>
              <w:widowControl w:val="false"/>
              <w:suppressAutoHyphens w:val="true"/>
              <w:spacing w:lineRule="auto" w:line="240" w:before="0" w:after="0"/>
              <w:jc w:val="left"/>
              <w:rPr>
                <w:rFonts w:eastAsia="Calibri"/>
                <w:sz w:val="24"/>
                <w:szCs w:val="24"/>
                <w:highlight w:val="yellow"/>
              </w:rPr>
            </w:pPr>
            <w:r>
              <w:rPr>
                <w:rFonts w:eastAsia="Calibri" w:cs="Times New Roman" w:ascii="Times New Roman" w:hAnsi="Times New Roman"/>
                <w:kern w:val="0"/>
                <w:sz w:val="24"/>
                <w:szCs w:val="24"/>
                <w:lang w:val="ru-RU" w:eastAsia="en-US" w:bidi="ar-SA"/>
              </w:rPr>
              <w:t>Определение состава муниципального имущества, не используемого для реализации функций и полномочий ОГВ</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01.01.2024</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объектов, включенных в перечень</w:t>
            </w: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4"/>
                <w:szCs w:val="24"/>
                <w:lang w:val="ru-RU" w:eastAsia="en-US" w:bidi="ar-SA"/>
              </w:rPr>
              <w:t>имущества муниципального имущества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Органы местного самоуправления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 согласованию)</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4.9.</w:t>
            </w:r>
          </w:p>
        </w:tc>
        <w:tc>
          <w:tcPr>
            <w:tcW w:w="2787" w:type="dxa"/>
            <w:tcBorders/>
          </w:tcPr>
          <w:p>
            <w:pPr>
              <w:pStyle w:val="Normal"/>
              <w:widowControl w:val="false"/>
              <w:suppressAutoHyphens w:val="true"/>
              <w:spacing w:lineRule="auto" w:line="240" w:before="0" w:after="0"/>
              <w:jc w:val="left"/>
              <w:rPr>
                <w:rFonts w:eastAsia="Calibri"/>
                <w:sz w:val="24"/>
                <w:szCs w:val="24"/>
                <w:highlight w:val="yellow"/>
              </w:rPr>
            </w:pPr>
            <w:r>
              <w:rPr>
                <w:rFonts w:eastAsia="Calibri" w:cs="Times New Roman" w:ascii="Times New Roman" w:hAnsi="Times New Roman"/>
                <w:kern w:val="0"/>
                <w:sz w:val="24"/>
                <w:szCs w:val="24"/>
                <w:lang w:val="ru-RU" w:eastAsia="en-US" w:bidi="ar-SA"/>
              </w:rPr>
              <w:t>Приватизация муниципального имущества, находящегося в собственности Камчатского края, не используемого для реализации функций и полномочий ОГВ</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об итогах исполнения плана приватизации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Органы местного самоуправления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 согласованию)</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4.10.</w:t>
            </w:r>
          </w:p>
        </w:tc>
        <w:tc>
          <w:tcPr>
            <w:tcW w:w="2787" w:type="dxa"/>
            <w:tcBorders/>
          </w:tcPr>
          <w:p>
            <w:pPr>
              <w:pStyle w:val="Normal"/>
              <w:widowControl w:val="false"/>
              <w:suppressAutoHyphens w:val="true"/>
              <w:spacing w:lineRule="auto" w:line="240" w:before="0" w:after="0"/>
              <w:jc w:val="left"/>
              <w:rPr>
                <w:rFonts w:eastAsia="Calibri"/>
                <w:sz w:val="24"/>
                <w:szCs w:val="24"/>
                <w:highlight w:val="lightGray"/>
              </w:rPr>
            </w:pPr>
            <w:r>
              <w:rPr>
                <w:rFonts w:eastAsia="Calibri" w:cs="Times New Roman" w:ascii="Times New Roman" w:hAnsi="Times New Roman"/>
                <w:kern w:val="0"/>
                <w:sz w:val="24"/>
                <w:szCs w:val="24"/>
                <w:lang w:val="ru-RU" w:eastAsia="en-US" w:bidi="ar-SA"/>
              </w:rPr>
              <w:t>Опубликование и актуализация на странице Министерства имущественных и земельных отношений Камчатского края сведений об объектах, учтенных в реестрах государственного имущества, а также информации об их реализации</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Повышение эффективности управления государственным и муниципальным имуществом</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проделанной работе (единиц)</w:t>
            </w:r>
          </w:p>
        </w:tc>
        <w:tc>
          <w:tcPr>
            <w:tcW w:w="838"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42"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Министерство имущественных и земельных отношений Камчатского края </w:t>
            </w:r>
          </w:p>
        </w:tc>
      </w:tr>
      <w:tr>
        <w:trPr/>
        <w:tc>
          <w:tcPr>
            <w:tcW w:w="15869" w:type="dxa"/>
            <w:gridSpan w:val="10"/>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 xml:space="preserve">5. Развитие механизмов поддержки технического и научно-технического творчества детей и молодежи, обучения их правовой, технологической </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грамотности и основам цифровой экономики,</w:t>
            </w:r>
            <w:r>
              <w:rPr>
                <w:rFonts w:eastAsia="Calibri" w:cs="Times New Roman" w:ascii="Times New Roman" w:hAnsi="Times New Roman"/>
                <w:kern w:val="2"/>
                <w:sz w:val="24"/>
                <w:szCs w:val="24"/>
                <w:lang w:val="ru-RU" w:eastAsia="en-US" w:bidi="ar-SA"/>
              </w:rPr>
              <w:t xml:space="preserve"> в том числе в рамках стационарных загородных лагерей с соответствующим специализированным уклоном,</w:t>
            </w:r>
            <w:r>
              <w:rPr>
                <w:rFonts w:eastAsia="Calibri" w:cs="Times New Roman" w:ascii="Times New Roman" w:hAnsi="Times New Roman"/>
                <w:kern w:val="0"/>
                <w:sz w:val="24"/>
                <w:szCs w:val="24"/>
                <w:lang w:val="ru-RU" w:eastAsia="en-US" w:bidi="ar-SA"/>
              </w:rPr>
              <w:t xml:space="preserve"> а также повышение их информированности о потенциальных возможностях саморазвития, обеспечения поддержки научной, </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творческой и предпринимательской активности</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5.1.</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Организация и проведение обучающих мероприятий (семинаров, «круглых столов», мастер-классов, совещаний) для представителей негосударственных, некоммерческих организаций, индивидуальных предпринимателей, осуществляющих деятельность научно-технической направленности, а также организация мероприятий в рамках стационарных загородных лагерей с соответствующим специализированным уклоном</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Поддержка технического и научно-технического творчества детей и молодежи</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проведенных мероприятий (семинаров, «круглых столов», мастер-классов, совещаний и прочих мероприятий)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5.2. </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и обеспечение деятельности центров детского и молодежного инновационного творчества, ориентированных на обеспечение деятельности в научно-технической сфере</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Поддержка технического и научно-технического творчества детей и молодежи</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центров детского и молодежного инновационного творчества</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15869" w:type="dxa"/>
            <w:gridSpan w:val="10"/>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6.1.</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Реализация подпрограммы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490-П</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экономики Камчатского края необходимыми трудовыми ресурсами</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Численность работников, привлеченных работодателями из других субъектов РФ для реализации инвестиционных проектов, включенных в подпрограмму «Повышение мобильности трудовых ресурсов Камчатского края» (человек)</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65</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65</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65</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труда и развития кадрового потенциала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6.2.</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Реализация мероприятий по профессиональному обучению и дополнительному профессиональному образованию лиц, обратившихся в органы службы занятости</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экономики Камчатского края необходимыми трудовыми ресурсами</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Численность направленных на обучение граждан (человек)</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670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670</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675</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680</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труда и развития кадрового потенциала Камчатского края</w:t>
            </w:r>
          </w:p>
        </w:tc>
      </w:tr>
      <w:tr>
        <w:trPr/>
        <w:tc>
          <w:tcPr>
            <w:tcW w:w="15869" w:type="dxa"/>
            <w:gridSpan w:val="10"/>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(International Abilympic Federation)</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7.1. </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2"/>
                <w:sz w:val="24"/>
                <w:szCs w:val="24"/>
                <w:lang w:val="ru-RU" w:eastAsia="en-US" w:bidi="ar-SA"/>
              </w:rPr>
              <w:t>Реализация проекта по внедрению практико-ориентированного (дуального) обучения</w:t>
            </w:r>
          </w:p>
        </w:tc>
        <w:tc>
          <w:tcPr>
            <w:tcW w:w="2481" w:type="dxa"/>
            <w:tcBorders/>
          </w:tcPr>
          <w:p>
            <w:pPr>
              <w:pStyle w:val="Normal"/>
              <w:widowControl w:val="false"/>
              <w:suppressAutoHyphens w:val="true"/>
              <w:spacing w:lineRule="auto" w:line="240" w:before="0" w:after="0"/>
              <w:jc w:val="both"/>
              <w:rPr>
                <w:rFonts w:eastAsia="Calibri"/>
                <w:sz w:val="24"/>
                <w:szCs w:val="24"/>
              </w:rPr>
            </w:pPr>
            <w:r>
              <w:rPr>
                <w:rFonts w:eastAsia="Calibri" w:cs="Times New Roman" w:ascii="Times New Roman" w:hAnsi="Times New Roman"/>
                <w:kern w:val="0"/>
                <w:sz w:val="24"/>
                <w:szCs w:val="24"/>
                <w:lang w:val="ru-RU" w:eastAsia="en-US" w:bidi="ar-SA"/>
              </w:rPr>
              <w:t>Профессиональное образование,</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ориентированное на реальное производство</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2"/>
                <w:sz w:val="24"/>
                <w:szCs w:val="24"/>
                <w:lang w:val="ru-RU" w:eastAsia="en-US" w:bidi="ar-SA"/>
              </w:rPr>
              <w:t>Доля студентов профессиональных образовательных организаций, обучающихся по образовательным программам среднего профессионального образования на основе дуальной модели</w:t>
            </w:r>
            <w:r>
              <w:rPr>
                <w:rFonts w:eastAsia="Calibri" w:cs="Times New Roman" w:ascii="Times New Roman" w:hAnsi="Times New Roman"/>
                <w:kern w:val="2"/>
                <w:sz w:val="24"/>
                <w:szCs w:val="24"/>
                <w:highlight w:val="green"/>
                <w:lang w:val="ru-RU" w:eastAsia="en-US" w:bidi="ar-SA"/>
              </w:rPr>
              <w:t xml:space="preserve"> </w:t>
            </w:r>
            <w:r>
              <w:rPr>
                <w:rFonts w:eastAsia="Calibri" w:cs="Times New Roman" w:ascii="Times New Roman" w:hAnsi="Times New Roman"/>
                <w:kern w:val="2"/>
                <w:sz w:val="24"/>
                <w:szCs w:val="24"/>
                <w:lang w:val="ru-RU" w:eastAsia="en-US" w:bidi="ar-SA"/>
              </w:rPr>
              <w:t>обучения от общего количества студентов, обучающихся по очной форме обучения (человек)</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12,0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14,0</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18,0</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7.2.</w:t>
            </w:r>
          </w:p>
        </w:tc>
        <w:tc>
          <w:tcPr>
            <w:tcW w:w="2787" w:type="dxa"/>
            <w:tcBorders/>
          </w:tcPr>
          <w:p>
            <w:pPr>
              <w:pStyle w:val="Normal"/>
              <w:widowControl w:val="false"/>
              <w:suppressAutoHyphens w:val="true"/>
              <w:spacing w:lineRule="auto" w:line="240" w:before="0" w:after="0"/>
              <w:jc w:val="left"/>
              <w:rPr>
                <w:rFonts w:eastAsia="Calibri"/>
                <w:sz w:val="24"/>
                <w:szCs w:val="24"/>
                <w:highlight w:val="yellow"/>
              </w:rPr>
            </w:pPr>
            <w:r>
              <w:rPr>
                <w:rFonts w:eastAsia="Calibri" w:cs="Times New Roman" w:ascii="Times New Roman" w:hAnsi="Times New Roman"/>
                <w:kern w:val="0"/>
                <w:sz w:val="24"/>
                <w:szCs w:val="24"/>
                <w:lang w:val="ru-RU" w:eastAsia="en-US" w:bidi="ar-SA"/>
              </w:rPr>
              <w:t>Проведение регионального чемпионата профессионального мастерства среди инвалидов и лиц с ограниченными возможностями здоровья «Абилимпикс» в Камчатском крае</w:t>
            </w:r>
          </w:p>
        </w:tc>
        <w:tc>
          <w:tcPr>
            <w:tcW w:w="2481" w:type="dxa"/>
            <w:tcBorders/>
          </w:tcPr>
          <w:p>
            <w:pPr>
              <w:pStyle w:val="Normal"/>
              <w:widowControl w:val="false"/>
              <w:suppressAutoHyphens w:val="true"/>
              <w:spacing w:lineRule="auto" w:line="240" w:before="0" w:after="0"/>
              <w:jc w:val="left"/>
              <w:rPr>
                <w:rFonts w:eastAsia="Calibri"/>
                <w:sz w:val="24"/>
                <w:szCs w:val="24"/>
                <w:highlight w:val="yellow"/>
              </w:rPr>
            </w:pPr>
            <w:r>
              <w:rPr>
                <w:rFonts w:eastAsia="Calibri" w:cs="Times New Roman" w:ascii="Times New Roman" w:hAnsi="Times New Roman"/>
                <w:kern w:val="0"/>
                <w:sz w:val="24"/>
                <w:szCs w:val="24"/>
                <w:lang w:val="ru-RU" w:eastAsia="en-US" w:bidi="ar-SA"/>
              </w:rPr>
              <w:t>Повышение мотивации к профессиональному обучению и снижению уровня безработицы среди людей с ограниченными возможностями здоровья</w:t>
            </w:r>
          </w:p>
        </w:tc>
        <w:tc>
          <w:tcPr>
            <w:tcW w:w="1447" w:type="dxa"/>
            <w:tcBorders/>
          </w:tcPr>
          <w:p>
            <w:pPr>
              <w:pStyle w:val="Normal"/>
              <w:widowControl w:val="false"/>
              <w:suppressAutoHyphens w:val="true"/>
              <w:spacing w:lineRule="auto" w:line="240" w:before="0" w:after="0"/>
              <w:jc w:val="center"/>
              <w:rPr>
                <w:rFonts w:eastAsia="Calibri"/>
                <w:sz w:val="24"/>
                <w:szCs w:val="24"/>
                <w:highlight w:val="yellow"/>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both"/>
              <w:rPr>
                <w:rFonts w:eastAsia="Calibri"/>
                <w:sz w:val="24"/>
                <w:szCs w:val="24"/>
                <w:highlight w:val="yellow"/>
              </w:rPr>
            </w:pPr>
            <w:r>
              <w:rPr>
                <w:rFonts w:eastAsia="Calibri" w:cs="Times New Roman" w:ascii="Times New Roman" w:hAnsi="Times New Roman"/>
                <w:kern w:val="0"/>
                <w:sz w:val="24"/>
                <w:szCs w:val="24"/>
                <w:lang w:val="ru-RU" w:eastAsia="en-US" w:bidi="ar-SA"/>
              </w:rPr>
              <w:t>Количество участников регионального чемпионата профессионального мастерства среди инвалидов и лиц с ограниченными возможностями здоровья «Абилимпикс» в Камчатском крае (человек)</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95</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15869" w:type="dxa"/>
            <w:gridSpan w:val="10"/>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 Содействие созданию и развитию институтов поддержки субъектов малого предпринимательства в инновационной деятельности</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(прежде всего финансирование начальной стадии развития организации и гарантия непрерывности поддержки),</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обеспечивающих благоприятную экономическую среду для среднего и крупного бизнеса</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8.1.</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Оказание поддержки СМСП в сфере инновационной деятельности (в том числе консультационной)</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Создание и развитие малых наукоемких предприятий в научно-технической сфере</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Количество СМСП, которым оказана поддержка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2</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4</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5</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Министерство экономического развития Камчатского края</w:t>
            </w:r>
          </w:p>
        </w:tc>
      </w:tr>
      <w:tr>
        <w:trPr/>
        <w:tc>
          <w:tcPr>
            <w:tcW w:w="15869" w:type="dxa"/>
            <w:gridSpan w:val="10"/>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 Повышение уровня финансовой грамотности населения (потребителей) и субъектов малого и среднего предпринимательства,</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в том числе путем увеличения доли населения, прошедшего обучение по повышению финансовой грамотност</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9.1.</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Координация работы по реализации региональной программы Камчатского края "Повышение финансовой грамотности населения Камчатского края на 2020-2023 годы", утвержденной распоряжением Правительства Камчатского края от 08.12.2020 № 600-РП</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Рост финансовой грамотности населения</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Общее количество мероприятий по обучению финансовой грамотности</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40</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60</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финансов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Отделение по Камчатскому краю Дальневосточного главного управления Центрального банка РФ (по согласованию)</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9.2.</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Оказание информационно-консультаци</w:t>
              <w:softHyphen/>
              <w:t>он</w:t>
              <w:softHyphen/>
              <w:t>ных услуг СМСП в области финансовой грамотности (семинары, форумы и прочие мероприятия)</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Рост финансовой грамотности СМСП</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Количество СМСП, прошедших обучение (человек)</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50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70</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80</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90</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Министерство экономического развития Камчатского края, Отделение по Камчатскому краю Дальневосточного главного управления Центрального банка РФ (по согласованию)</w:t>
            </w:r>
          </w:p>
        </w:tc>
      </w:tr>
      <w:tr>
        <w:trPr/>
        <w:tc>
          <w:tcPr>
            <w:tcW w:w="15869" w:type="dxa"/>
            <w:gridSpan w:val="10"/>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 xml:space="preserve">10. Обучение государственных гражданских служащих исполнительных органов </w:t>
            </w:r>
            <w:r>
              <w:rPr>
                <w:rFonts w:eastAsia="Calibri" w:cs="Times New Roman" w:ascii="Times New Roman" w:hAnsi="Times New Roman"/>
                <w:kern w:val="0"/>
                <w:sz w:val="24"/>
                <w:szCs w:val="24"/>
                <w:shd w:fill="F44336" w:val="clear"/>
                <w:lang w:val="ru-RU" w:eastAsia="en-US" w:bidi="ar-SA"/>
              </w:rPr>
              <w:t>государственной власти</w:t>
            </w:r>
            <w:r>
              <w:rPr>
                <w:rFonts w:eastAsia="Calibri" w:cs="Times New Roman" w:ascii="Times New Roman" w:hAnsi="Times New Roman"/>
                <w:kern w:val="0"/>
                <w:sz w:val="24"/>
                <w:szCs w:val="24"/>
                <w:lang w:val="ru-RU" w:eastAsia="en-US" w:bidi="ar-SA"/>
              </w:rPr>
              <w:t xml:space="preserve"> Камчатского края и работников</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их подведомственных предприятий и учреждений основам государственной политики в области развития конкуренции и антимонопольного</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законодательства РФ</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10.1.</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семинаров, разработка рекомендаций, обзоров изменений антимонопольного законодательства для проведения разъяснительной работы с ОГВ, подведомственными предприятиями и учреждениями, посвященных основам государственной политики в области развития конкуренции и наиболее проблемным вопросам применения антимонопольного законодательства</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Развитие конкуренции на рынках товаров, работ и услуг, сокращение нарушений антимонопольного законодательства</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проведенных семинаров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Управление Федеральной антимонопольной службы по Камчатскому краю (по согласованию)</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 xml:space="preserve">10.2. </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Проведение обучающих мероприятий для проведения разъяснительной работы с органами местного самоуправления муниципальных образований в Камчатском крае основам государственной политики в области развития конкуренции</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Развитие конкуренции на рынках товаров, работ и услуг, сокращение нарушений антимонопольного законодательства</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Количество обучающих мероприятий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2</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2</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2</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shd w:fill="FFFF00" w:val="clear"/>
                <w:lang w:val="ru-RU" w:eastAsia="en-US" w:bidi="ar-SA"/>
              </w:rPr>
              <w:t>2</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shd w:fill="FFFF00" w:val="clear"/>
                <w:lang w:val="ru-RU" w:eastAsia="en-US" w:bidi="ar-SA"/>
              </w:rPr>
              <w:t>Министерство экономического развития Камчатского края</w:t>
            </w:r>
          </w:p>
        </w:tc>
      </w:tr>
      <w:tr>
        <w:trPr/>
        <w:tc>
          <w:tcPr>
            <w:tcW w:w="15869" w:type="dxa"/>
            <w:gridSpan w:val="10"/>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p>
            <w:pPr>
              <w:pStyle w:val="Normal"/>
              <w:widowControl w:val="false"/>
              <w:tabs>
                <w:tab w:val="clear" w:pos="708"/>
                <w:tab w:val="left" w:pos="3525" w:leader="none"/>
              </w:tabs>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11. Создание и реализация механизмов общественного контроля за деятельностью субъектов естественных монополий в Камчатском крае</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11.1. </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Анализ данных об уровнях тарифов (цен), установленных субъектами естественных монополий за текущий и прошедший периоды</w:t>
            </w:r>
          </w:p>
        </w:tc>
        <w:tc>
          <w:tcPr>
            <w:tcW w:w="2481" w:type="dxa"/>
            <w:vMerge w:val="restart"/>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системы прозрачного формирования тарифов на услуги естественных монополий</w:t>
            </w:r>
          </w:p>
        </w:tc>
        <w:tc>
          <w:tcPr>
            <w:tcW w:w="1447" w:type="dxa"/>
            <w:vMerge w:val="restart"/>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vMerge w:val="restart"/>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проведенной работе (единиц)</w:t>
            </w:r>
          </w:p>
        </w:tc>
        <w:tc>
          <w:tcPr>
            <w:tcW w:w="838" w:type="dxa"/>
            <w:vMerge w:val="restart"/>
            <w:tcBorders/>
            <w:shd w:color="auto" w:fill="auto" w:val="clear"/>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8"/>
                <w:szCs w:val="28"/>
                <w:lang w:val="ru-RU" w:eastAsia="en-US" w:bidi="ar-SA"/>
              </w:rPr>
              <w:t>1</w:t>
            </w:r>
          </w:p>
        </w:tc>
        <w:tc>
          <w:tcPr>
            <w:tcW w:w="838" w:type="dxa"/>
            <w:vMerge w:val="restart"/>
            <w:tcBorders/>
            <w:shd w:color="auto" w:fill="auto" w:val="clear"/>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8"/>
                <w:szCs w:val="28"/>
                <w:lang w:val="ru-RU" w:eastAsia="en-US" w:bidi="ar-SA"/>
              </w:rPr>
              <w:t>1</w:t>
            </w:r>
          </w:p>
        </w:tc>
        <w:tc>
          <w:tcPr>
            <w:tcW w:w="842" w:type="dxa"/>
            <w:vMerge w:val="restart"/>
            <w:tcBorders/>
            <w:shd w:color="auto" w:fill="auto" w:val="clear"/>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8"/>
                <w:szCs w:val="28"/>
                <w:lang w:val="ru-RU" w:eastAsia="en-US" w:bidi="ar-SA"/>
              </w:rPr>
              <w:t>1</w:t>
            </w:r>
          </w:p>
        </w:tc>
        <w:tc>
          <w:tcPr>
            <w:tcW w:w="838" w:type="dxa"/>
            <w:vMerge w:val="restart"/>
            <w:tcBorders/>
            <w:shd w:color="auto" w:fill="auto" w:val="clear"/>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8"/>
                <w:szCs w:val="28"/>
                <w:lang w:val="ru-RU" w:eastAsia="en-US" w:bidi="ar-SA"/>
              </w:rPr>
              <w:t>1</w:t>
            </w:r>
          </w:p>
        </w:tc>
        <w:tc>
          <w:tcPr>
            <w:tcW w:w="2547" w:type="dxa"/>
            <w:vMerge w:val="restart"/>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Региональная служба по тарифам и ценам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11.2.</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Сбор данных об оценках эффективности реализации инвестиционных программ и отдельных инвестиционных проектов субъектов естественных монополий, в том числе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tc>
        <w:tc>
          <w:tcPr>
            <w:tcW w:w="2481"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1447"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547"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42"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547"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11.3.</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Реализация мер по учету мнения потребителей, в том числе Совета потребителей по вопросам деятельности субъектов естественных монополий в Камчатском крае, на начальных этапах разработки и утверждения инвестиционных программ</w:t>
            </w:r>
          </w:p>
        </w:tc>
        <w:tc>
          <w:tcPr>
            <w:tcW w:w="2481"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1447"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547"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42"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547"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11.4.</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Разработка механизма сбора предложений потребителей по вопросам деятельности субъектов естественных монополий, размещение информации на официальном сайте исполнительных органов </w:t>
            </w:r>
            <w:r>
              <w:rPr>
                <w:rFonts w:eastAsia="Calibri" w:cs="Times New Roman" w:ascii="Times New Roman" w:hAnsi="Times New Roman"/>
                <w:kern w:val="0"/>
                <w:sz w:val="24"/>
                <w:szCs w:val="24"/>
                <w:shd w:fill="F44336" w:val="clear"/>
                <w:lang w:val="ru-RU" w:eastAsia="en-US" w:bidi="ar-SA"/>
              </w:rPr>
              <w:t>государственной власти</w:t>
            </w:r>
            <w:r>
              <w:rPr>
                <w:rFonts w:eastAsia="Calibri" w:cs="Times New Roman" w:ascii="Times New Roman" w:hAnsi="Times New Roman"/>
                <w:kern w:val="0"/>
                <w:sz w:val="24"/>
                <w:szCs w:val="24"/>
                <w:lang w:val="ru-RU" w:eastAsia="en-US" w:bidi="ar-SA"/>
              </w:rPr>
              <w:t xml:space="preserve"> Камчатского края в информационно-телекоммуникационной сети «Интернет»</w:t>
            </w:r>
          </w:p>
        </w:tc>
        <w:tc>
          <w:tcPr>
            <w:tcW w:w="2481" w:type="dxa"/>
            <w:vMerge w:val="restart"/>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системы прозрачного формирования тарифов на услуги естественных монополий</w:t>
            </w:r>
          </w:p>
        </w:tc>
        <w:tc>
          <w:tcPr>
            <w:tcW w:w="1447" w:type="dxa"/>
            <w:vMerge w:val="restart"/>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vMerge w:val="restart"/>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проведенной работе (единиц)</w:t>
            </w:r>
          </w:p>
        </w:tc>
        <w:tc>
          <w:tcPr>
            <w:tcW w:w="838" w:type="dxa"/>
            <w:vMerge w:val="restart"/>
            <w:tcBorders/>
            <w:shd w:color="auto" w:fill="auto" w:val="clear"/>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8"/>
                <w:szCs w:val="28"/>
                <w:lang w:val="ru-RU" w:eastAsia="en-US" w:bidi="ar-SA"/>
              </w:rPr>
              <w:t>1</w:t>
            </w:r>
          </w:p>
        </w:tc>
        <w:tc>
          <w:tcPr>
            <w:tcW w:w="838" w:type="dxa"/>
            <w:vMerge w:val="restart"/>
            <w:tcBorders/>
            <w:shd w:color="auto" w:fill="auto" w:val="clear"/>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8"/>
                <w:szCs w:val="28"/>
                <w:lang w:val="ru-RU" w:eastAsia="en-US" w:bidi="ar-SA"/>
              </w:rPr>
              <w:t>1</w:t>
            </w:r>
          </w:p>
        </w:tc>
        <w:tc>
          <w:tcPr>
            <w:tcW w:w="842" w:type="dxa"/>
            <w:vMerge w:val="restart"/>
            <w:tcBorders/>
            <w:shd w:color="auto" w:fill="auto" w:val="clear"/>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8"/>
                <w:szCs w:val="28"/>
                <w:lang w:val="ru-RU" w:eastAsia="en-US" w:bidi="ar-SA"/>
              </w:rPr>
              <w:t>1</w:t>
            </w:r>
          </w:p>
        </w:tc>
        <w:tc>
          <w:tcPr>
            <w:tcW w:w="838" w:type="dxa"/>
            <w:vMerge w:val="restart"/>
            <w:tcBorders/>
            <w:shd w:color="auto" w:fill="auto" w:val="clear"/>
          </w:tcPr>
          <w:p>
            <w:pPr>
              <w:pStyle w:val="Normal"/>
              <w:widowControl w:val="false"/>
              <w:suppressAutoHyphens w:val="true"/>
              <w:spacing w:lineRule="auto" w:line="240" w:before="0" w:after="0"/>
              <w:jc w:val="center"/>
              <w:rPr>
                <w:rFonts w:eastAsia="Calibri"/>
              </w:rPr>
            </w:pPr>
            <w:r>
              <w:rPr>
                <w:rFonts w:eastAsia="Calibri" w:cs="Times New Roman" w:ascii="Times New Roman" w:hAnsi="Times New Roman"/>
                <w:kern w:val="0"/>
                <w:sz w:val="28"/>
                <w:szCs w:val="28"/>
                <w:lang w:val="ru-RU" w:eastAsia="en-US" w:bidi="ar-SA"/>
              </w:rPr>
              <w:t>1</w:t>
            </w:r>
          </w:p>
        </w:tc>
        <w:tc>
          <w:tcPr>
            <w:tcW w:w="2547" w:type="dxa"/>
            <w:vMerge w:val="restart"/>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Министерство жилищно-коммунального хозяйства и энергетики Камчатского края; </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11.5.</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Направление в Совет потребителей по вопросам деятельности субъектов естественных монополий в Камчатском крае имеющейся информации о возникающих у застройщиков проблемах с технологическим присоединением к сетям инженерно-технического обеспечения</w:t>
            </w:r>
          </w:p>
        </w:tc>
        <w:tc>
          <w:tcPr>
            <w:tcW w:w="2481"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1447"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547"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42"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838" w:type="dxa"/>
            <w:vMerge w:val="continue"/>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547" w:type="dxa"/>
            <w:vMerge w:val="continue"/>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11.6.</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Размещение субъектами естественных монополий, осуществляющими деятельность в Камчатском крае, информации для общего сведения о своей деятельности, обязательное раскрытие которой предусмотрено законодательством РФ</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системы прозрачного формирования тарифов на услуги естественных монополий</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проведенной работе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Региональная служба по тарифам и ценам Камчатского края</w:t>
            </w:r>
          </w:p>
        </w:tc>
      </w:tr>
      <w:tr>
        <w:trPr/>
        <w:tc>
          <w:tcPr>
            <w:tcW w:w="15869" w:type="dxa"/>
            <w:gridSpan w:val="10"/>
            <w:tcBorders/>
          </w:tcPr>
          <w:p>
            <w:pPr>
              <w:pStyle w:val="Normal"/>
              <w:widowControl w:val="false"/>
              <w:suppressAutoHyphens w:val="true"/>
              <w:spacing w:lineRule="auto" w:line="240" w:before="0" w:after="0"/>
              <w:jc w:val="left"/>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 xml:space="preserve">12. 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Камчатского края, в рамках соответствующего соглашения или меморандума между исполнительными органами </w:t>
            </w:r>
            <w:r>
              <w:rPr>
                <w:rFonts w:eastAsia="Calibri" w:cs="Times New Roman" w:ascii="Times New Roman" w:hAnsi="Times New Roman"/>
                <w:kern w:val="0"/>
                <w:sz w:val="24"/>
                <w:szCs w:val="24"/>
                <w:shd w:fill="F44336" w:val="clear"/>
                <w:lang w:val="ru-RU" w:eastAsia="en-US" w:bidi="ar-SA"/>
              </w:rPr>
              <w:t>государственной власти</w:t>
            </w:r>
            <w:r>
              <w:rPr>
                <w:rFonts w:eastAsia="Calibri" w:cs="Times New Roman" w:ascii="Times New Roman" w:hAnsi="Times New Roman"/>
                <w:kern w:val="0"/>
                <w:sz w:val="24"/>
                <w:szCs w:val="24"/>
                <w:lang w:val="ru-RU" w:eastAsia="en-US" w:bidi="ar-SA"/>
              </w:rPr>
              <w:t xml:space="preserve"> Камчатского края и органами местного самоуправления муниципальных образований</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в Камчатском крае</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12.1.</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Корректировка типовых административных регламентов в сфере строительства для органов местного самоуправления муниципальных образований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в Камчатском крае в целях соблюдения требований действующего законодательства</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условий максимального благоприятствования хозяйствующим субъектам при входе на рынок</w:t>
            </w:r>
          </w:p>
        </w:tc>
        <w:tc>
          <w:tcPr>
            <w:tcW w:w="14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скорректированных типовых административных регламентов в сфере строительства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строительства и жилищной политики Камчатского края</w:t>
            </w:r>
          </w:p>
        </w:tc>
      </w:tr>
      <w:tr>
        <w:trPr/>
        <w:tc>
          <w:tcPr>
            <w:tcW w:w="704"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12.2.</w:t>
            </w:r>
          </w:p>
        </w:tc>
        <w:tc>
          <w:tcPr>
            <w:tcW w:w="278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Утверждение и корректировка административных регламентов органов местного самоуправления муниципальных образований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в Камчатском крае в соответствии с внесенными изменениями в федеральное законодательство в сфере строительства</w:t>
            </w:r>
          </w:p>
        </w:tc>
        <w:tc>
          <w:tcPr>
            <w:tcW w:w="2481"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условий максимального благоприятствования хозяйствующим субъектам при входе на рынок</w:t>
            </w:r>
          </w:p>
        </w:tc>
        <w:tc>
          <w:tcPr>
            <w:tcW w:w="1447"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547" w:type="dxa"/>
            <w:tcBorders/>
          </w:tcPr>
          <w:p>
            <w:pPr>
              <w:pStyle w:val="Normal"/>
              <w:widowControl w:val="false"/>
              <w:suppressAutoHyphens w:val="true"/>
              <w:spacing w:lineRule="auto" w:line="240" w:before="0" w:after="0"/>
              <w:jc w:val="both"/>
              <w:rPr>
                <w:rFonts w:eastAsia="Calibri"/>
                <w:sz w:val="24"/>
                <w:szCs w:val="24"/>
              </w:rPr>
            </w:pPr>
            <w:r>
              <w:rPr>
                <w:rFonts w:eastAsia="Calibri" w:cs="Times New Roman" w:ascii="Times New Roman" w:hAnsi="Times New Roman"/>
                <w:kern w:val="0"/>
                <w:sz w:val="24"/>
                <w:szCs w:val="24"/>
                <w:lang w:val="ru-RU" w:eastAsia="en-US" w:bidi="ar-SA"/>
              </w:rPr>
              <w:t xml:space="preserve">Количество утвержденных и откорректированных административных регламентов органов местного самоуправления муниципальных образований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в Камчатском крае в сфере строительства (единиц)</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135</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135</w:t>
            </w:r>
          </w:p>
        </w:tc>
        <w:tc>
          <w:tcPr>
            <w:tcW w:w="84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135</w:t>
            </w:r>
          </w:p>
        </w:tc>
        <w:tc>
          <w:tcPr>
            <w:tcW w:w="838"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135</w:t>
            </w:r>
          </w:p>
        </w:tc>
        <w:tc>
          <w:tcPr>
            <w:tcW w:w="254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строительства и жилищной политики Камчатского края</w:t>
            </w:r>
          </w:p>
        </w:tc>
      </w:tr>
    </w:tbl>
    <w:p>
      <w:pPr>
        <w:pStyle w:val="Normal"/>
        <w:spacing w:lineRule="auto" w:line="24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jc w:val="center"/>
        <w:rPr>
          <w:rFonts w:ascii="Times New Roman" w:hAnsi="Times New Roman" w:eastAsia="Calibri" w:cs="Times New Roman"/>
          <w:sz w:val="28"/>
          <w:szCs w:val="28"/>
        </w:rPr>
      </w:pPr>
      <w:r>
        <w:rPr>
          <w:rFonts w:eastAsia="Calibri" w:cs="Times New Roman" w:ascii="Times New Roman" w:hAnsi="Times New Roman"/>
          <w:sz w:val="28"/>
          <w:szCs w:val="28"/>
        </w:rPr>
        <w:t>Раздел 3. Мероприятия, направленные на достижение ключевых показателей развития конкуренции на товарных рынках Камчатского края</w:t>
      </w:r>
    </w:p>
    <w:tbl>
      <w:tblPr>
        <w:tblStyle w:val="3"/>
        <w:tblW w:w="16013"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704"/>
        <w:gridCol w:w="2834"/>
        <w:gridCol w:w="2268"/>
        <w:gridCol w:w="1420"/>
        <w:gridCol w:w="2834"/>
        <w:gridCol w:w="993"/>
        <w:gridCol w:w="991"/>
        <w:gridCol w:w="852"/>
        <w:gridCol w:w="992"/>
        <w:gridCol w:w="2123"/>
      </w:tblGrid>
      <w:tr>
        <w:trPr/>
        <w:tc>
          <w:tcPr>
            <w:tcW w:w="704"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w:t>
            </w:r>
            <w:r>
              <w:rPr>
                <w:rFonts w:eastAsia="Calibri" w:cs="Times New Roman" w:ascii="Times New Roman" w:hAnsi="Times New Roman"/>
                <w:kern w:val="0"/>
                <w:sz w:val="24"/>
                <w:szCs w:val="24"/>
                <w:lang w:val="en-US" w:eastAsia="en-US" w:bidi="ar-SA"/>
              </w:rPr>
              <w:t>/</w:t>
            </w:r>
            <w:r>
              <w:rPr>
                <w:rFonts w:eastAsia="Calibri" w:cs="Times New Roman" w:ascii="Times New Roman" w:hAnsi="Times New Roman"/>
                <w:kern w:val="0"/>
                <w:sz w:val="24"/>
                <w:szCs w:val="24"/>
                <w:lang w:val="ru-RU" w:eastAsia="en-US" w:bidi="ar-SA"/>
              </w:rPr>
              <w:t>п</w:t>
            </w:r>
          </w:p>
        </w:tc>
        <w:tc>
          <w:tcPr>
            <w:tcW w:w="2834"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Наименование мероприятия</w:t>
            </w:r>
          </w:p>
        </w:tc>
        <w:tc>
          <w:tcPr>
            <w:tcW w:w="2268"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Ожидаемый результат</w:t>
            </w:r>
          </w:p>
        </w:tc>
        <w:tc>
          <w:tcPr>
            <w:tcW w:w="1420"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Срок исполнения</w:t>
            </w:r>
          </w:p>
        </w:tc>
        <w:tc>
          <w:tcPr>
            <w:tcW w:w="2834"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 xml:space="preserve">Наименование ключевого показателя </w:t>
            </w:r>
          </w:p>
        </w:tc>
        <w:tc>
          <w:tcPr>
            <w:tcW w:w="3828" w:type="dxa"/>
            <w:gridSpan w:val="4"/>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Значение ключевого показателя</w:t>
            </w:r>
          </w:p>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2123" w:type="dxa"/>
            <w:vMerge w:val="restart"/>
            <w:tcBorders/>
            <w:vAlign w:val="cente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Ответственные исполнители</w:t>
            </w:r>
          </w:p>
        </w:tc>
      </w:tr>
      <w:tr>
        <w:trPr/>
        <w:tc>
          <w:tcPr>
            <w:tcW w:w="704"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2834"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2268"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1420"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2834"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31.12. 2022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31.12. 2023</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31.12.2024</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w:t>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2025</w:t>
            </w:r>
          </w:p>
        </w:tc>
        <w:tc>
          <w:tcPr>
            <w:tcW w:w="2123" w:type="dxa"/>
            <w:vMerge w:val="continue"/>
            <w:tcBorders/>
          </w:tcPr>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r>
    </w:tbl>
    <w:p>
      <w:pPr>
        <w:pStyle w:val="Normal"/>
        <w:spacing w:lineRule="auto" w:line="240" w:before="0" w:after="0"/>
        <w:rPr>
          <w:sz w:val="2"/>
          <w:szCs w:val="2"/>
        </w:rPr>
      </w:pPr>
      <w:r>
        <w:rPr>
          <w:sz w:val="2"/>
          <w:szCs w:val="2"/>
        </w:rPr>
      </w:r>
    </w:p>
    <w:tbl>
      <w:tblPr>
        <w:tblStyle w:val="3"/>
        <w:tblW w:w="16013"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704"/>
        <w:gridCol w:w="2807"/>
        <w:gridCol w:w="27"/>
        <w:gridCol w:w="2242"/>
        <w:gridCol w:w="26"/>
        <w:gridCol w:w="1420"/>
        <w:gridCol w:w="2767"/>
        <w:gridCol w:w="67"/>
        <w:gridCol w:w="993"/>
        <w:gridCol w:w="991"/>
        <w:gridCol w:w="852"/>
        <w:gridCol w:w="992"/>
        <w:gridCol w:w="2123"/>
      </w:tblGrid>
      <w:tr>
        <w:trPr>
          <w:tblHeader w:val="true"/>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834" w:type="dxa"/>
            <w:gridSpan w:val="2"/>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2268" w:type="dxa"/>
            <w:gridSpan w:val="2"/>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2834" w:type="dxa"/>
            <w:gridSpan w:val="2"/>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w:t>
            </w:r>
          </w:p>
        </w:tc>
        <w:tc>
          <w:tcPr>
            <w:tcW w:w="212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 Рынок услуг дошкольного образования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Конкурентная среда в сфере дошкольного образования Камчатского края формируется деятельностью 140 муниципальных и государственных образовательных организаций, в числе которых: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- 102 муниципальные дошкольные образовательные организации;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- 38 организаций, реализующих программу дошкольного образования.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На рынке услуг дошкольного образования и присмотра и ухода за детьми дошкольного возраста участвуют 11 индивидуальных предпринимателей и 1 негосударственная организация.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Основными проблемами развития рынка услуг дошкольного образования, выявленными по результатам мониторинга развития конкуренции, проведённого в 2021 году,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отсутствие помещений, соответствующих требованиям СанПиН дошкольного образования;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высокий размер арендной платы за помещения, предоставляемые индивидуальным предпринимателям;</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высокие тарифы ЖКХ.</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связи с чем, во многих частных детских садах установлен высокий размер родительской платы (от 13 000 до 20 000 руб.) по отношению к размеру родительской платы в муниципальных дошкольных образовательных организациях Петропавловск-Камчатского городского округа (5 244,8 руб.).</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Меры, направленные на развитие конкуренции, поддержку организаций негосударственного сектора на рынке услуг дошкольного образования предусмотрены:</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государственной программой Камчатского края «Развитие образования в Камчатском крае», утверждённой постановлением Правительства Камчатского края от 29.11.2013 № 532-П.</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Анализ состояния развития негосударственного сектора в сфере дошкольного образования показал высокий уровень удовлетворённости услугами, предоставляемыми негосударственным сектором в сфере дошкольного образования.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рамках финансовой поддержки негосударственных организаций, оказывающих услуги в сфере образования, предоставляются: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компенсация части платы, взимаемой с родителей (законных представителей) в образовательных организациях в Камчатском крае, реализующих образовательные программы (у индивидуальных предпринимателей, имеющих лицензию на образовательную деятельность);</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субсидия из краевого бюджета на возмещение расходов, связанных с предоставлением дошкольного образования (индивидуальным предпринимателям, имеющим лицензию на осуществление образовательной деятельности).</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Субсидирование затрат на образовательную деятельность негосударственных организаций, индивидуальных предпринимателей, реализующих программы дошкольного образования (на конкурсной основе)</w:t>
            </w:r>
          </w:p>
        </w:tc>
        <w:tc>
          <w:tcPr>
            <w:tcW w:w="2268" w:type="dxa"/>
            <w:gridSpan w:val="2"/>
            <w:tcBorders/>
          </w:tcPr>
          <w:p>
            <w:pPr>
              <w:pStyle w:val="Normal"/>
              <w:widowControl w:val="false"/>
              <w:suppressAutoHyphens w:val="true"/>
              <w:spacing w:lineRule="auto" w:line="240" w:before="0" w:after="0"/>
              <w:jc w:val="left"/>
              <w:rPr>
                <w:rFonts w:eastAsia="Calibri"/>
                <w:color w:val="000000"/>
                <w:sz w:val="24"/>
                <w:szCs w:val="24"/>
              </w:rPr>
            </w:pPr>
            <w:r>
              <w:rPr>
                <w:rFonts w:eastAsia="Calibri" w:cs="Times New Roman" w:ascii="Times New Roman" w:hAnsi="Times New Roman"/>
                <w:color w:val="000000"/>
                <w:kern w:val="0"/>
                <w:sz w:val="24"/>
                <w:szCs w:val="24"/>
                <w:lang w:val="ru-RU" w:eastAsia="en-US" w:bidi="ar-SA"/>
              </w:rPr>
              <w:t xml:space="preserve">Разработаны меры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 </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детей, получающих образование в организациях частной формы собственности, от общего числа детей, получающих образование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Методическое и информационное сопровождение негосударственных организаций, индивидуальных предпринимателей, оказывающих услуги в сфере дошкольного образования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Методическая поддержка сектора частных дошкольных образовательных организаций</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проведенных мероприятий (семинаров, «круглых столов», мастер-классов, совещаний и др. мероприятий) для представителей негосударственных организаций, индивидуальных предпринимателей, оказывающих услуги в сфере дошкольного образования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Содействие повышению квалификации педагогических работников, административно-управленческого персонала негосударственных организаций, индивидуальных предпринимателей, оказывающих услуги в сфере дошкольного образования, привлечение их в качестве слушателей на курсы повышения квалификации работников системы образования Камчатского края</w:t>
            </w:r>
          </w:p>
        </w:tc>
        <w:tc>
          <w:tcPr>
            <w:tcW w:w="2268" w:type="dxa"/>
            <w:gridSpan w:val="2"/>
            <w:tcBorders/>
          </w:tcPr>
          <w:p>
            <w:pPr>
              <w:pStyle w:val="Normal"/>
              <w:widowControl w:val="false"/>
              <w:suppressAutoHyphens w:val="true"/>
              <w:spacing w:lineRule="auto" w:line="240" w:before="0" w:after="0"/>
              <w:jc w:val="both"/>
              <w:rPr>
                <w:rFonts w:eastAsia="Calibri"/>
                <w:sz w:val="24"/>
                <w:szCs w:val="24"/>
              </w:rPr>
            </w:pPr>
            <w:r>
              <w:rPr>
                <w:rFonts w:eastAsia="Calibri" w:cs="Times New Roman" w:ascii="Times New Roman" w:hAnsi="Times New Roman"/>
                <w:kern w:val="0"/>
                <w:sz w:val="24"/>
                <w:szCs w:val="24"/>
                <w:lang w:val="ru-RU" w:eastAsia="en-US" w:bidi="ar-SA"/>
              </w:rPr>
              <w:t>Методическая поддержка сектора частных дошкольных образовательных организаций</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Численность работников негосударственных организаций, индивидуальных предпринимателей, оказывающих услуги в сфере дошкольного образования, прошедших повышение квалификации (нарастающим итогом) (человек)</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16011" w:type="dxa"/>
            <w:gridSpan w:val="13"/>
            <w:tcBorders/>
          </w:tcPr>
          <w:p>
            <w:pPr>
              <w:pStyle w:val="Normal"/>
              <w:widowControl w:val="false"/>
              <w:tabs>
                <w:tab w:val="clear" w:pos="708"/>
                <w:tab w:val="left" w:pos="9712" w:leader="none"/>
              </w:tabs>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 Рынок услуг среднего профессионального образования</w:t>
            </w:r>
          </w:p>
          <w:p>
            <w:pPr>
              <w:pStyle w:val="Normal"/>
              <w:widowControl w:val="false"/>
              <w:tabs>
                <w:tab w:val="clear" w:pos="708"/>
                <w:tab w:val="left" w:pos="9712" w:leader="none"/>
              </w:tabs>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На территории Камчатского края подготовку кадров по образовательным программам среднего профессионального образования осуществляют 11 профессиональных образовательных организаций, в том числе 1 негосударственная - профессиональное образовательное частное учреждение «Камчатский кооперативный техникум» (далее – ПОЧУ «Камчатский кооперативный техникум»). В 2021-2022 учебном году контингент студентов ПОЧУ «Камчатский кооперативный техникум» составляет 905 чел., что составляет 12 % от общего числа студентов профессиональных образовательных организаций Камчатского края. ПОЧУ «Камчатский кооперативный техникум» ежегодно принимает участие в конкурсе на распределение контрольных цифр приёма по образовательным программам среднего профессионального образования за счёт средств краевого бюджета. Так, в 2021-2022 учебном году счёт средств краевого бюджета обучается 297 человек, что составляет 4,5% от общего количества студентов, обучающихся за счёт средств краевого бюджета. Субсидия, предоставляемая частной образовательной организации, направлена на выплаты по оплате труда персонала, принимающего непосредственное участие в учебном процессе, на приобретение учебников и учебных пособий, средств обучения.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Субсидирование затрат на образовательную деятельность негосударственных организаций, реализующих программы среднего профессионального </w:t>
            </w:r>
            <w:r>
              <w:rPr>
                <w:rFonts w:eastAsia="Calibri" w:cs="Times New Roman" w:ascii="Times New Roman" w:hAnsi="Times New Roman"/>
                <w:color w:val="000000"/>
                <w:kern w:val="0"/>
                <w:sz w:val="24"/>
                <w:szCs w:val="24"/>
                <w:lang w:val="ru-RU" w:eastAsia="en-US" w:bidi="ar-SA"/>
              </w:rPr>
              <w:t>образования (на конкурсной основе)</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Финансовая поддержка сектора частных профессиональных образовательных организаций</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студентов, обучающихся по программам среднего профессионального образования в организациях частной формы собственности, от общего числа студентов, получающих среднее профессиональное образование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Содействие повышению квалификации педагогических работников, административно- управленческого персонала негосударственных организаций, индивидуальных предпринимателей, оказывающих услуги в сфере среднего профессионального образования, привлечение их в качестве слушателей на курсы повышения квалификации работников системы образования Камчатского края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Методическая поддержка сектора частных профессиональных образовательных организаций</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both"/>
              <w:rPr>
                <w:rFonts w:eastAsia="Calibri"/>
                <w:sz w:val="24"/>
                <w:szCs w:val="24"/>
              </w:rPr>
            </w:pPr>
            <w:r>
              <w:rPr>
                <w:rFonts w:eastAsia="Calibri" w:cs="Times New Roman" w:ascii="Times New Roman" w:hAnsi="Times New Roman"/>
                <w:kern w:val="0"/>
                <w:sz w:val="24"/>
                <w:szCs w:val="24"/>
                <w:lang w:val="ru-RU" w:eastAsia="en-US" w:bidi="ar-SA"/>
              </w:rPr>
              <w:t>Удельный вес численности работников негосударственных организаций, индивидуальных предпринимателей, оказывающих услуги в сфере среднего профессионального образования, прошедших повышение квалификации (нарастающим итогом) (человек)</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 Рынок услуг общего образования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Постановлением Законодательного Собрания Камчатского края от 27.04.2021 № 1079 принят Закон Камчатского края от 21.05.2021 № 592 «О наделении органов местного самоуправления муниципальных образований в Камчатском крае государственным полномочием Камчатского края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настоящее время в Камчатском крае отсутствуют общеобразовательные организации частной формы собственности.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Проблемы:</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отсутствие практики ведения бизнеса в данном виде рынка услуг в Камчатском крае, отсутствие его аналитики;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недостаточное предоставление государственных или муниципальных преференций органами </w:t>
            </w:r>
            <w:r>
              <w:rPr>
                <w:rFonts w:eastAsia="Calibri" w:cs="Times New Roman" w:ascii="Times New Roman" w:hAnsi="Times New Roman"/>
                <w:kern w:val="0"/>
                <w:sz w:val="24"/>
                <w:szCs w:val="24"/>
                <w:shd w:fill="F44336" w:val="clear"/>
                <w:lang w:val="ru-RU" w:eastAsia="en-US" w:bidi="ar-SA"/>
              </w:rPr>
              <w:t>государственной власти</w:t>
            </w:r>
            <w:r>
              <w:rPr>
                <w:rFonts w:eastAsia="Calibri" w:cs="Times New Roman" w:ascii="Times New Roman" w:hAnsi="Times New Roman"/>
                <w:kern w:val="0"/>
                <w:sz w:val="24"/>
                <w:szCs w:val="24"/>
                <w:lang w:val="ru-RU" w:eastAsia="en-US" w:bidi="ar-SA"/>
              </w:rPr>
              <w:t xml:space="preserve"> Камчатского края и (или) органами местного самоуправления частным образовательным организациям, реализующим основные общеобразовательные программы;</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высокий размер арендной платы за помещения, предоставляемые индивидуальным предпринимателям;</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высокие тарифы ЖКХ;</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высокая стоимость образовательных услуг, в которую входит организация горячего питания школьников.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целях развития рынка услуг общего образования детей Минобразования Камчатского края осуществляется: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анализ целевого использования государственных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и (или) муниципально-частного партнёрства,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дополнительного образования;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оказание методической, консультационной и информационной поддержки негосударственным организациям, оказывающим услуги в сфере общего образования.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Предоставление субсидий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общеобразовательных организаций частной формы собственности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Финансовая поддержка сектора частных дошкольных образовательных организаций</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Методическое и информационное сопровождение негосударственных организаций, индивидуальных предпринимателей, оказывающих услуги в сфере общего образования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Методическая поддержка сектора частных общеобразовательных организаций</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проведённых мероприятий (семинаров, «круглых столов», мастер-классов, совещаний и др. мероприятий) для представителей негосударственных организаций, индивидуальных предпринимателей, оказывающих услуги в сфере дошкольного образования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Содействие повышению квалификации педагогических работников, административно-управленческого персонала негосударственных организаций, индивидуальных предпринимателей, оказывающих услуги в сфере общего образования, привлечение их в качестве слушателей на курсы повышения квалификации работников системы образования Камчатского края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Методическая поддержка сектора частных общеобразовательных организаций</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Численность работников негосударственных организаций, индивидуальных предпринимателей, оказывающих услуги в сфере общего образования, прошедших повышение квалификации (нарастающим итогом) (человек)</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 Рынок услуг дополнительного образования детей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2021 году негосударственный сектор в сфере дополнительного образования представлен 43 организациями (41,75%), в которых обучаются 3 043 ребёнка (9,3% от общего числа детей, охваченных программами дополнительного образования).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целях создания здоровой конкурентной среды на рынке услуг дополнительного образования и повышения их уровня открытости в настоящее время актуально расширение сети организаций дополнительного образования через развитие негосударственного сектора образовательных учреждений в данной сфере, а также для достижения целевых показателей по увеличению к 2024 году числа детей в возрасте от 5 до 18 лет, обучающихся по дополнительным образовательным программам, в общей численности детей этого возраста до 82%, так как:</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решается задача дефицита узких направленностей;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повышается разнообразие и расширение ассортимента образовательных программ для детей и молодёжи;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стимулируется развитие малого и среднего предпринимательства;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развитие конкуренции на рынке услуг дополнительного образования.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Основными административными и экономическими барьерами на рынке услуг дополнительного образования являются: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высокая стоимость аренды помещений;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высокая стоимость оборудования для занятий, расходных материалов;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высокая стоимость обучения в частных организациях по отношению к бесплатным объединениям в государственных и муниципальных организациях дополнительного образования (как следствие первых 2 фактора).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целях дальнейшего развития рынка услуг дополнительного образования детей Министерством образования Камчатского края осуществляется: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анализ целевого использования государственных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партнёрства,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дополнительного образования;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внедрение системы персонифицированного финансирования дополнительного образования детей;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оказание методической, консультационной и информационной поддержки негосударственным организациям, оказывающим услуги в сфере дополнительного образования.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color w:val="000000"/>
                <w:sz w:val="24"/>
                <w:szCs w:val="24"/>
              </w:rPr>
            </w:pPr>
            <w:r>
              <w:rPr>
                <w:rFonts w:eastAsia="Calibri" w:cs="Times New Roman" w:ascii="Times New Roman" w:hAnsi="Times New Roman"/>
                <w:color w:val="000000"/>
                <w:kern w:val="2"/>
                <w:sz w:val="24"/>
                <w:szCs w:val="24"/>
                <w:lang w:val="ru-RU" w:eastAsia="en-US" w:bidi="ar-SA"/>
              </w:rPr>
              <w:t xml:space="preserve">Внедрение и распространение системы персонифицированного финансирования дополнительного образования детей, </w:t>
            </w:r>
            <w:r>
              <w:rPr>
                <w:rFonts w:eastAsia="Calibri" w:cs="Times New Roman" w:ascii="Times New Roman" w:hAnsi="Times New Roman"/>
                <w:color w:val="000000"/>
                <w:kern w:val="0"/>
                <w:sz w:val="24"/>
                <w:szCs w:val="24"/>
                <w:lang w:val="ru-RU" w:eastAsia="en-US" w:bidi="ar-SA"/>
              </w:rPr>
              <w:t xml:space="preserve">образовательных организаций всех форм собственности и индивидуальных предпринимателей </w:t>
            </w:r>
          </w:p>
          <w:p>
            <w:pPr>
              <w:pStyle w:val="Normal"/>
              <w:widowControl w:val="false"/>
              <w:suppressAutoHyphens w:val="true"/>
              <w:spacing w:lineRule="auto" w:line="240" w:before="0" w:after="0"/>
              <w:jc w:val="left"/>
              <w:rPr>
                <w:rFonts w:eastAsia="Calibri"/>
                <w:color w:val="000000"/>
              </w:rPr>
            </w:pPr>
            <w:r>
              <w:rPr>
                <w:rFonts w:eastAsia="Calibri" w:cs="Times New Roman" w:ascii="Times New Roman" w:hAnsi="Times New Roman"/>
                <w:color w:val="000000"/>
                <w:kern w:val="0"/>
                <w:sz w:val="24"/>
                <w:szCs w:val="24"/>
                <w:lang w:val="ru-RU" w:eastAsia="en-US" w:bidi="ar-SA"/>
              </w:rPr>
              <w:t>(за исключением финансирования дополнительного образования в детских школах искусств)</w:t>
            </w:r>
            <w:r>
              <w:rPr>
                <w:rFonts w:eastAsia="Calibri" w:cs="Times New Roman" w:ascii="Times New Roman" w:hAnsi="Times New Roman"/>
                <w:color w:val="000000"/>
                <w:kern w:val="0"/>
                <w:sz w:val="28"/>
                <w:szCs w:val="28"/>
                <w:lang w:val="ru-RU" w:eastAsia="en-US" w:bidi="ar-SA"/>
              </w:rPr>
              <w:t xml:space="preserve"> </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Расширение вариативности дополнительных общеразвивающих программ</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31.12.2023</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Число выданных сертификатов</w:t>
            </w: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4"/>
                <w:szCs w:val="24"/>
                <w:lang w:val="ru-RU" w:eastAsia="en-US" w:bidi="ar-SA"/>
              </w:rPr>
              <w:t>персонифицированного финансирования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1500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1800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2000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Оказание методической и консультативной помощи частным образовательным организациям, в том числе физическим лицам по вопросам включения в ГИС «Навигатор дополнительного образования Камчатского края»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негосударственных организаций в сфере услуг дополнительного образования детей, имеющих лицензию, включённых в ГИС «Навигатор дополнительного образования Камчатского края», процентов</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в сфере услуг дополнительного образования детей,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 Рынок услуг детского отдыха и оздоровления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2021 году доля частных детских оздоровительных лагерей составляет 75% (4 лагеря).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Основной проблемой развития данного рынка является 75% наполняемость лагерей с учётом санитарно-эпидемиологических требований, что связано с угрозой распространения коронавирусной инфекции.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качестве мер для развития прорабатывается вопрос передачи частному инвестору загородного ДОЛ «Восход» по концессионному соглашению.</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Выплата денежных средств на частичную оплату стоимости путевки в загородные стационарные детские оздоровительные лагеря частной собственности на финансовое обеспечение затрат в связи с представлением загородными стационарными детскими оздоровительными лагерями услуг по отдыху и оздоровлению детей</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Times New Roman" w:cs="Times New Roman" w:ascii="Times New Roman" w:hAnsi="Times New Roman"/>
                <w:kern w:val="0"/>
                <w:sz w:val="24"/>
                <w:szCs w:val="24"/>
                <w:lang w:val="ru-RU" w:eastAsia="ru-RU" w:bidi="ar-SA"/>
              </w:rPr>
              <w:t>Повышение качества услуг, улучшение инфраструктуры и материально-технической базы негосударственных оздоровительно-образовательных организаций</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Увеличение численности детей в возрасте от 6 до 18 лет, получающих услуги с учетом частичного возмещения стоимости путевки за отдых в частных (негосударственных) загородных стационарных детских оздоровительных лагерях (человек)</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2000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2150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2300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2400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Повышение информированности представителей негосударственного сектора в сфере отдыха и оздоровления детей об изменениях законодательства, регулирующего сферу детского отдыха, а также о новых методических разработках по организации детского отдыха</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Информирование представителей негосударственного сектора в целях развития сферы отдыха и оздоровления детей</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CYR" w:ascii="Times New Roman CYR" w:hAnsi="Times New Roman CYR"/>
                <w:kern w:val="0"/>
                <w:sz w:val="24"/>
                <w:szCs w:val="24"/>
                <w:lang w:val="ru-RU" w:eastAsia="en-US" w:bidi="ar-SA"/>
              </w:rPr>
              <w:t xml:space="preserve">Количество информационных сообщений об изменениях законодательства, регулирующего сферу детского отдыха, а также о новых методических разработках по организации детского отдыха, размещаемых на странице Министерства образования Камчатского края Камчатского края сайта Правительства Камчатского края </w:t>
            </w:r>
            <w:r>
              <w:rPr>
                <w:rFonts w:eastAsia="Calibri" w:cs="Times New Roman" w:ascii="Times New Roman" w:hAnsi="Times New Roman"/>
                <w:kern w:val="0"/>
                <w:sz w:val="24"/>
                <w:szCs w:val="24"/>
                <w:lang w:val="ru-RU" w:eastAsia="en-US" w:bidi="ar-SA"/>
              </w:rPr>
              <w:t>(единиц)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образования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 Рынок социальных услуг</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соответствии с Федеральным законом от 28.12.2013 № 442-ФЗ «Об основах социального обслуживания граждан в Российской Федерации» поставщиком социальных услуг могут быть не только организации социального обслуживания, но и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осуществляющие социальное обслуживание, а также индивидуальные предприниматели.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Привлечение на рынок социальных услуг негосударственных организаций позволит не только уменьшить время нахождения в очереди за услугой среди получателей социальных услуг, но и повысить качество социальных услуг ввиду появления конкуренции среди поставщиков социальных услуг.</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По состоянию на 01.12.2021 в реестр поставщиков социальных услуг Камчатского края включены 30 организаций социального обслуживания, в том числе 13 негосударственных организаций, из которых 4 организации некоммерческие.</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течение 2021 года доля граждан, нуждающихся в социальном обслуживании, получивших социальные услуги у негосударственных поставщиков социальных услуг, от общего количества граждан, получивших социальные услуги, составила 3,48%.</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целях повышения конкуренции и обеспечения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приказом Министерства социального развития и труда Камчатского края от 24.12.2014 № 1255-п утвержден Порядок выплаты компенсации поставщику(ам) социальных услуг, включенному(ым) в реестр поставщиков социальных услуг Камчатского края, но не участвующему(им) в выполнении государственного задания (заказа), у которого(ых) гражданин получает социальные услуги, предусмотренные программой предоставления социальных услуг.</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6.1.</w:t>
            </w:r>
          </w:p>
        </w:tc>
        <w:tc>
          <w:tcPr>
            <w:tcW w:w="2834" w:type="dxa"/>
            <w:gridSpan w:val="2"/>
            <w:tcBorders/>
          </w:tcPr>
          <w:p>
            <w:pPr>
              <w:pStyle w:val="Normal"/>
              <w:widowControl w:val="false"/>
              <w:tabs>
                <w:tab w:val="clear" w:pos="708"/>
                <w:tab w:val="left" w:pos="993" w:leader="none"/>
              </w:tabs>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Мониторинг деятельности государственных организаций социального обслуживания и негосударственных поставщиков Камчатского края, и проведение оптимизационных мероприятий в государственных организациях, при одновременном увеличении количества и повышения качества услуг, предоставляемых негосударственными организациями</w:t>
            </w:r>
          </w:p>
        </w:tc>
        <w:tc>
          <w:tcPr>
            <w:tcW w:w="2268" w:type="dxa"/>
            <w:gridSpan w:val="2"/>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Увеличено количество негосударственных организаций на рынке оказания социальных услуг в Камчатском крае</w:t>
            </w:r>
          </w:p>
        </w:tc>
        <w:tc>
          <w:tcPr>
            <w:tcW w:w="1420"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Доля частных организаций, оказывающих социальные услуги (процентов)</w:t>
            </w:r>
          </w:p>
        </w:tc>
        <w:tc>
          <w:tcPr>
            <w:tcW w:w="993"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37,9</w:t>
            </w:r>
          </w:p>
        </w:tc>
        <w:tc>
          <w:tcPr>
            <w:tcW w:w="99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37,9</w:t>
            </w:r>
          </w:p>
        </w:tc>
        <w:tc>
          <w:tcPr>
            <w:tcW w:w="852"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40,0</w:t>
            </w:r>
          </w:p>
        </w:tc>
        <w:tc>
          <w:tcPr>
            <w:tcW w:w="992"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40,0</w:t>
            </w:r>
          </w:p>
        </w:tc>
        <w:tc>
          <w:tcPr>
            <w:tcW w:w="2123"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Министерство социального благополучия и семейной политики Камчатского края</w:t>
            </w:r>
          </w:p>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(строка 6.1</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bCs/>
                <w:kern w:val="0"/>
                <w:sz w:val="24"/>
                <w:szCs w:val="24"/>
                <w:lang w:val="ru-RU" w:eastAsia="en-US" w:bidi="ar-SA"/>
              </w:rPr>
              <w:t>Оказание методической и консультативной помощи негосударственным организациям по порядку предоставления субсидий</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Повышение информированности СМСП о действующих мерах поддержки</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проведенных мероприятий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социального благополучия и семейной политики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 Рынок в сфере туризма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В Камчатском крае рынок туристских и гостиничных услуг представлен в основном частным сектором. Доля хозяйствующих субъектов частной формы собственности на рынке туристских услуг по отношению к общему количеству организаций туристской сферы составляет 98,4 %, на рынке гостиничных услуг по отношению к общему количеству организаций гостиничной сферы 95,24 %. Заметны изменения конкурентной среды во времени по видам экономической деятельности и по категориям бизнеса.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К особенностям рынка туристских услуг можно отнести достаточно легкое вхождение в бизнес.  Развитие конкуренции на рынке туристских услуг в Камчатском крае можно охарактеризовать как стабильно увеличивающуюся, что также подтверждает и число организаций оказывающие туристские услуги: 2019г. – 296 (88 –туроператоры, 208 – турагентства), 2020г. – 349 (107 –туроператоры, 242 – турагентства), 2021г. (оценка за 9 мес.) – 338 (120 –туроператоры, 218 – турагентства). Также в Камчатском крае прослеживается увеличение коллективных средств размещения: 2019г. – 151, 2020г. – 155, 2021г. – 158.</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Административные барьеры не являются существенным препятствием для входа на рынок туризма для СМСП. Вместе с тем, существуют ограничивающие факторы для появления новых субъектов рынка: большие затраты на транспортную и инженерную инфраструктуру при создании туристских объектов; отсутствие доступных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 невысокое качество обслуживания во всех секторах туристской индустрии вследствие недостатка профессиональных кадров; недостаточное продвижение камчатского турпродукта на туристских рынках.</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Устранение указанных факторов позволит создать условия для развития конкуренции в сфере туристских услуг и даст возможность формированию благоприятной среды и «атмосферы гостеприимства» в Камчатском крае. В целях устранения выявленных проблем и развития рынка следует выделить следующие приоритетные задачи: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1) создание современной туристической инфраструктуры высокого уровня, качества услуг в сфере туризма. Реализация инвестиционных проектов туристской отрасли, в том числе в режимах ТОР и СПВ;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2) реализация мероприятий государственной программы Камчатского края «Развитие внутреннего и въездного туризма в Камчатском крае» по развитию инфраструктуры муниципальных образований, оснащению туристских маршрутов Камчатского края туристской навигацией, продвижению туристского продукта на мировом рынке, обучению представителей сферы туризма;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3) создание условий для увеличения числа СМСП в сфере туризма;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4) улучшение взаимодействия (совещания, форумы, краевые мероприятия) с СМСП в сфере туризма, выработка совместных решений для эффективного развития туризма.</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bCs/>
                <w:kern w:val="0"/>
                <w:sz w:val="24"/>
                <w:szCs w:val="24"/>
                <w:lang w:val="ru-RU" w:eastAsia="en-US" w:bidi="ar-SA"/>
              </w:rPr>
              <w:t>Мониторинг конкурентной среды в сфере туристических услуг</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Актуальные реестры СМСП, оказывающих услуги в сфере туризма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КПЭ не установлен (мероприятие носит организационный характер)</w:t>
            </w:r>
          </w:p>
        </w:tc>
        <w:tc>
          <w:tcPr>
            <w:tcW w:w="993" w:type="dxa"/>
            <w:tcBorders/>
          </w:tcPr>
          <w:p>
            <w:pPr>
              <w:pStyle w:val="Normal"/>
              <w:widowControl w:val="false"/>
              <w:suppressAutoHyphens w:val="true"/>
              <w:spacing w:lineRule="auto" w:line="240" w:before="0" w:after="0"/>
              <w:jc w:val="center"/>
              <w:rPr>
                <w:rFonts w:eastAsia="Calibri"/>
                <w:b/>
                <w:b/>
                <w:sz w:val="24"/>
                <w:szCs w:val="24"/>
              </w:rPr>
            </w:pPr>
            <w:r>
              <w:rPr>
                <w:rFonts w:eastAsia="Calibri" w:cs="Times New Roman" w:ascii="Times New Roman" w:hAnsi="Times New Roman"/>
                <w:kern w:val="0"/>
                <w:sz w:val="28"/>
                <w:szCs w:val="28"/>
                <w:lang w:val="ru-RU" w:eastAsia="en-US" w:bidi="ar-SA"/>
              </w:rPr>
              <w:t>–</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туризма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bCs/>
                <w:kern w:val="0"/>
                <w:sz w:val="24"/>
                <w:szCs w:val="24"/>
                <w:lang w:val="ru-RU" w:eastAsia="en-US" w:bidi="ar-SA"/>
              </w:rPr>
              <w:t>Проведение отраслевых совещаний с бизнесом по выявлению и устранению административных барьеров и существующих проблем в сфере туристических услуг</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Эффективное выявление административных барьеров и текущих проблем в сфере туристических услуг и подготовка перечня мер по их устранению</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проведенных совещаний с предпринимателями сферы туризма по выявлению проблем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туризма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bCs/>
                <w:kern w:val="0"/>
                <w:sz w:val="24"/>
                <w:szCs w:val="24"/>
                <w:lang w:val="ru-RU" w:eastAsia="en-US" w:bidi="ar-SA"/>
              </w:rPr>
              <w:t>Организация и проведение семинаров, консультаций, мастер- классов, направленных на повышение профессионального уровня организаций предпринимательства в сфере туризма</w:t>
            </w:r>
          </w:p>
        </w:tc>
        <w:tc>
          <w:tcPr>
            <w:tcW w:w="2268" w:type="dxa"/>
            <w:gridSpan w:val="2"/>
            <w:tcBorders/>
          </w:tcPr>
          <w:p>
            <w:pPr>
              <w:pStyle w:val="Normal"/>
              <w:widowControl w:val="false"/>
              <w:suppressAutoHyphens w:val="true"/>
              <w:spacing w:lineRule="auto" w:line="240" w:before="0" w:after="0"/>
              <w:contextualSpacing/>
              <w:jc w:val="both"/>
              <w:rPr>
                <w:rFonts w:eastAsia="Calibri"/>
                <w:sz w:val="24"/>
                <w:szCs w:val="24"/>
              </w:rPr>
            </w:pPr>
            <w:r>
              <w:rPr>
                <w:rFonts w:eastAsia="Calibri" w:cs="Times New Roman" w:ascii="Times New Roman" w:hAnsi="Times New Roman"/>
                <w:kern w:val="0"/>
                <w:sz w:val="24"/>
                <w:szCs w:val="24"/>
                <w:lang w:val="ru-RU" w:eastAsia="en-US" w:bidi="ar-SA"/>
              </w:rPr>
              <w:t xml:space="preserve">Повышение качества обслуживания туристов турфирмами Камчатского края;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повышение конкурентоспособности коллективных средств размещения  </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профессионально обученных в сфере туризма (человек)</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150</w:t>
            </w:r>
          </w:p>
          <w:p>
            <w:pPr>
              <w:pStyle w:val="Normal"/>
              <w:widowControl w:val="false"/>
              <w:suppressAutoHyphens w:val="true"/>
              <w:spacing w:lineRule="auto" w:line="240" w:before="0" w:after="0"/>
              <w:jc w:val="center"/>
              <w:rPr>
                <w:rFonts w:eastAsia="Calibri"/>
                <w:sz w:val="24"/>
                <w:szCs w:val="24"/>
              </w:rPr>
            </w:pPr>
            <w:r>
              <w:rPr>
                <w:rFonts w:eastAsia="Calibri"/>
                <w:sz w:val="24"/>
                <w:szCs w:val="24"/>
              </w:rPr>
            </w:r>
          </w:p>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8"/>
                <w:lang w:val="ru-RU" w:eastAsia="en-US" w:bidi="ar-SA"/>
              </w:rPr>
              <w:t>(графа 9 строки 7.3 строка 6.1</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туризма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7.4.</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bCs/>
                <w:kern w:val="0"/>
                <w:sz w:val="24"/>
                <w:szCs w:val="24"/>
                <w:lang w:val="ru-RU" w:eastAsia="en-US" w:bidi="ar-SA"/>
              </w:rPr>
              <w:t>Разработка комплекса мероприятий, направленных на увеличение числа СМСП, занимающихся предпринимательской деятельностью в сфере туризма</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Увеличение числа СМСП в сфере туризма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туристских компаний, осуществляющих деятельность в сфере внутреннего въездного туризма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88,5</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89</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89,5</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туризма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7.5.</w:t>
            </w:r>
          </w:p>
        </w:tc>
        <w:tc>
          <w:tcPr>
            <w:tcW w:w="2834" w:type="dxa"/>
            <w:gridSpan w:val="2"/>
            <w:tcBorders/>
            <w:shd w:color="auto" w:fill="auto" w:val="clear"/>
          </w:tcPr>
          <w:p>
            <w:pPr>
              <w:pStyle w:val="Normal"/>
              <w:widowControl w:val="false"/>
              <w:suppressAutoHyphens w:val="true"/>
              <w:spacing w:lineRule="auto" w:line="240" w:before="0" w:after="0"/>
              <w:jc w:val="both"/>
              <w:rPr>
                <w:rFonts w:eastAsia="Calibri"/>
                <w:bCs/>
                <w:sz w:val="24"/>
                <w:szCs w:val="24"/>
              </w:rPr>
            </w:pPr>
            <w:r>
              <w:rPr>
                <w:rFonts w:eastAsia="Calibri" w:cs="Times New Roman" w:ascii="Times New Roman" w:hAnsi="Times New Roman"/>
                <w:bCs/>
                <w:kern w:val="0"/>
                <w:sz w:val="24"/>
                <w:szCs w:val="24"/>
                <w:lang w:val="ru-RU" w:eastAsia="en-US" w:bidi="ar-SA"/>
              </w:rPr>
              <w:t>Создание туристической инфраструктуры</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Увеличение созданных и обустроенных туристских объектов в муниципальных образованиях в Камчатском крае, включая обустройство «точек притяжения туристов»;</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расширение и актуализация перечня «точек притяжения туристов»;</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нового турпродукта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созданных/реконструированных объектов туристической инфраструктуры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туризма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7.6.</w:t>
            </w:r>
          </w:p>
        </w:tc>
        <w:tc>
          <w:tcPr>
            <w:tcW w:w="2834" w:type="dxa"/>
            <w:gridSpan w:val="2"/>
            <w:tcBorders/>
            <w:shd w:color="auto" w:fill="FFFFFF" w:val="clear"/>
          </w:tcPr>
          <w:p>
            <w:pPr>
              <w:pStyle w:val="Normal"/>
              <w:widowControl w:val="false"/>
              <w:suppressAutoHyphens w:val="true"/>
              <w:spacing w:lineRule="auto" w:line="240" w:before="0" w:after="0"/>
              <w:jc w:val="both"/>
              <w:rPr>
                <w:rFonts w:eastAsia="Calibri"/>
                <w:bCs/>
                <w:sz w:val="24"/>
                <w:szCs w:val="24"/>
              </w:rPr>
            </w:pPr>
            <w:r>
              <w:rPr>
                <w:rFonts w:eastAsia="Calibri" w:cs="Times New Roman" w:ascii="Times New Roman" w:hAnsi="Times New Roman"/>
                <w:bCs/>
                <w:kern w:val="0"/>
                <w:sz w:val="24"/>
                <w:szCs w:val="24"/>
                <w:lang w:val="ru-RU" w:eastAsia="en-US" w:bidi="ar-SA"/>
              </w:rPr>
              <w:t>Расширение сети туристических информационных центров</w:t>
            </w:r>
          </w:p>
        </w:tc>
        <w:tc>
          <w:tcPr>
            <w:tcW w:w="2268" w:type="dxa"/>
            <w:gridSpan w:val="2"/>
            <w:tcBorders/>
          </w:tcPr>
          <w:p>
            <w:pPr>
              <w:pStyle w:val="Normal"/>
              <w:widowControl w:val="false"/>
              <w:suppressAutoHyphens w:val="true"/>
              <w:spacing w:lineRule="auto" w:line="240" w:before="0" w:after="0"/>
              <w:contextualSpacing/>
              <w:jc w:val="both"/>
              <w:rPr>
                <w:rFonts w:eastAsia="Calibri"/>
                <w:sz w:val="24"/>
                <w:szCs w:val="24"/>
              </w:rPr>
            </w:pPr>
            <w:r>
              <w:rPr>
                <w:rFonts w:eastAsia="Calibri" w:cs="Times New Roman" w:ascii="Times New Roman" w:hAnsi="Times New Roman"/>
                <w:kern w:val="0"/>
                <w:sz w:val="24"/>
                <w:szCs w:val="24"/>
                <w:lang w:val="ru-RU" w:eastAsia="en-US" w:bidi="ar-SA"/>
              </w:rPr>
              <w:t>Увеличение количества туристических информационных центров;</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увеличение количества посетителей туристических информационных центров</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посетителей туристических информационных центров (человек)</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550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600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650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700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туризма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 Рынок медицинских услуг</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настоящее время в Камчатском крае имеют лицензии на медицинскую деятельность 108 организаций частной формы собственности (70 %) и 46 государственных учреждений здравоохранения. Несмотря на влияние на развитие конкурентной среды в сфере здравоохранения государственных медицинских организаций, в Камчатском крае отмечается устойчивая тенденция увеличения доли медицинских организаций негосударственной формы собственности в общем количестве организаций. Рынок платных медицинских услуг имеет ежегодную тенденцию к незначительному росту.</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Основными проблемами на указанном товарном рынке в Камчатском крае, в части вхождения частных медицинских компаний на рынок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неудовлетворенность в тарифе на некоторые виды медицинских услуг, что обусловлено тем, что утвержденные тарифы на оказание медицинских услуг не в полной мере позволяют полностью покрывать реальные затраты, произведенные при оказании данной медицинской услуги;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значительные требования к оказанным медицинским услугам и оформлению документации со стороны медицинских страховых компаний, участвующих в реализации Территориальной программы обязательного медицинского страхования (далее - ТП ОМС);</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большой объем отчетности в системе обязательного медицинского страхования.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Выходом из сложившейся ситуации может послужить:</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внесение изменений в Федеральный закон от 29.11.2010 № 326-ФЗ «Об обязательном медицинском страховании в Российской Федерации» в части установления права на получение медицинскими организациями частных форм собственности части расходов, не покрытых тарифом на оказание медицинской помощи в системе обязательного медицинского страхования, за счет средств пациента, то есть оплаты услуг за счет двух источников;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получение частными компаниями лицензий на оказание наиболее востребованных у пациентов услуг: высокотехнологичной, специализированной медицинской помощи, услуг на реабилитацию и др., которую оказывает ограниченное количество государственных медицинских организаций края, что увеличивает сроки ожидания услуги у пациентов.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настоящее время существенным административным барьером, затрудняющим ведение бизнеса в сфере здравоохранения, является лицензирование медицинской деятельности для оказания отдельных медицинских услуг. В пределах 90 % частных медицинских организаций в Камчатском крае относятся к микропредприятиям, то есть численность сотрудников этих предприятий составляет до 15 чел., и они не имеют значительных финансовых ресурсов для полного оснащения медицинским оборудованием в рамках постановления Правительства РФ от 01.06.2021 № 852. Внесение соответствующих изменений в нормативные документы позволит упростить малому бизнесу доступ к оказанию медицинских услуг.</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Проведенные семинары, сессии, рабочие встречи и работа по увеличению тарифа на виды медицинских услуг в системе ОМС, оказанные в рамках ТП ОМС, позволят увеличить число медицинских организаций частной формы собственности, участвующих в ТП ОМС. Проведенная работа также приводит к диверсификации рынка медицинских услуг частным сектором.</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Камчатского края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Снижение административных барьеров для выхода на товарный рынок</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СМСП на товарном рынке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73</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77</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здравоохранения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Снижение административных барьеров на рынке медицинских услуг</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отраслевых совещаний по выявлению и устранению</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административных барьеров на рынке медицинских услуг</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отраслевых совещаний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здравоохранения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информационно-разъяснительной работы для частных медицинских организаций по вхождению и работе в системе обязательного медицинского страхования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Участие СМСП в Территориальной программе государственных гарантий бесплатного оказания гражданам медицинской помощи на территории Камчатского края</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негосударственных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Камчатского края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17,8</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18,0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18,5</w:t>
            </w:r>
          </w:p>
        </w:tc>
        <w:tc>
          <w:tcPr>
            <w:tcW w:w="992"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ru-RU" w:eastAsia="en-US" w:bidi="ar-SA"/>
              </w:rPr>
              <w:t>19,0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здравоохранения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 Рынок услуг розничной торговли лекарственными препаратами, медицинскими изделиями и сопутствующими товарами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настоящее время в Камчатском крае розничную фармацевтическую деятельность осуществляют 47 аптечных организаций. В общей структуре доля частного сектора занимает 89 % (42 аптечные организации), муниципальной формы собственности - 9 % (4 аптечных организаций), государственных - 2 % (1 аптечная организация).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Учитывая жесткие требования, предъявляемые к обороту наркотических средств и психотропных веществ, в Камчатском крае частные медицинские организации и частные аптеки не участвуют в данном сегменте рынка.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Сегмент рынка розничной торговли лекарственными средствами в Камчатском крае представлен аптечными организациями различной формы собственности (точка продаж).</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Актуальной проблемой уже в течение многих лет в Камчатском крае остается проблема лекарственного обеспечения жителей, проживающих в отдаленных и труднодоступных районах Камчатского края. В ряде сельских поселений отсутствуют аптечные организации. Это связано с тем, что для осуществления фармацевтической деятельности в сфере обращения лекарственных средств для медицинского применения требуется наличие у специалиста высшего либо среднего фармацевтического образования. Отсутствие фармацевтических кадров не позволяет частным аптечным организациям открывать филиалы в отдаленных и труднодоступных районах Камчатского края. Кроме того, в сельских отдаленных территориях края существует проблема недостаточного сбыта лекарств через аптеки частных форм собственности, в связи с завышенными ценами, так как расходы на логистику очень высоки.</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Оказание методической и консультационной помощи СМСП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Повышена информационная</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грамотность предпринимателей,</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осуществляющих хозяйственную</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деятельность на рынке</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Доля организаций частной формы собственности </w:t>
            </w:r>
          </w:p>
          <w:p>
            <w:pPr>
              <w:pStyle w:val="Normal"/>
              <w:widowControl w:val="false"/>
              <w:suppressAutoHyphens w:val="true"/>
              <w:spacing w:lineRule="auto" w:line="240" w:before="0" w:after="0"/>
              <w:jc w:val="left"/>
              <w:rPr>
                <w:rFonts w:eastAsia="Calibri"/>
                <w:color w:val="000000"/>
                <w:sz w:val="24"/>
                <w:szCs w:val="24"/>
              </w:rPr>
            </w:pPr>
            <w:r>
              <w:rPr>
                <w:rFonts w:eastAsia="Calibri" w:cs="Times New Roman" w:ascii="Times New Roman" w:hAnsi="Times New Roman"/>
                <w:color w:val="000000"/>
                <w:kern w:val="0"/>
                <w:sz w:val="24"/>
                <w:szCs w:val="24"/>
                <w:lang w:val="ru-RU" w:eastAsia="en-US" w:bidi="ar-SA"/>
              </w:rPr>
              <w:t>на рынках розничной торговли лекарственными препаратами, медицинскими изделиями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65</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67</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68</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здравоохранения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Содействие подготовке квалифицированных кадров для работы в организациях</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квалифицированными кадрами фармацевтические организации</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фармацевтических специалистов, выпускаемых ГБОУ СПО «Камчатский медицинский колледж» в общем количестве выпускаемых специалистов в Камчатском крае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14</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18</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Министерство здравоохранения Камчатского края </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Обеспечение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Доступные лекарственные препараты, медицинские изделия и сопутствующие товары в отдаленных, труднодоступных и малочисленных населенных пунктах</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Наличие аптечных пунктов в отдаленных района Камчатского края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14</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18</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здравоохранения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 Розничная торговля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По состоянию на 01.01.2020 доля частных организаций на рынке услуг розничной торговли по отношению к общему количеству организаций розничной торговли составила 98,76 %.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Общее количество организаций розничной торговли составляет 891, из них 880 относятся к частным, 11 - к государственным и муниципальным организациям.</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Основными проблемами и факторами, сдерживающими развитие конкуренции в сфере розничной торговли,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1) высокая доля транспортных затрат в себестоимости продукции;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2) сосредоточенность торговых объектов в крупных населенных пунктах Камчатского края;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3) низкий уровень развития транспортной инфраструктуры, которая имеет наиболее критичные значения по техническим характеристикам в Корякском округе;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4) высокий уровень социальной стратификации среди населения муниципальных образований в Камчатском крае;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5) отсутствие развитого оптового звена с соответствующей инфраструктурой;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6) зависимость от экономических условий, связанных с падением курса национальной валюты;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7) демографический кризис на фоне отрицательного миграционного прироста;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8) недостаточность оборотных средств организаций торговли и ограниченная доступность финансовых ресурсов;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9) проникновение на рынок контрафактной и низкокачественной продукции;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10) территориальная отдаленность региона от центральных районов с развитой производственной инфраструктурой.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целях устранения выявленных проблем и развития конкуренции на рынке необходимо выделить следующие задач:</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 xml:space="preserve">- формирование развитой системы товародвижения, создающей благоприятные возможности для товаропроизводителей края и способствующей оптимальному соотношению на потребительском рынке местных и завозимых товаров;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сбалансированное развитие всех форматов торговли на территории Камчатского края, нацеленных на создание полноценной рыночной среды, удовлетворение спроса населения на потребительские товары;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создание эффективной конкурентной среды для предотвращения монополизации отдельных секторов рынка, стабилизации цен и улучшение качества обслуживания;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развитие сети магазинов, расположенных в радиусе пешеходной доступности и торгующих повседневным ассортиментом продовольственных и непродовольственных товаров, максимально приближенным к местам проживания населения;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обеспечение первоочередной доступности товаров местных товаропроизводителей в торговую сеть Камчатского края, в том числе путем организации собственных товаропроизводящих сетей, повышения качества и расширения ассортимента, произведенных в Камчатском крае потребительских товаров, а также создания условий для реализации излишков сельскохозяйственной продукции (крестьянских (фермерских) хозяйств, личных подсобных хозяйств граждан);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содействие в развитии и расширении продажи на розничных рынках и ярмарках различных форматов;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проведение мониторинга цен на социально значимые продовольственные товары;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развитие нестационарной розничной торговли;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формирование конкурентной среды, стимулирующей увеличение общего количества субъектов торговой деятельности;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поддержка высокого уровня деловой активности в потребительской сфере бизнес-сообщества, в том числе проведение на постоянной основе специализированных отраслевых выставок, конкурсов, конференций, семинаров, ярмарок;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содействие повышению правовой грамотности и информированности населения Камчатского края в вопросах защиты прав потребителей, формирование навыков рационального потребительского поведения; совершенствование форм обслуживания маломобильных категорий населения;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создание системы государственного информационного обеспечения в области потребительского рынка.</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открытых опросов предпринимателей в целях определения спроса/потребности в предоставлении мест под размещение НТО</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Формирование информационных баз данных, содержащих сведения о хозяйствующих субъектах потребительского рынка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проделанной работе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экономического развития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органы местного самоуправления Камчатского края (по согласованию)</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10.2.</w:t>
            </w:r>
          </w:p>
        </w:tc>
        <w:tc>
          <w:tcPr>
            <w:tcW w:w="2834" w:type="dxa"/>
            <w:gridSpan w:val="2"/>
            <w:tcBorders/>
          </w:tcPr>
          <w:p>
            <w:pPr>
              <w:pStyle w:val="Normal"/>
              <w:widowControl w:val="false"/>
              <w:tabs>
                <w:tab w:val="clear" w:pos="708"/>
                <w:tab w:val="left" w:pos="993" w:leader="none"/>
              </w:tabs>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Содействие в обеспечении специально отведенных мест для сезонной торговли гражданами (ЛПХ, дачниками, садоводами, огородниками) собственной плодоовощной продукцией</w:t>
            </w:r>
          </w:p>
        </w:tc>
        <w:tc>
          <w:tcPr>
            <w:tcW w:w="2268" w:type="dxa"/>
            <w:gridSpan w:val="2"/>
            <w:tcBorders/>
          </w:tcPr>
          <w:p>
            <w:pPr>
              <w:pStyle w:val="Normal"/>
              <w:widowControl w:val="false"/>
              <w:tabs>
                <w:tab w:val="clear" w:pos="708"/>
                <w:tab w:val="left" w:pos="993" w:leader="none"/>
              </w:tabs>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Обеспечение граждан, ведущим ЛПХ,</w:t>
            </w:r>
          </w:p>
          <w:p>
            <w:pPr>
              <w:pStyle w:val="Normal"/>
              <w:widowControl w:val="false"/>
              <w:tabs>
                <w:tab w:val="clear" w:pos="708"/>
                <w:tab w:val="left" w:pos="993" w:leader="none"/>
              </w:tabs>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занимающимся садоводством, огородничество, заготовкой пищевых лесных ресурсов, возможности торговли, в том числе развозной в местах с высокой проходимостью, выделение им необходимое количество мест для осуществления торговли</w:t>
            </w:r>
          </w:p>
        </w:tc>
        <w:tc>
          <w:tcPr>
            <w:tcW w:w="1420" w:type="dxa"/>
            <w:tcBorders/>
          </w:tcPr>
          <w:p>
            <w:pPr>
              <w:pStyle w:val="Normal"/>
              <w:widowControl w:val="false"/>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2022–2025</w:t>
            </w:r>
          </w:p>
        </w:tc>
        <w:tc>
          <w:tcPr>
            <w:tcW w:w="2834" w:type="dxa"/>
            <w:gridSpan w:val="2"/>
            <w:tcBorders/>
          </w:tcPr>
          <w:p>
            <w:pPr>
              <w:pStyle w:val="Normal"/>
              <w:widowControl w:val="false"/>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Количество мест, специально отведенные для сезонной торговли гражданами (единиц)</w:t>
            </w:r>
          </w:p>
        </w:tc>
        <w:tc>
          <w:tcPr>
            <w:tcW w:w="993"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60</w:t>
            </w:r>
          </w:p>
        </w:tc>
        <w:tc>
          <w:tcPr>
            <w:tcW w:w="99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63</w:t>
            </w:r>
          </w:p>
        </w:tc>
        <w:tc>
          <w:tcPr>
            <w:tcW w:w="852"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66</w:t>
            </w:r>
          </w:p>
        </w:tc>
        <w:tc>
          <w:tcPr>
            <w:tcW w:w="992"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70</w:t>
            </w:r>
          </w:p>
        </w:tc>
        <w:tc>
          <w:tcPr>
            <w:tcW w:w="2123" w:type="dxa"/>
            <w:tcBorders/>
          </w:tcPr>
          <w:p>
            <w:pPr>
              <w:pStyle w:val="Normal"/>
              <w:widowControl w:val="false"/>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Министерство экономического развития Камчатского края</w:t>
            </w:r>
          </w:p>
          <w:p>
            <w:pPr>
              <w:pStyle w:val="Normal"/>
              <w:widowControl w:val="false"/>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(строка 10.2</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10.3.</w:t>
            </w:r>
          </w:p>
        </w:tc>
        <w:tc>
          <w:tcPr>
            <w:tcW w:w="2834" w:type="dxa"/>
            <w:gridSpan w:val="2"/>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Организация ярмарочных форматов торговли</w:t>
            </w:r>
          </w:p>
        </w:tc>
        <w:tc>
          <w:tcPr>
            <w:tcW w:w="2268" w:type="dxa"/>
            <w:gridSpan w:val="2"/>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Увеличение доли ярмарок в общем объеме розничного товарооборота</w:t>
            </w:r>
          </w:p>
        </w:tc>
        <w:tc>
          <w:tcPr>
            <w:tcW w:w="1420"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Количество площадок, задействованных для проведения ярмарочных мероприятий (единиц)</w:t>
            </w:r>
          </w:p>
        </w:tc>
        <w:tc>
          <w:tcPr>
            <w:tcW w:w="993"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63</w:t>
            </w:r>
          </w:p>
        </w:tc>
        <w:tc>
          <w:tcPr>
            <w:tcW w:w="99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64</w:t>
            </w:r>
          </w:p>
        </w:tc>
        <w:tc>
          <w:tcPr>
            <w:tcW w:w="852"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65</w:t>
            </w:r>
          </w:p>
        </w:tc>
        <w:tc>
          <w:tcPr>
            <w:tcW w:w="992"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66</w:t>
            </w:r>
          </w:p>
        </w:tc>
        <w:tc>
          <w:tcPr>
            <w:tcW w:w="2123"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Министерство экономического развития Камчатского края, органы местного самоуправления Камчатского края (по согласованию)</w:t>
            </w:r>
          </w:p>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(строка 10.3</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10.4.</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Формирование информации, содержащей сведения об административных барьерах, экономических ограничениях, иных факторах</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проделанной работе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экономического развития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11. Рынок реализации сельскохозяйственной продукции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настоящее время в сфере сельского хозяйства на территории Камчатского края зарегистрировано 427 СМСП, в т.ч. 3 (три) сельскохозяйственных кооператива, 2 (два) из которых относятся к сельскохозяйственным производственным кооперативам, и 1 (один) является сельскохозяйственным потребительским кооперативом. Всего в сельскохозяйственных производственных кооперативах занято около 23 человека или мене 2% от всех работающих в сельскохозяйственных организациях Камчатского края (без крестьянских (фермерских) хозяйств). Реализация производимой продукции составляет менее 2% от всей реализуемой сельхоз организациями продукции.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Производство основных видов сельскохозяйственной продукции, производимой крестьянскими (фермерскими) хозяйствами составляет по молоку около 15%, по производству скота и птицы на убой в живом весе около 4%, по производству яйца около 2% от общего производства продукции по краю.</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Основными проблемами развития сельскохозяйственной кооперации, как и СМСП, в Камчатском крае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1) низкая плотность населения;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2) высокий уровень риска производства продукции, связанный со сложностью ведения сельскохозяйственной деятельности в ряде муниципальных районов в связи с суровыми климатическими условиями, так как период заготовки кормов и уборки урожая в силу региональных особенностей весьма короткий по времени;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3) стоимость как создаваемых, так и приобретённых основных фондов, а также оборотных активов (сырьё, материалы) в Камчатском крае значительно превышает стоимость аналогичных активов на материковой части РФ в силу труднодоступности территории и высокой стоимости трудовых ресурсов;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4) территориальная разбросанность и заметное различие по масштабам производства и экономическому положению хозяйствующих субъектов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предопределяет снижение мотивации к объединению;</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5) региональная особенность края - закрытый рынок сбыта сельскохозяйственной продукции, снижение возможностей экспорта продукции в соседние регионы в связи с высокими транспортными тарифами (Камчатский край связан с соседними регионами только морским и воздушным транспортом);</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6) сложность формирования необходимого стартового капитала и слабая материально-техническая база для создания сельскохозяйственных кооперативов;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7) низкая предпринимательская активность населения, недостаток навыков хозяйственного управления у сельских жителей, отсутствие на селе</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специалистов способных обеспечить развитие хозяйств;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8) объективно высокая себестоимость сельскохозяйственной продукции, связанная с высокой стоимостью доставки материальных ресурсов в регион, стоимостью оплаты труда и его низкой производительностью, что весьма снижает ценовую конкурентоспособность местной продукции.)</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11.1.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Разработка и принятие нормативного правового Камчатского края, определяющего порядок подачи заявления на получение субсидии сельскохозяйственными товаропроизводителями в электронном виде через государственную информационную систему</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равного доступа к мерам поддержки</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Нормативный правовой акт Камчатского края, определяющий порядок подачи заявления на получение субсидии (единиц)</w:t>
            </w:r>
          </w:p>
        </w:tc>
        <w:tc>
          <w:tcPr>
            <w:tcW w:w="993"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11.2.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возможности подачи заявления на получение субсидии сельскохозяйственными товаропроизводителями в электронном виде через государственную информационную систему</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равного доступа к мерам поддержки</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СМСП, включая крестьянские фермерские хозяйства и сельскохозяйственные кооперативы, получивших субсидии (единиц)</w:t>
            </w:r>
          </w:p>
        </w:tc>
        <w:tc>
          <w:tcPr>
            <w:tcW w:w="993"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47</w:t>
            </w:r>
          </w:p>
        </w:tc>
        <w:tc>
          <w:tcPr>
            <w:tcW w:w="991"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49</w:t>
            </w:r>
          </w:p>
        </w:tc>
        <w:tc>
          <w:tcPr>
            <w:tcW w:w="852"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50</w:t>
            </w:r>
          </w:p>
        </w:tc>
        <w:tc>
          <w:tcPr>
            <w:tcW w:w="992"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52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11.3.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реестра НПА о мерах поддержки, размещение его в открытом доступе</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равного доступа к мерам поддержки</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Сформированный реестр о мерах поддержки (единиц)</w:t>
            </w:r>
          </w:p>
        </w:tc>
        <w:tc>
          <w:tcPr>
            <w:tcW w:w="993"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lang w:val="en-US"/>
              </w:rPr>
            </w:pPr>
            <w:r>
              <w:rPr>
                <w:rFonts w:eastAsia="Calibri" w:cs="Times New Roman" w:ascii="Times New Roman" w:hAnsi="Times New Roman"/>
                <w:kern w:val="0"/>
                <w:sz w:val="24"/>
                <w:szCs w:val="24"/>
                <w:lang w:val="en-US"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11.4.</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анализа НПА о мерах поддержки на соответствие положениям антимонопольного законодательства</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равного доступа к мерам поддержки</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проведенной работе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Управление Федеральной антимонопольной службы Камчатского края (по согласованию) </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12. Рынок племенного животноводства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присутствия частного бизнеса по отношению к общему количеству предприятий, осуществляющих деятельность в области племенного животноводства составляет 62,5 %. Племенная база Камчатского края представлена следующими племенными предприятиями: молочное скотоводство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3 племенных репродуктора; северное оленеводство - 3 племенных репродуктора; свиноводство - 1 племенной репродуктор; овцеводство - 1 генофондное хозяйство; организация по искусственному осеменению сельскохозяйственных животных - 1; предприятия по хранению и реализации семени - 2; региональный информационно-селекционный центр - 1.</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Основными причинами, сдерживающими развитие рынка племенной продукции,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проблема реализации собственной племенной продукции, в связи с отдаленностью региона от материковой части;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диспаритет цен на сельскохозяйственную продукцию и товары, необходимые для ее производства (горючее, корма, ветеринарные лекарства);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ограниченное количество потенциальных покупателей племенной продукции на территории края.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Для организаций - производителей молока, зарегистрированных в государственном племенном регистре, предусмотрен повышающий коэффициент при получении субсидий, направленных на финансовое обеспечение затрат связанных с производством реализованного и (или) отгруженного на собственную переработку коровьего молока. Так же предусмотрены субсидии на возмещение затрат, связанных с приобретением племенного молодняка крупного рогатого скота молочного направления в племенных стадах, зарегистрированных в государственном племенном регистре.</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12.1.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2"/>
                <w:sz w:val="24"/>
                <w:szCs w:val="24"/>
                <w:lang w:val="ru-RU" w:eastAsia="en-US" w:bidi="ar-SA"/>
              </w:rPr>
              <w:t>Оказание содействия в регистрации организаций Камчатского края в Государственном племенном регистре РФ</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2"/>
                <w:sz w:val="24"/>
                <w:szCs w:val="24"/>
                <w:lang w:val="ru-RU" w:eastAsia="en-US" w:bidi="ar-SA"/>
              </w:rPr>
              <w:t>Увеличение количества племенных организаций частной формы собственности</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tabs>
                <w:tab w:val="clear" w:pos="708"/>
                <w:tab w:val="left" w:pos="3600" w:leader="none"/>
              </w:tabs>
              <w:suppressAutoHyphens w:val="true"/>
              <w:spacing w:lineRule="auto" w:line="240" w:before="0" w:after="0"/>
              <w:jc w:val="both"/>
              <w:rPr>
                <w:rFonts w:eastAsia="Calibri"/>
                <w:kern w:val="2"/>
                <w:sz w:val="24"/>
                <w:szCs w:val="24"/>
              </w:rPr>
            </w:pPr>
            <w:r>
              <w:rPr>
                <w:rFonts w:eastAsia="Calibri" w:cs="Times New Roman" w:ascii="Times New Roman" w:hAnsi="Times New Roman"/>
                <w:kern w:val="2"/>
                <w:sz w:val="24"/>
                <w:szCs w:val="24"/>
                <w:lang w:val="ru-RU" w:eastAsia="en-US" w:bidi="ar-SA"/>
              </w:rPr>
              <w:t>Доля организаций частной формы собственности на рынке племенного животноводства (процентов)</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12.2.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Стимулирование и оказание содействия в реализации племенного молодняка сельскохозяйственных животных, организация выдачи племенных сертификатов (свидетельств) на племенную продукцию (материал)</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2"/>
                <w:sz w:val="24"/>
                <w:szCs w:val="24"/>
                <w:lang w:val="ru-RU" w:eastAsia="en-US" w:bidi="ar-SA"/>
              </w:rPr>
              <w:t>Увеличение количества реализованного племенного молодняка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2"/>
                <w:sz w:val="24"/>
                <w:szCs w:val="24"/>
                <w:lang w:val="ru-RU" w:eastAsia="en-US" w:bidi="ar-SA"/>
              </w:rPr>
              <w:t xml:space="preserve">Количество реализованного племенного молодняка сельскохозяйственных животных </w:t>
            </w:r>
            <w:r>
              <w:rPr>
                <w:rFonts w:eastAsia="Calibri" w:cs="Times New Roman" w:ascii="Times New Roman" w:hAnsi="Times New Roman"/>
                <w:kern w:val="0"/>
                <w:sz w:val="24"/>
                <w:szCs w:val="24"/>
                <w:lang w:val="ru-RU" w:eastAsia="en-US" w:bidi="ar-SA"/>
              </w:rPr>
              <w:t>(единиц)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103</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105</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13. Рынок семеноводства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Рынок семеноводства в Камчатском крае представлен одной организацией частной формы хозяйствования, осуществляющей выращивание и реализацию семенного картофеля. Объем семенного картофеля, направленного на посадку (посев) в целях размножения 2020 году составил 125,00 тонн, при плане – 120,0 тонн, объем семенного картофеля, направленного на посадку немного выше планового показателя в связи с увеличением производства картофеля, повышением урожайности. Также способствует компенсация затрат на приобретение семенного картофеля из краевого бюджета сельскохозяйственным товаропроизводителям. Основными проблемами рынка является отсутствие организаций, осуществляющих данный вид деятельности, дефицит качественного семенного материала, стихийные рыночные отношения в семеноводстве. развитию конкурентной среды на товарном рынке- требуют усиления планово-рыночного государственного регулирования в этой отрасли в сочетании с рыночным механизмом саморегулирования.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Для развития рынка необходимо: становление цивилизованного, гибко регулируемого рынка семенного картофеля требует восстановления управляемости семеноводческим процессом по всей вертикали или выделения его как единого объекта управления где современное семеноводство картофеля — самостоятельная, экономически выгодная отрасль сельского хозяйства.</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13.1.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Субсидирование части затрат на приобретение элитных семян (на конкурсной основе)</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2"/>
                <w:sz w:val="24"/>
                <w:szCs w:val="24"/>
                <w:lang w:val="ru-RU" w:eastAsia="en-US" w:bidi="ar-SA"/>
              </w:rPr>
              <w:t>Повышение доступности качественного посевного материала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доведенных бюджетных ассигнований до сельскохозяйственных товаропроизводителей.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13.2.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2"/>
                <w:sz w:val="24"/>
                <w:szCs w:val="24"/>
                <w:lang w:val="ru-RU" w:eastAsia="en-US" w:bidi="ar-SA"/>
              </w:rPr>
              <w:t>Ежегодное проведение совещаний с участниками рынка по выявлению и устранению административных барьеров, разъяснению порядка мер поддержки и изменений в механизмах мер поддержки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2"/>
                <w:sz w:val="24"/>
                <w:szCs w:val="24"/>
                <w:lang w:val="ru-RU" w:eastAsia="en-US" w:bidi="ar-SA"/>
              </w:rPr>
              <w:t>Устранение административных барьеров вхождения на рынок и работы на нем</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проведенных совещаний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сельского хозяйства, пищевой и перерабатывающей промышленности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14. Рынок вылова водных биоресурсов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частных организаций по отношению к общему количеству организаций на рынке вылова водных биоресурсов составляет 99,80 %.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Рыбная отрасль традиционно является доминирующей в хозяйственной жизни Камчатского края, она определяет направления и динамику развития многих других секторов экономики региона.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Морская акватория, прилегающая к территории Камчатского края, является крупнейшим промысловым районом в Дальневосточном регионе.</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Анализ структуры участников рынка «Вылов водных биоресурсов» показал, что более 70 % уловов рыбы и морепродуктов приходится на долю крупных предприятий добывающей отрасли. Ситуация сложилась исторически, поскольку именно традиционность промысловой деятельности была положена в основу долгосрочного долевого закрепления долей квот на вылов водных биологических биоресурсов.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Административными и экономическими барьерами входа на рынок вылова водных биоресурсов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высокие налоги;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дефицит традиционных водных биологических ресурсов исключительной экономической зоны РФ, недостаточные объемы квот на вылов водных биологических ресурсов для обеспечения рентабельной работы судов;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высокие стартовые затраты на приобретение (строительство) промысловых судов и перерабатывающего оборудования;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длительные сроки окупаемости капитальных вложений;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высокая степень износа основных производственных фондов;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высокие текущие затраты для обеспечения работы судов (особенно на топливо и другие горюче-смазочные материалы);</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транспортные тарифы и тарифы на электрическую энергию;</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уровень платежеспособного спроса населения;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рост международной конкуренции в условиях ограниченного спроса.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Наличие «исторического принципа» при распределении прав на добычу водных биологических ресурсов само по себе свидетельствует об отсутствии и невозможности конкуренции в рыболовной отрасли. Закрытость отрасли и как следствие ограничение конкуренции проявляется не в количестве лиц, исторически получивших квоту на добычу водных биологических ресурсов, а в том, что фактически этими лицами отрасль ограничена. И если весь объем квотируемого ресурса уже распределен, присутствие в будущем иных лиц, потенциально заинтересованных в добыче водных биоресурсов, практически невозможно.</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качестве возможных направлений по развитию конкуренции в рыбохозяйственном комплексе Камчатского края следует выделить:</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обеспечение доступности пользователей к водным биологическим ресурсам;</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снижение уровня износа основных производственных фондов.</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14.1.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благоприятных условий для привлечения инвестиций в рыбохозяйственный комплекс Камчатского края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Увеличение проектов </w:t>
            </w:r>
            <w:r>
              <w:rPr>
                <w:rFonts w:eastAsia="Calibri" w:cs="Times New Roman" w:ascii="Times New Roman" w:hAnsi="Times New Roman"/>
                <w:bCs/>
                <w:kern w:val="0"/>
                <w:sz w:val="24"/>
                <w:szCs w:val="24"/>
                <w:lang w:val="ru-RU" w:eastAsia="en-US" w:bidi="ar-SA"/>
              </w:rPr>
              <w:t>по обновлению рыбопромыслового флота</w:t>
            </w:r>
            <w:r>
              <w:rPr>
                <w:rFonts w:eastAsia="Calibri" w:cs="Times New Roman" w:ascii="Times New Roman" w:hAnsi="Times New Roman"/>
                <w:kern w:val="0"/>
                <w:sz w:val="24"/>
                <w:szCs w:val="24"/>
                <w:lang w:val="ru-RU" w:eastAsia="en-US" w:bidi="ar-SA"/>
              </w:rPr>
              <w:t> </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Объем инвестиций в основной капитал в рамках государственной программы Камчатского края «Развитие рыбохозяйственного комплекса Камчатского края», утвержденной постановлением Правительства Камчатского края от 29.11.2013 № 533-П (млн рублей) </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2850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2900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3000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3100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рыбного хозяйства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14.2.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консультаций (совещаний, опросов) с представителями организаций рыбохозяйственного комплекса Камчатского края, направленных на выявление и устранение административных барьеров, препятствующих осуществлению предпринимательской деятельности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Снижение административных барьеров</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консультаций (совещаний, опросов) с участниками рынка переработки водных биологических ресурсов по выявлению и устранению административных барьеров, препятствующих осуществлению предпринимательской деятельности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рыбного хозяйства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 Рынок переработки водных биоресурсов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частных организаций по отношению к общему количеству организаций на рынке вылова водных биоресурсов составляет 99,76 %.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Рыбная отрасль традиционно является доминирующей в хозяйственной жизни Камчатского края, она определяет направления и динамику развития многих других секторов экономики региона.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Морская акватория, прилегающая к территории Камчатского края, является крупнейшим промысловым районом в Дальневосточном регионе.</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Анализ структуры участников рынка «Вылов водных биоресурсов» показал, что более 70 % уловов рыбы и морепродуктов приходится на долю крупных предприятий добывающей отрасли. Ситуация сложилась исторически, поскольку именно традиционность промысловой деятельности была положена в основу долгосрочного долевого закрепления долей квот на вылов водных биологических биоресурсов.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Административными и экономическими барьерами входа на рынок вылова водных биоресурсов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 высокие налоги;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дефицит традиционных водных биологических ресурсов исключительной экономической зоны РФ, недостаточные объемы квот на вылов водных биологических ресурсов для обеспечения рентабельной работы судов;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высокие стартовые затраты на приобретение (строительство) промысловых судов и перерабатывающего оборудования;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длительные сроки окупаемости капитальных вложений;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высокая степень износа основных производственных фондов;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высокие текущие затраты для обеспечения работы судов (особенно на топливо и другие горюче-смазочные материалы);</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транспортные тарифы и тарифы на электрическую энергию;</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уровень платежеспособного спроса населения;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рост международной конкуренции в условиях ограниченного спроса.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Наличие «исторического принципа» при распределении прав на добычу водных биологических ресурсов само по себе свидетельствует об отсутствии и невозможности конкуренции в рыболовной отрасли. Закрытость отрасли и как следствие ограничение конкуренции проявляется не в количестве лиц, исторически получивших квоту на добычу водных биологических ресурсов, а в том, что фактически этими лицами отрасль ограничена. И если весь объем квотируемого ресурса уже распределен, присутствие в будущем иных лиц, потенциально заинтересованных в добыче водных биоресурсов, практически невозможно.</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качестве возможных направлений по развитию конкуренции в рыбохозяйственном комплексе Камчатского края следует выделить:</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обеспечение доступности пользователей к водным биологическим ресурсам;</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снижение уровня износа основных производственных фондов.</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15.1</w:t>
            </w:r>
          </w:p>
        </w:tc>
        <w:tc>
          <w:tcPr>
            <w:tcW w:w="2834" w:type="dxa"/>
            <w:gridSpan w:val="2"/>
            <w:tcBorders/>
            <w:shd w:color="auto" w:fill="auto" w:val="clear"/>
          </w:tcPr>
          <w:p>
            <w:pPr>
              <w:pStyle w:val="Normal"/>
              <w:widowControl w:val="false"/>
              <w:suppressAutoHyphens w:val="true"/>
              <w:spacing w:lineRule="auto" w:line="240" w:before="0" w:after="0"/>
              <w:jc w:val="both"/>
              <w:rPr>
                <w:rFonts w:eastAsia="Calibri"/>
                <w:sz w:val="24"/>
                <w:szCs w:val="24"/>
              </w:rPr>
            </w:pPr>
            <w:r>
              <w:rPr>
                <w:rFonts w:eastAsia="Calibri" w:cs="Times New Roman" w:ascii="Times New Roman" w:hAnsi="Times New Roman"/>
                <w:kern w:val="0"/>
                <w:sz w:val="24"/>
                <w:szCs w:val="24"/>
                <w:lang w:val="ru-RU" w:eastAsia="en-US" w:bidi="ar-SA"/>
              </w:rPr>
              <w:t>Создание благоприятных условий для привлечения инвестиций в рыбохозяйственный комплекс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Ввод в эксплуатацию высокотехнологичных производств по выпуску качественной продукции из водных биологических ресурсов</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Объем инвестиций в основной капитал в рамках государственной программы Камчатского края «Развитие рыбохозяйственного комплекса Камчатского края», утвержденной постановлением Правительства Камчатского края от 29.11.2013 № 533-П (млн рублей)</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2850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2900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3000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3100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рыбного хозяйства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доступа рыбоперерабатывающих предприятий к информации о новейших технологиях по производству рыбо- и морепродукции посредством создания и актуализации Реестра предлагаемых к внедрению научных разработок на официальном сайте исполнительных органов государственной власти Камчатского края в информационно-телекоммуникацион-ной сети «Интернет»</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и актуализация Реестра предлагаемых к внедрению научных разработок о новейших технологиях по производству рыбо- и морепродукции</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размещенных пресс-релизов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рыбного хозяйства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консультаций (совещаний, опросов) с представителями организаций рыбохозяйственного комплекса Камчатского края, направленных на выявление и устранение административных барьеров, препятствующих осуществлению предпринимательской деятельности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Снижение административных барьеров</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консультаций (совещаний, опросов) с участниками рынка переработки водных биологических ресурсов по выявлению и устранению административных барьеров, препятствующих осуществлению предпринимательской деятельности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рыбного хозяйства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15.4</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Участие в работе по формированию (расширению) на территории Камчатского края розничной сети магазинов (торговых точек) по реализации рыбной продукции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Наличие розничной сети магазинов (торговых точек) по реализации рыбной продукции</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проделанной работе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рыбного хозяйства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15.5</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Оказание содействия предприятиям рыбохозяйственного комплекса региона по участию в выставочно-ярмарочных и презентационных</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мероприятиях, форумах, конференциях, организации бизнес-миссий</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Увеличение поставок продукции из водных биологических ресурсов на внутренний рынок и на экспорт</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both"/>
              <w:rPr>
                <w:rFonts w:eastAsia="Calibri"/>
                <w:sz w:val="24"/>
                <w:szCs w:val="24"/>
              </w:rPr>
            </w:pPr>
            <w:r>
              <w:rPr>
                <w:rFonts w:eastAsia="Calibri" w:cs="Times New Roman" w:ascii="Times New Roman" w:hAnsi="Times New Roman"/>
                <w:kern w:val="0"/>
                <w:sz w:val="24"/>
                <w:szCs w:val="24"/>
                <w:lang w:val="ru-RU" w:eastAsia="en-US" w:bidi="ar-SA"/>
              </w:rPr>
              <w:t>Количество мероприятий с участием предприятий рыбохозяйственного комплекса,</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размещение информации о проведенных мероприятиях в открытом доступе в сети Интернет (единиц)</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рыбного хозяйства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 Рынок производства электрической энергии (мощности) на розничном рынке электрической энергии (модности), включая производство</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Камчатском крае в сфере производства электрической энергии осуществляют свою деятельность 10 предприятий, том числе 7 частной формы собственности, что составляет 70 % от общего числа организаций. Рынок данной в данной сфере в части форм собственности достаточно стабилен и снижение показателя в ближайшей перспективе не прогнозируется.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Значительная доля выработки электрической энергии приходится на такие ресурсоснабжающие организациями как ПАО «Камчатскэнерго», АО «ЮЭСК», АО «Геотерм», ПАО «КамГЭК», которые входят в систему ПАО «РусГидро». Согласно методики ФАС России, утвержденной приказом от 29.08.2018 № 1232/18 (в редакции 06.08.2019 № 1059/19), выработка электрической энергии данных предприятий не учитывается при расчете ключевого показателя развития конкуренции на рынке производства электрической энергии (мощности), так как более 50% уставного капитала принадлежит РФ.</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Организацией, не относящейся к организациям частной формы собственности, осуществляющей свою деятельность на территории изолированного энергоузла, является АО «Оссора», 100% уставного капитала которого находится в собственности городского поселения «поселок Оссора». Доля акционерного общества на рынке производства электрической энергии и мощности составляет менее одного процента. Учитывая удаленность муниципального образования, деятельность организации частной формы собственности с участием муниципального образования является наиболее приемлемой и обоснованной, позволяющей обеспечить энергетическую безопасность локального энергоузла и создать условия для надежного и устойчивого электроснабжения городского поселения «поселок Оссора».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Рынок в данной сфере в части форм собственности достаточно стабилен и увеличение или снижение показателя в ближайшей перспективе не прогнозируется.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На территории Камчатского края сфера производства электроэнергии (мощности) относится к рынку с неразвитой конкуренцией. Основными факторами отсутствия конкуренции является: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использование ресурсоснабжающими предприятиями достаточно сложной технологической инфраструктуры. Оказание услуг потребителям зависит от расположения электрических сетей, а потребитель приобретает и потребляет услуги только от того поставщика, к сетям которого присоединены его потребляющие установки;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избыточность энергетической системы Камчатского края.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Решениями проблем могут быть:</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1) Диверсификация производства электрической энергии на основе безтопливной энергетики (с опорой на использование энергии рек и морских приливов, геотермальной энергии, а также энергии ветра для изолированных энергоузлов).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2) Снижение энергозатратности путем модернизации существующего генерирующего оборудования для повышения эффективности использования топлива (газ, мазут, уголь, дизельное топливо) и повышение энергоэффективности.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3) Повышение эффективности управления региональным энергетическим сектором со стороны органов региональной власти Камчатского края.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4) Совершенствование взаимодействия в энергетической сфере региональных и муниципальных органов власти и организаций, участвующих в энергоснабжении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Нормативный правовой акт (единиц)</w:t>
            </w:r>
          </w:p>
        </w:tc>
        <w:tc>
          <w:tcPr>
            <w:tcW w:w="993" w:type="dxa"/>
            <w:tcBorders/>
          </w:tcPr>
          <w:p>
            <w:pPr>
              <w:pStyle w:val="Normal"/>
              <w:widowControl w:val="false"/>
              <w:suppressAutoHyphens w:val="true"/>
              <w:spacing w:lineRule="auto" w:line="240" w:before="0" w:after="0"/>
              <w:jc w:val="center"/>
              <w:rPr>
                <w:rFonts w:eastAsia="Calibri"/>
                <w:b/>
                <w:b/>
                <w:sz w:val="24"/>
                <w:szCs w:val="24"/>
              </w:rPr>
            </w:pPr>
            <w:r>
              <w:rPr>
                <w:rFonts w:eastAsia="Calibri" w:cs="Times New Roman" w:ascii="Times New Roman" w:hAnsi="Times New Roman"/>
                <w:kern w:val="0"/>
                <w:sz w:val="28"/>
                <w:szCs w:val="28"/>
                <w:lang w:val="ru-RU" w:eastAsia="en-US" w:bidi="ar-SA"/>
              </w:rPr>
              <w:t>–</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Министерство жилищно-коммунального хозяйства и энергетики Камчатского края,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Министерство строительства и жилищной политики Камчатского края </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16.2.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Мониторинг участия организаций с долей Камчатского края или муниципального образования в Камчатском крае более 50 процентов на розничном рынке электрической энергии, включая производство электрической энергии в режиме когенерации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Сохранение доли рынка за организациями частной формы собственности не ниже значений, установленных КПЭ</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хозяйствующих субъектов частной формы собственности на розничном рынке электрической энергии, включая производство электрической энергии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99</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17. Рынок купли-продажи электрической энергии (мощности) на розничном рынке электрической энергии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частных организаций по отношению к общему количеству организаций на рынке составляет 57%.</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Всего в Камчатском крае электрическую энергию (мощность) реализуют 7 организации, из них 4 организации частной формы собственности.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Значительная доля отпущенной электрической энергии приходится на такие ресурсоснабжающие организациями как ПАО «Камчатскэнерго», АО «ЮЭСК», АО «Геотерм», которые входят в систему ПАО «РусГидро». Согласно методики ФАС России, утвержденной приказом от 29.08.2018 № 1232/18 (в редакции 06.08.2019 № 1059/19), полезный отпуск электрической энергии данных предприятий не учитывается при расчете ключевого показателя развития конкуренции на рынке купли-продажи электрической энергии (мощности), так как более 50% уставного капитала принадлежит Российской Федерации.</w:t>
            </w:r>
          </w:p>
          <w:p>
            <w:pPr>
              <w:pStyle w:val="Normal"/>
              <w:widowControl w:val="false"/>
              <w:suppressAutoHyphens w:val="true"/>
              <w:spacing w:lineRule="auto" w:line="240" w:before="0" w:after="0"/>
              <w:ind w:firstLine="596"/>
              <w:jc w:val="both"/>
              <w:rPr>
                <w:rFonts w:eastAsia="Calibri"/>
                <w:bCs/>
                <w:sz w:val="24"/>
                <w:szCs w:val="24"/>
              </w:rPr>
            </w:pPr>
            <w:r>
              <w:rPr>
                <w:rFonts w:eastAsia="Calibri" w:cs="Times New Roman" w:ascii="Times New Roman" w:hAnsi="Times New Roman"/>
                <w:kern w:val="0"/>
                <w:sz w:val="24"/>
                <w:szCs w:val="24"/>
                <w:lang w:val="ru-RU" w:eastAsia="en-US" w:bidi="ar-SA"/>
              </w:rPr>
              <w:t>Организацией, не относящейся к организациям частной формы собственности, осуществляющей свою деятельность на территории изолированного энергоузла, является АО «Оссора», 100% уставного капитала которого находится в собственности городского поселения «поселок Оссора». Доля акционерного общества на розничном рынке купли-продажи электрической энергии и мощности составляет менее трех процентов. Учитывая удаленность муниципального образования, деятельность организации частной формы собственности с участием муниципального образования является наиболее приемлемой и обоснованной, позволяющей обеспечить энергетическую безопасность локального энергоузла и создать условия для надежного и устойчивого электроснабжения городского поселения «поселок Оссора».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Рынок в данной сфере в части форм собственности достаточно стабилен и увеличение или снижение показателя в ближайшей перспективе не прогнозируется.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Административными и экономическими барьерами входа на рынок хозяйствующих субъектов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значительные первоначальные капитальные вложения на строительство или приобретение существующих имущественных объектов при длительных сроках их окупаемости; - регулируемый вид деятельности и необходимость обращения в уполномоченный орган исполнительной власти за установлением тарифа на осуществление определенного вида деятельности; -высокие требования к качеству оказываемых услуг, установленные законодательством РФ.</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17.1.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Передача объектов жилищно-коммунального хозяйства неэффективных энергосбытовых организаций частным операторам на основе концессионных соглашений</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Сохранение доли рынка за организациями частной формы собственности не ниже значений, установленных КПЭ</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хозяйствующих субъектов частной формы собственности, осуществляющих деятельность по купле-продаже электроэнергии (энергосбытовую деятельность) на розничном рынке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97</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97</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97</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97</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18. Рынок теплоснабжения (производство тепловой энергии)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частных организаций по отношению к общему количеству организаций на рынке составляет 50 %.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Всего в Камчатском крае тепловую энергию потребителям реализует 34 организации (27 организаций коммунального и топливно-энергетического комплексов (организации, основной вид деятельности которых включает производство и передачу пара и горячей воды (тепловой энергии) котельными, обеспечение работоспособности котельных и тепловых сетей), из них 17 организаций частной формы собственности, что составляет 50 % от общего числа, а также 17 организаций с долей участия РФ, субъекта РФ и муниципальных образований более 50 %, включая 7 муниципальных унитарных предприятий и автономных учреждений.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Рынок в сфере теплоснабжения в части форм собственности достаточно стабилен и снижение показателя в ближайшей перспективе не прогнозируется. Значительная доля выработки тепловой энергии приходится на такие ресурсоснабжающие организациями как ПАО «Камчатскэнерго», АО «ЮЭСК», которые входят в систему ПАО «РусГидро». Согласно методики ФАС России, утвержденной приказом от 29.08.2018 № 1232/18 (в редакции 06.08.2019 № 1059/19), полезный отпуск тепловой энергии данных предприятий не учитывается при расчете ключевого показателя развития конкуренции в сфере теплоснабжения, так как более 50% уставного капитала принадлежит РФ.</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Дополнительно проводится работа по сокращению доли муниципальных унитарных предприятий, оказывающих услуги по теплоснабжению потребителей в муниципальных образованиях Камчатского края путем передачи объектов муниципальной собственности в частную собственность в рамках заключения концессионных соглашений.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Административными и экономическими барьерами входа на рынок хозяйствующих субъектов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значительные первоначальные капитальные вложения на строительство или приобретение существующих имущественных объектов при длительных сроках их окупаемости;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рост дебиторской задолженности предприятий за отпущенную тепловую энергию;</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регулируемый вид деятельности и необходимость обращения в уполномоченный орган исполнительной власти за установлением тарифа на осуществление определенного вида деятельности;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высокие требования к качеству оказываемых услуг, установленные законодательством РФ.</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Проведение торгов способствует развитию конкуренции за обладание сетевой инфраструктурой путем создания условий для выбора контрагента, предлагающего наилучшие условия, что обеспечивает равный доступ к государственному и муниципальному имуществу для всех заинтересованных лиц, а также выбор наиболее эффективного правообладателя.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Привлечение на рынок новых участников, их инвестиций будет способствовать решению проблемы, связанной с высокой степенью износа основных фондов в сфере теплоснабжения.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18.1.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Передача объектов теплоснабжения, находящихся под управлением организаций с участием Камчатского края или муниципального образования в Камчатском крае более 50 процентов, в концессию частным операторам на основании заключаемых концессионных соглашений</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Доступ организаций частной формы собственности в эксплуатацию объектов по производству тепловой энергии, принадлежащих Камчатскому краю, муниципальному образованию в Камчатском крае</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организации частной формы собственности в сфере теплоснабжения (производство тепловой энергии)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18.2.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Оказание организационно-методической и информационно-консультационной помощи субъектам предпринимательства, осуществляющим (планирующим осуществлять) деятельность на рынке</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Информированность организаций частной формы собственности осуществляющих деятельность на рынке</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публикаций или проведенных мероприятий по разъяснению Федерального закона от 21.07.2005 «115-ФЗ «О концессионных соглашениях»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18.3.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bCs/>
                <w:sz w:val="24"/>
                <w:szCs w:val="24"/>
              </w:rPr>
            </w:pPr>
            <w:r>
              <w:rPr>
                <w:rFonts w:eastAsia="Calibri" w:cs="Times New Roman" w:ascii="Times New Roman" w:hAnsi="Times New Roman"/>
                <w:bCs/>
                <w:kern w:val="0"/>
                <w:sz w:val="24"/>
                <w:szCs w:val="24"/>
                <w:lang w:val="ru-RU" w:eastAsia="en-US" w:bidi="ar-SA"/>
              </w:rPr>
              <w:t>Включение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 525-П, субсидий на реализацию мероприятий по замене и ремонту ветхих аварийных сетей</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Сохранение эксплуатационных свойств инженерных сетей коммунального комплекса</w:t>
            </w:r>
          </w:p>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КПЭ не установлен, организационное мероприятие</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19. Рынок услуг по сбору и транспортированию твердых коммунальных отходов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транспортирования отходов частными организациями по отношению к общему количеству организаций на рынке составляет 30%.</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Основы правового регулирования отрасли обращения с отходами содержатся в положениях Федерального закона от 24.06.1998 № 89-ФЗ «Об отходах производства и потребления», в частности даны понятия регионального оператор по обращению с твердыми коммунальными отходами и оператора по обращению с твердыми коммунальными отходами, а также установлен порядок присвоения юридическим лицам указанного статуса.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соответствии с соглашением от 30.12.2016 № 273 региональным оператором по обращению с твердыми коммунальными отходами на территории Камчатского края является ГУП «Спецтранс» (далее - Региональный оператор) - выбран на основании конкурсных процедур сроком на 10 лет.</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Региональный оператор осуществляет свою деятельность на всей территории Камчатского края, вместе с тем, большинство муниципальных образований Камчатского края относятся к отдаленным и труднодоступным, в которых отсутствуют организации (юридические лица), имеющие лицензии на осуществление соответствующего вида деятельности.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Региональным оператором проводятся и будут проводиться конкурсные процедуры по выбору операторов по обращению с твердыми коммунальными отходами (индивидуальных предпринимателей или юридических лиц, осуществляющих деятельность по сбору, транспортированию, обработке, утилизации, обезвреживанию, захоронению твердых коммунальных отходов) на территории районов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19.1.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Сокращение монополизации товарного рынка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Объем твердых коммунальных отходов, транспортируемых организациями частной формы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19.2.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Разделение региональным оператором на большое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СМСП</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Сокращение монополизации товарного рынка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Сформированная типовая документация для регионального оператора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19.3.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«круглых» столов, вебинаров, консультаций с действующими и потенциальными предпринимателями и коммерческими организациями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Повышение уровня информированности СМСП об условиях оказания услуг по сбору и транспортированию ТКО</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проделанной работе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жилищно-коммунального хозяйства и энергетики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 Рынок выполнения работ по содержанию и текущему ремонту общего имущества собственников в помещении в многоквартирном доме</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По состоянию на 30.11.2021 года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составляет 88,9 %.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Жилищный фонд Камчатского края состоит из 3571 многоквартирных домов, надзор за содержанием и эксплуатацией которого осуществляет Государственная жилищная инспекция Камчатского края (далее - Инспекция). Предпринимательскую деятельность по управлению многоквартирными домами осуществляют 140 управляющих организаций, в управлении которых находится 2744 многоквартирных домов, что составляет 76,9 % от общего количества жилого фонда Камчатского края.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Наиболее благоприятные тенденции развития конкурентных отношений между организациями различных форм собственности в сфере управления и содержания жилищного фонда сложились в крупных муниципальных образованиях, таких как Петропавловск-Камчатский городской округ, Елизовский муниципальный район, Вилючинский городской округ.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сельских местностях и отдаленных муниципальных районах конкуренция развивается в меньшей степени. Особенность расположения этих территорий, низкая плотность населения, небольшие объемы работ не являются привлекательными для бизнеса.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Основными перспективными направлениями развития рынка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содействие в области подготовки, переподготовки и повышения квалификации кадров управляющих организаций;</w:t>
            </w:r>
          </w:p>
          <w:p>
            <w:pPr>
              <w:pStyle w:val="Normal"/>
              <w:widowControl w:val="false"/>
              <w:suppressAutoHyphens w:val="true"/>
              <w:spacing w:lineRule="auto" w:line="240" w:before="0" w:after="0"/>
              <w:ind w:firstLine="596"/>
              <w:jc w:val="left"/>
              <w:rPr>
                <w:rFonts w:eastAsia="Calibri"/>
                <w:sz w:val="24"/>
                <w:szCs w:val="24"/>
              </w:rPr>
            </w:pPr>
            <w:r>
              <w:rPr>
                <w:rFonts w:eastAsia="Calibri" w:cs="Times New Roman" w:ascii="Times New Roman" w:hAnsi="Times New Roman"/>
                <w:kern w:val="0"/>
                <w:sz w:val="24"/>
                <w:szCs w:val="24"/>
                <w:lang w:val="ru-RU" w:eastAsia="en-US" w:bidi="ar-SA"/>
              </w:rPr>
              <w:t>-  совершенствование нормативно-правовой базы в данной сфере, смягчение лицензионных требований в данной сфере.</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bCs/>
                <w:sz w:val="24"/>
                <w:szCs w:val="24"/>
              </w:rPr>
            </w:pPr>
            <w:r>
              <w:rPr>
                <w:rFonts w:eastAsia="Calibri" w:cs="Times New Roman" w:ascii="Times New Roman" w:hAnsi="Times New Roman"/>
                <w:bCs/>
                <w:kern w:val="0"/>
                <w:sz w:val="24"/>
                <w:szCs w:val="24"/>
                <w:lang w:val="ru-RU" w:eastAsia="en-US" w:bidi="ar-SA"/>
              </w:rPr>
              <w:t>Размещение полной и достоверной информации по управлению многоквартирными домами управляющих организаций, осуществляющих свою деятельность на территории Камчатского края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для хозяйствующих субъектов всех форм собственности равных условий деятельности на товарном рынке</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Мониторинг размещения информации управляющими организациями на государственной информационной системы жилищно-коммунального хозяйства раз в полгода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Государственная жилищная инспекция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21. Рынок выполнения работ по благоустройству</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Благоустройство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 Источником получения информации по данному рынку являются данные органов местного самоуправления муниципальных образований в Камчатском крае.</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Административными и экономическими барьерами входа на рынок хозяйствующих субъектов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низкая доля обеспеченности финансированием всех уровней бюджетной системы мероприятий по благоустройству;</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значительная отдаленность территорий и ограниченные возможности транспортировки строительных материалов и элементов благоустройства;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(сезонность работ по благоустройству) короткий летний период, в который возможно выполнять работы по благоустройству;</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низкая активность населения в реализации мероприятий по благоустройству территорий;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подготовка дизайн-проекта благоустройства дворовых территорий;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проведение общественных обсуждений;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разработка технической документации и прохождение экспертиз, в то числе государственных;</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вложение средств граждан, в том числе на внедрение современных технологий для объектов благоустройства.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Данный рынок требует решения задач по формированию благоприятной конкурентной среды, обеспечению инвестиционной привлекательности отрасли благоустройства, вывода из тени финансовых отраслевых потоков, стимулированию роста налоговых отчислений и устранению недобросовестной конкуренции.</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21.1.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bCs/>
                <w:sz w:val="24"/>
                <w:szCs w:val="24"/>
              </w:rPr>
            </w:pPr>
            <w:r>
              <w:rPr>
                <w:rFonts w:eastAsia="Calibri" w:cs="Times New Roman" w:ascii="Times New Roman" w:hAnsi="Times New Roman"/>
                <w:bCs/>
                <w:kern w:val="0"/>
                <w:sz w:val="24"/>
                <w:szCs w:val="24"/>
                <w:lang w:val="ru-RU" w:eastAsia="en-US" w:bidi="ar-SA"/>
              </w:rPr>
              <w:t>Реализация мероприятий, направленных на повышение вовлеченности граждан и организаций в сферу благоустройства территорий муниципальных образований</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Увеличение числа участников рынка за счет увеличения финансирования мероприятий по созданию комфортной городской среды</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Доля финансового участия граждан в реализации мероприятий по благоустройству от общей суммы предусмотренного финансирования федерального проекта «Формирование комфортной городской среды» (процентов) </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строительства и жилищной политики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21.2.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bCs/>
                <w:sz w:val="24"/>
                <w:szCs w:val="24"/>
              </w:rPr>
            </w:pPr>
            <w:r>
              <w:rPr>
                <w:rFonts w:eastAsia="Calibri" w:cs="Times New Roman" w:ascii="Times New Roman" w:hAnsi="Times New Roman"/>
                <w:bCs/>
                <w:kern w:val="0"/>
                <w:sz w:val="24"/>
                <w:szCs w:val="24"/>
                <w:lang w:val="ru-RU" w:eastAsia="en-US" w:bidi="ar-SA"/>
              </w:rPr>
              <w:t>Реализация мероприятий по комплексному благоустройству общественных территорий в рамках приоритетного проекта «Формирование комфортной городской среды», предусматривающему установку детских спортивных площадок, различных малых архитектурных форм, озеленения территорий, обеспечение освещения и др.</w:t>
            </w:r>
          </w:p>
        </w:tc>
        <w:tc>
          <w:tcPr>
            <w:tcW w:w="2268" w:type="dxa"/>
            <w:gridSpan w:val="2"/>
            <w:tcBorders/>
          </w:tcPr>
          <w:p>
            <w:pPr>
              <w:pStyle w:val="Normal"/>
              <w:widowControl w:val="false"/>
              <w:suppressAutoHyphens w:val="true"/>
              <w:spacing w:lineRule="auto" w:line="240" w:before="0" w:after="0"/>
              <w:jc w:val="left"/>
              <w:rPr>
                <w:rFonts w:eastAsia="TimesNewRomanPSMT"/>
                <w:sz w:val="24"/>
                <w:szCs w:val="24"/>
              </w:rPr>
            </w:pPr>
            <w:r>
              <w:rPr>
                <w:rFonts w:eastAsia="TimesNewRomanPSMT" w:cs="Times New Roman" w:ascii="Times New Roman" w:hAnsi="Times New Roman"/>
                <w:kern w:val="0"/>
                <w:sz w:val="24"/>
                <w:szCs w:val="24"/>
                <w:lang w:val="ru-RU" w:eastAsia="en-US" w:bidi="ar-SA"/>
              </w:rPr>
              <w:t>Увеличение количества организаций</w:t>
            </w:r>
          </w:p>
          <w:p>
            <w:pPr>
              <w:pStyle w:val="Normal"/>
              <w:widowControl w:val="false"/>
              <w:suppressAutoHyphens w:val="true"/>
              <w:spacing w:lineRule="auto" w:line="240" w:before="0" w:after="0"/>
              <w:jc w:val="left"/>
              <w:rPr>
                <w:rFonts w:eastAsia="Calibri"/>
                <w:sz w:val="24"/>
                <w:szCs w:val="24"/>
              </w:rPr>
            </w:pPr>
            <w:r>
              <w:rPr>
                <w:rFonts w:eastAsia="TimesNewRomanPSMT" w:cs="Times New Roman" w:ascii="Times New Roman" w:hAnsi="Times New Roman"/>
                <w:kern w:val="0"/>
                <w:sz w:val="24"/>
                <w:szCs w:val="24"/>
                <w:lang w:val="ru-RU" w:eastAsia="en-US" w:bidi="ar-SA"/>
              </w:rPr>
              <w:t>частной формы собственности на рынке</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средств, направленных на реализацию мероприятий по коммунальному благоустройству территорий в рамках федерального проекта «Формирование комфортной городской среды» от общего объема средств, направленных на благоустройство в рамках федерального проекта «Формирование комфортной городской среды»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строительства и жилищной политики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22. Рынок строительства (по виду экономической деятельности «строительство»)</w:t>
            </w:r>
          </w:p>
          <w:p>
            <w:pPr>
              <w:pStyle w:val="Normal"/>
              <w:widowControl w:val="false"/>
              <w:suppressAutoHyphens w:val="true"/>
              <w:spacing w:lineRule="auto" w:line="240" w:before="0" w:after="0"/>
              <w:ind w:firstLine="596"/>
              <w:jc w:val="left"/>
              <w:rPr>
                <w:rFonts w:eastAsia="Calibri"/>
              </w:rPr>
            </w:pPr>
            <w:r>
              <w:rPr>
                <w:rFonts w:eastAsia="Calibri" w:cs="Times New Roman CYR" w:ascii="Times New Roman CYR" w:hAnsi="Times New Roman CYR"/>
                <w:kern w:val="0"/>
                <w:sz w:val="24"/>
                <w:szCs w:val="24"/>
                <w:lang w:val="ru-RU" w:eastAsia="en-US" w:bidi="ar-SA"/>
              </w:rPr>
              <w:t>В Камчатском крае зарегистрировано 243 строительных организаций членов СРО, в том числе с государственным или муниципальным участием 4 организации. Процент присутствия организаций частной формы собственности в сфере строительства за 3 квартала 2021 года составляет 98,3 %</w:t>
            </w:r>
          </w:p>
          <w:p>
            <w:pPr>
              <w:pStyle w:val="Normal"/>
              <w:widowControl w:val="false"/>
              <w:suppressAutoHyphens w:val="true"/>
              <w:spacing w:lineRule="auto" w:line="240" w:before="0" w:after="0"/>
              <w:ind w:firstLine="596"/>
              <w:jc w:val="left"/>
              <w:rPr>
                <w:rFonts w:eastAsia="Calibri"/>
                <w:sz w:val="24"/>
                <w:szCs w:val="24"/>
              </w:rPr>
            </w:pPr>
            <w:r>
              <w:rPr>
                <w:rFonts w:eastAsia="Calibri" w:cs="Times New Roman" w:ascii="Times New Roman" w:hAnsi="Times New Roman"/>
                <w:kern w:val="0"/>
                <w:sz w:val="24"/>
                <w:szCs w:val="24"/>
                <w:lang w:val="ru-RU" w:eastAsia="en-US" w:bidi="ar-SA"/>
              </w:rPr>
              <w:t>В соответствии с разделом С Общероссийского классификатора видов экономической деятельности ОК 029-2014 (КДЕС Ред.2) хозяйствующие субъекты, заявившие при регистрации основной вид деятельности (41.2) «Строительство жилых и нежилых зданий» не имеют ограничений в выборе объектов (жилых и нежилых) и могут осуществлять строительство нескольких объектов различного назначения.</w:t>
            </w:r>
          </w:p>
          <w:p>
            <w:pPr>
              <w:pStyle w:val="Normal"/>
              <w:widowControl w:val="false"/>
              <w:suppressAutoHyphens w:val="true"/>
              <w:spacing w:lineRule="auto" w:line="240" w:before="0" w:after="0"/>
              <w:ind w:firstLine="596"/>
              <w:jc w:val="left"/>
              <w:rPr>
                <w:rFonts w:eastAsia="Calibri"/>
                <w:sz w:val="24"/>
                <w:szCs w:val="24"/>
              </w:rPr>
            </w:pPr>
            <w:r>
              <w:rPr>
                <w:rFonts w:eastAsia="Calibri" w:cs="Times New Roman" w:ascii="Times New Roman" w:hAnsi="Times New Roman"/>
                <w:kern w:val="0"/>
                <w:sz w:val="24"/>
                <w:szCs w:val="24"/>
                <w:lang w:val="ru-RU" w:eastAsia="en-US" w:bidi="ar-SA"/>
              </w:rPr>
              <w:t>Все контракты на строительство жилых и нежилых зданий заключаются на конкурсной основе в соответствии с действующим законодательством. Организации государственной и муниципальной формы участвуют в конкурсных процедурах на общих основаниях.</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22.1.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Проведение совещаний с участниками рынка по выявлению и устранению административных барьеров на региональном рынке выполнения работ по строительству </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Устранение административных барьеров для выхода на товарный рынок</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организаций частной формы собственности в объеме выполненных работ по виду экономической деятельности «Строительство»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74,6</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86</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91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строительства и жилищной политики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23. Рынок производства бетона</w:t>
            </w:r>
          </w:p>
          <w:p>
            <w:pPr>
              <w:pStyle w:val="Normal"/>
              <w:widowControl w:val="false"/>
              <w:tabs>
                <w:tab w:val="clear" w:pos="708"/>
                <w:tab w:val="left" w:pos="12742" w:leader="none"/>
              </w:tabs>
              <w:suppressAutoHyphens w:val="true"/>
              <w:spacing w:lineRule="auto" w:line="240" w:before="0" w:after="0"/>
              <w:ind w:firstLine="596"/>
              <w:jc w:val="left"/>
              <w:rPr>
                <w:rFonts w:eastAsia="Times New Roman"/>
                <w:sz w:val="24"/>
                <w:szCs w:val="24"/>
                <w:lang w:eastAsia="ru-RU"/>
              </w:rPr>
            </w:pPr>
            <w:r>
              <w:rPr>
                <w:rFonts w:eastAsia="Times New Roman" w:cs="Times New Roman" w:ascii="Times New Roman" w:hAnsi="Times New Roman"/>
                <w:kern w:val="0"/>
                <w:sz w:val="24"/>
                <w:szCs w:val="24"/>
                <w:lang w:val="ru-RU" w:eastAsia="ru-RU" w:bidi="ar-SA"/>
              </w:rPr>
              <w:t>Процент присутствия организаций частной формы собственности в сфере производства бетона составляет 100 %.</w:t>
              <w:tab/>
            </w:r>
          </w:p>
          <w:p>
            <w:pPr>
              <w:pStyle w:val="Normal"/>
              <w:widowControl w:val="false"/>
              <w:tabs>
                <w:tab w:val="clear" w:pos="708"/>
                <w:tab w:val="left" w:pos="12742" w:leader="none"/>
              </w:tabs>
              <w:suppressAutoHyphens w:val="true"/>
              <w:spacing w:lineRule="auto" w:line="240" w:before="0" w:after="0"/>
              <w:ind w:firstLine="596"/>
              <w:jc w:val="left"/>
              <w:rPr>
                <w:rFonts w:eastAsia="Times New Roman"/>
                <w:sz w:val="24"/>
                <w:szCs w:val="24"/>
                <w:lang w:eastAsia="ru-RU"/>
              </w:rPr>
            </w:pPr>
            <w:r>
              <w:rPr>
                <w:rFonts w:eastAsia="Times New Roman" w:cs="Times New Roman" w:ascii="Times New Roman" w:hAnsi="Times New Roman"/>
                <w:kern w:val="0"/>
                <w:sz w:val="24"/>
                <w:szCs w:val="24"/>
                <w:lang w:val="ru-RU" w:eastAsia="ru-RU" w:bidi="ar-SA"/>
              </w:rPr>
              <w:t>В соответствии официальными статистическими данными Камчатстата производство по хозяйствующим субъектам, заявившим при регистрации деятельность, соответствующую классу 23.63 «Производство товарного бетона» Раздела С Общероссийского классификатора видов экономической деятельности ОК 029-2014 (КДЕС Ред.2), за январь-сентябрь 2021 года составило 61,7 тыс. м3 (105,7% к аналогичному периоду 2020 года).</w:t>
            </w:r>
          </w:p>
          <w:p>
            <w:pPr>
              <w:pStyle w:val="Normal"/>
              <w:widowControl w:val="false"/>
              <w:suppressAutoHyphens w:val="true"/>
              <w:spacing w:lineRule="auto" w:line="240" w:before="0" w:after="0"/>
              <w:ind w:firstLine="596"/>
              <w:jc w:val="left"/>
              <w:rPr>
                <w:rFonts w:eastAsia="Times New Roman"/>
                <w:sz w:val="24"/>
                <w:szCs w:val="24"/>
                <w:lang w:eastAsia="ru-RU"/>
              </w:rPr>
            </w:pPr>
            <w:r>
              <w:rPr>
                <w:rFonts w:eastAsia="Times New Roman" w:cs="Times New Roman" w:ascii="Times New Roman" w:hAnsi="Times New Roman"/>
                <w:kern w:val="0"/>
                <w:sz w:val="24"/>
                <w:szCs w:val="24"/>
                <w:lang w:val="ru-RU" w:eastAsia="ru-RU" w:bidi="ar-SA"/>
              </w:rPr>
              <w:t>Проведение ежегодного мониторинга состояния и развития конкурентной среды на рынках товаров, работ и услуг Камчатского края путем проведения анкетирования в форме социологического опроса, как населения Камчатского края, так и субъектов предпринимательской деятельности показывает, что субъекты предпринимательской деятельности оценивают рынок производства бетона как рынок с высоким уровнем конкуренции.</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23.1.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Стимулирование развития производства бетона посредством увеличения объемов капитального строительства. Мониторинг ситуации на рынке производства бетона частными хозяйствующими субъектами в общем производстве бетона</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Отсутствие на рынке производства бетона предприятий с государственным участием</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проведенной работе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строительства и жилищной политики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24. Рынок кадастровых и землеустроительных работ</w:t>
            </w:r>
          </w:p>
          <w:p>
            <w:pPr>
              <w:pStyle w:val="Normal"/>
              <w:widowControl w:val="false"/>
              <w:suppressAutoHyphens w:val="true"/>
              <w:spacing w:lineRule="auto" w:line="240" w:before="0" w:after="0"/>
              <w:ind w:firstLine="596"/>
              <w:jc w:val="left"/>
              <w:rPr>
                <w:rFonts w:eastAsia="Calibri"/>
                <w:sz w:val="24"/>
                <w:szCs w:val="24"/>
              </w:rPr>
            </w:pPr>
            <w:r>
              <w:rPr>
                <w:rFonts w:eastAsia="Calibri" w:cs="Times New Roman" w:ascii="Times New Roman" w:hAnsi="Times New Roman"/>
                <w:kern w:val="0"/>
                <w:sz w:val="24"/>
                <w:szCs w:val="24"/>
                <w:lang w:val="ru-RU" w:eastAsia="en-US" w:bidi="ar-SA"/>
              </w:rPr>
              <w:t>Рынок на территории Камчатского края почти на 100 % представлен СМСП, осуществляющими кадастровую и землеустроительную деятельность.</w:t>
            </w:r>
          </w:p>
          <w:p>
            <w:pPr>
              <w:pStyle w:val="Normal"/>
              <w:widowControl w:val="false"/>
              <w:suppressAutoHyphens w:val="true"/>
              <w:spacing w:lineRule="auto" w:line="240" w:before="0" w:after="0"/>
              <w:ind w:firstLine="596"/>
              <w:jc w:val="left"/>
              <w:rPr>
                <w:rFonts w:eastAsia="Calibri"/>
                <w:sz w:val="24"/>
                <w:szCs w:val="24"/>
              </w:rPr>
            </w:pPr>
            <w:r>
              <w:rPr>
                <w:rFonts w:eastAsia="Calibri" w:cs="Times New Roman" w:ascii="Times New Roman" w:hAnsi="Times New Roman"/>
                <w:kern w:val="0"/>
                <w:sz w:val="24"/>
                <w:szCs w:val="24"/>
                <w:lang w:val="ru-RU" w:eastAsia="en-US" w:bidi="ar-SA"/>
              </w:rPr>
              <w:t>По мнению СМСП, на рынке кадастровых и землеустроительных работ складывается сильная конкуренция, поскольку помимо местных исполнителей на рынок кадастровых работ выходят иногородние предприниматели.</w:t>
            </w:r>
          </w:p>
          <w:p>
            <w:pPr>
              <w:pStyle w:val="Normal"/>
              <w:widowControl w:val="false"/>
              <w:suppressAutoHyphens w:val="true"/>
              <w:spacing w:lineRule="auto" w:line="240" w:before="0" w:after="0"/>
              <w:ind w:firstLine="596"/>
              <w:jc w:val="left"/>
              <w:rPr>
                <w:rFonts w:eastAsia="Calibri"/>
                <w:sz w:val="24"/>
                <w:szCs w:val="24"/>
              </w:rPr>
            </w:pPr>
            <w:r>
              <w:rPr>
                <w:rFonts w:eastAsia="Calibri" w:cs="Times New Roman" w:ascii="Times New Roman" w:hAnsi="Times New Roman"/>
                <w:kern w:val="0"/>
                <w:sz w:val="24"/>
                <w:szCs w:val="24"/>
                <w:lang w:val="ru-RU" w:eastAsia="en-US" w:bidi="ar-SA"/>
              </w:rPr>
              <w:t>Основным барьером, осложняющим ведение бизнеса в сфере кадастрового учета и землеустроительных работ, предприниматели считают неоднозначность норм российского законодательства, регулирующего вопросы кадастрового учета и/или регистрации прав, и отсутствие единого подхода к толкованию всеми участниками кадастрового и регистрационного процесса.</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24.1.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Осуществление закупок на выполнение кадастровых и землеустроительных работ у СМП</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Достижение ключевого показателя на рынке кадастровых и землеустроительных работ</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закупок на выполнение кадастровых и землеустроительных работ у СМП в общем объеме закупок на выполнение кадастровых и землеустроительных работ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123" w:type="dxa"/>
            <w:tcBorders/>
          </w:tcPr>
          <w:p>
            <w:pPr>
              <w:pStyle w:val="Normal"/>
              <w:widowControl w:val="false"/>
              <w:suppressAutoHyphens w:val="true"/>
              <w:spacing w:lineRule="auto" w:line="240" w:before="0" w:after="0"/>
              <w:jc w:val="both"/>
              <w:rPr>
                <w:rFonts w:eastAsia="Calibri"/>
                <w:kern w:val="2"/>
                <w:sz w:val="24"/>
                <w:szCs w:val="24"/>
              </w:rPr>
            </w:pPr>
            <w:r>
              <w:rPr>
                <w:rFonts w:eastAsia="Calibri" w:cs="Times New Roman" w:ascii="Times New Roman" w:hAnsi="Times New Roman"/>
                <w:kern w:val="0"/>
                <w:sz w:val="24"/>
                <w:szCs w:val="24"/>
                <w:lang w:val="ru-RU" w:eastAsia="en-US" w:bidi="ar-SA"/>
              </w:rPr>
              <w:t>Министерство имущественных и земельных отношений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25. Рынок оказания услуг по перевозке пассажиров автомобильным транспортом по муниципальным маршрутам регулярных перевозок</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частных организаций по отношению к общему количеству организаций на рынке составляет 55%.</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Камчатском крае рынок услуг перевозок пассажиров автомобильным транспортом сформирован с учетом сложившейся маршрутной сети.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Перевозки пассажиров по внутримуниципальным маршрутам автомобильным и городским пассажирским транспортом относятся к сфере полномочий органов местного самоуправления.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На данном рынке отсутствуют компании, занимающие доминирующее положение. Сегменты рынка, на которых в силу нормативных требований или объективных причин могут осуществлять деятельность только государственные и (или) муниципальные организации отсутствуют. Рынок с развитой конкуренцией.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Среди основных барьеров, препятствующих выходу хозяйствующих субъектов на рынок услуг по перевозке пассажиров наземным транспортом в муниципальном сообщении, можно выделить следующие:</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1. Основным барьером, встающим перед потенциальным участником рынка, является необходимость осуществления значительных первоначальных вложений (покупка автотранспортных средств (подвижного состава).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2. Согласно статьи 12 Федерального закона от 04.05.2011 № 99-ФЗ «О лицензировании отдельных видов деятельности»,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подлежит лицензированию.</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3. Проведение органами местного самоуправления конкурсов на право заключения муниципальных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Однако можно сделать вывод, что данные барьеры являются преодолимыми для потенциальных участников рынка.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соответствии с действующим законодательством привлечение субъектов предпринимательской деятельности к регулярным перевозкам по маршрутам муниципального сообщения осуществляется исключительно на конкурсной основе. Проведение конкурсов дает возможность определять наиболее достойных перевозчиков, обеспечить безопасность и достаточный уровень качества транспортного обслуживания населения.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25.1.</w:t>
            </w:r>
          </w:p>
        </w:tc>
        <w:tc>
          <w:tcPr>
            <w:tcW w:w="2834" w:type="dxa"/>
            <w:gridSpan w:val="2"/>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2268" w:type="dxa"/>
            <w:gridSpan w:val="2"/>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Увеличение доли услуг (работ) по перевозке пассажиров</w:t>
            </w:r>
          </w:p>
        </w:tc>
        <w:tc>
          <w:tcPr>
            <w:tcW w:w="1420"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993"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82</w:t>
            </w:r>
          </w:p>
        </w:tc>
        <w:tc>
          <w:tcPr>
            <w:tcW w:w="991"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75</w:t>
            </w:r>
          </w:p>
        </w:tc>
        <w:tc>
          <w:tcPr>
            <w:tcW w:w="852"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75</w:t>
            </w:r>
          </w:p>
        </w:tc>
        <w:tc>
          <w:tcPr>
            <w:tcW w:w="992" w:type="dxa"/>
            <w:tcBorders/>
          </w:tcPr>
          <w:p>
            <w:pPr>
              <w:pStyle w:val="Normal"/>
              <w:widowControl w:val="false"/>
              <w:suppressAutoHyphens w:val="true"/>
              <w:spacing w:lineRule="auto" w:line="240" w:before="0" w:after="0"/>
              <w:jc w:val="center"/>
              <w:rPr>
                <w:sz w:val="24"/>
              </w:rPr>
            </w:pPr>
            <w:r>
              <w:rPr>
                <w:rFonts w:eastAsia="Calibri" w:cs="Times New Roman" w:ascii="Times New Roman" w:hAnsi="Times New Roman"/>
                <w:kern w:val="0"/>
                <w:sz w:val="24"/>
                <w:szCs w:val="28"/>
                <w:lang w:val="ru-RU" w:eastAsia="en-US" w:bidi="ar-SA"/>
              </w:rPr>
              <w:t>75</w:t>
            </w:r>
          </w:p>
        </w:tc>
        <w:tc>
          <w:tcPr>
            <w:tcW w:w="2123"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Министерство транспорта и дорожного строительства Камчатского края</w:t>
            </w:r>
          </w:p>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(строка 25.1</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25.2.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Формирование сети регулярных маршрутов с учетом предложений, изложенных в обращениях негосударственных перевозчиков</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Устранение административных барьеров для выхода на товарный рынок</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муниципальных образований, сформировавших сеть регулярных маршрутов с учетом предложений, изложенных в обращениях негосударственных перевозчиков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2123" w:type="dxa"/>
            <w:tcBorders/>
          </w:tcPr>
          <w:p>
            <w:pPr>
              <w:pStyle w:val="Normal"/>
              <w:widowControl w:val="false"/>
              <w:suppressAutoHyphens w:val="true"/>
              <w:spacing w:lineRule="auto" w:line="240" w:before="0" w:after="0"/>
              <w:jc w:val="left"/>
              <w:rPr>
                <w:rFonts w:eastAsia="Calibri"/>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25.3.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Мониторинг пассажиропотока и потребности региона в корректировке существующей маршрутной сети и создание новых маршрутов</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Устранение административных барьеров для выхода на товарный рынок</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муниципальных образований, проводящих мониторинг пассажиропотока на муниципальных маршрутах регулярного сообщения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2123" w:type="dxa"/>
            <w:tcBorders/>
          </w:tcPr>
          <w:p>
            <w:pPr>
              <w:pStyle w:val="Normal"/>
              <w:widowControl w:val="false"/>
              <w:suppressAutoHyphens w:val="true"/>
              <w:spacing w:lineRule="auto" w:line="240" w:before="0" w:after="0"/>
              <w:jc w:val="left"/>
              <w:rPr>
                <w:rFonts w:eastAsia="Calibri"/>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25.4.</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Разработка документа планирования регулярных перевозок с учетом полученной информации по результатам мониторинга</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Устранение административных барьеров для выхода на товарный рынок</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муниципальных образований, разработавших документ планирования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6</w:t>
            </w:r>
          </w:p>
        </w:tc>
        <w:tc>
          <w:tcPr>
            <w:tcW w:w="2123" w:type="dxa"/>
            <w:tcBorders/>
          </w:tcPr>
          <w:p>
            <w:pPr>
              <w:pStyle w:val="Normal"/>
              <w:widowControl w:val="false"/>
              <w:suppressAutoHyphens w:val="true"/>
              <w:spacing w:lineRule="auto" w:line="240" w:before="0" w:after="0"/>
              <w:jc w:val="left"/>
              <w:rPr>
                <w:rFonts w:eastAsia="Calibri"/>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26. Рынок оказания услуг по перевозке пассажиров автомобильным транспортом по межмуниципальным маршрутам регулярных перевозок</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частных организаций по отношению к общему количеству организаций на рынке составляет 100%.</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Рынок в Камчатском крае представлен 9 перевозчиками из которых являются не государственными. На данном рынке отсутствуют компании, занимающие доминирующее положение. Сегменты рынка, на которых в силу нормативных требований или объективных причин могут осуществлять деятельность только государственные и (или) муниципальные организации отсутствуют. Рынок с развитой конкуренцией.</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Среди основных барьеров, препятствующих выходу хозяйствующих субъектов на рынок услуг по перевозке пассажиров наземным транспортом в муниципальном сообщении, можно выделить следующие:</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1. Основным барьером, встающим перед потенциальным участником рынка, является необходимость осуществления значительных первоначальных вложений (покупка автотранспортных средств (подвижного состава).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2. Согласно статьи 12 Федерального закона от 04.05.2011 № 99-ФЗ «О лицензировании отдельных видов деятельности»,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подлежит лицензированию.</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3. Проведение конкурсов на право заключения государственных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Однако можно сделать вывод, что данные барьеры являются преодолимыми для потенциальных участников рынка.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соответствии с действующим законодательством привлечение субъектов предпринимательской деятельности к регулярным перевозкам по маршрутам межмуниципального сообщения осуществляется исключительно на конкурсной основе. Проведение конкурсов дает возможность определять наиболее достойных перевозчиков, обеспечить безопасность и достаточный уровень качества транспортного обслуживания населения.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26.1.</w:t>
            </w:r>
          </w:p>
        </w:tc>
        <w:tc>
          <w:tcPr>
            <w:tcW w:w="2834" w:type="dxa"/>
            <w:gridSpan w:val="2"/>
            <w:tcBorders/>
          </w:tcPr>
          <w:p>
            <w:pPr>
              <w:pStyle w:val="Normal"/>
              <w:widowControl w:val="false"/>
              <w:tabs>
                <w:tab w:val="clear" w:pos="708"/>
                <w:tab w:val="left" w:pos="993" w:leader="none"/>
              </w:tabs>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2268" w:type="dxa"/>
            <w:gridSpan w:val="2"/>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Увеличение доли услуг (работ) по перевозке пассажиров</w:t>
            </w:r>
          </w:p>
        </w:tc>
        <w:tc>
          <w:tcPr>
            <w:tcW w:w="1420"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2022–2025</w:t>
            </w:r>
          </w:p>
        </w:tc>
        <w:tc>
          <w:tcPr>
            <w:tcW w:w="2834" w:type="dxa"/>
            <w:gridSpan w:val="2"/>
            <w:tcBorders/>
          </w:tcPr>
          <w:p>
            <w:pPr>
              <w:pStyle w:val="Normal"/>
              <w:widowControl w:val="false"/>
              <w:tabs>
                <w:tab w:val="clear" w:pos="708"/>
                <w:tab w:val="left" w:pos="993" w:leader="none"/>
              </w:tabs>
              <w:suppressAutoHyphens w:val="true"/>
              <w:spacing w:lineRule="auto" w:line="240" w:before="0" w:after="0"/>
              <w:jc w:val="both"/>
              <w:rPr>
                <w:sz w:val="24"/>
              </w:rPr>
            </w:pPr>
            <w:r>
              <w:rPr>
                <w:rFonts w:eastAsia="Calibri" w:cs="Times New Roman" w:ascii="Times New Roman" w:hAnsi="Times New Roman"/>
                <w:kern w:val="0"/>
                <w:sz w:val="24"/>
                <w:szCs w:val="28"/>
                <w:lang w:val="ru-RU" w:eastAsia="en-US" w:bidi="ar-SA"/>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993"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100</w:t>
            </w:r>
          </w:p>
        </w:tc>
        <w:tc>
          <w:tcPr>
            <w:tcW w:w="991"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100</w:t>
            </w:r>
          </w:p>
        </w:tc>
        <w:tc>
          <w:tcPr>
            <w:tcW w:w="852"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100</w:t>
            </w:r>
          </w:p>
        </w:tc>
        <w:tc>
          <w:tcPr>
            <w:tcW w:w="992"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100</w:t>
            </w:r>
          </w:p>
        </w:tc>
        <w:tc>
          <w:tcPr>
            <w:tcW w:w="2123" w:type="dxa"/>
            <w:tcBorders/>
          </w:tcPr>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Министерство транспорта и дорожного строительства Камчатского края</w:t>
            </w:r>
          </w:p>
          <w:p>
            <w:pPr>
              <w:pStyle w:val="Normal"/>
              <w:widowControl w:val="false"/>
              <w:suppressAutoHyphens w:val="true"/>
              <w:spacing w:lineRule="auto" w:line="240" w:before="0" w:after="0"/>
              <w:jc w:val="left"/>
              <w:rPr>
                <w:sz w:val="24"/>
              </w:rPr>
            </w:pPr>
            <w:r>
              <w:rPr>
                <w:rFonts w:eastAsia="Calibri" w:cs="Times New Roman" w:ascii="Times New Roman" w:hAnsi="Times New Roman"/>
                <w:kern w:val="0"/>
                <w:sz w:val="24"/>
                <w:szCs w:val="28"/>
                <w:lang w:val="ru-RU" w:eastAsia="en-US" w:bidi="ar-SA"/>
              </w:rPr>
              <w:t>(строка 26.1</w:t>
            </w:r>
            <w:r>
              <w:rPr>
                <w:rFonts w:eastAsia="Calibri" w:cs="Times New Roman" w:ascii="Times New Roman" w:hAnsi="Times New Roman"/>
                <w:kern w:val="0"/>
                <w:sz w:val="24"/>
                <w:szCs w:val="28"/>
                <w:lang w:val="ru-RU" w:eastAsia="en-US" w:bidi="hi-IN"/>
              </w:rPr>
              <w:t xml:space="preserve"> в редакции распоряжения Правительства Камчатского края от 02.03.2023 № 81-РП)</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26.2.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Формирование сети регулярных маршрутов с учетом предложений, изложенных в обращениях негосударственных перевозчиков</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Устранение административных барьеров для выхода на товарный рынок</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Маршрутная сеть межмуниципальных маршрутов регулярных перевозок, сформированная с учетом предложений, изложенных в обращениях негосударственных перевозчиков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2123" w:type="dxa"/>
            <w:tcBorders/>
          </w:tcPr>
          <w:p>
            <w:pPr>
              <w:pStyle w:val="Normal"/>
              <w:widowControl w:val="false"/>
              <w:suppressAutoHyphens w:val="true"/>
              <w:spacing w:lineRule="auto" w:line="240" w:before="0" w:after="0"/>
              <w:jc w:val="left"/>
              <w:rPr>
                <w:rFonts w:eastAsia="Calibri"/>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26.3.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Мониторинг пассажиропотока и потребности региона в корректировке существующей маршрутной сети и создание новых маршрутов</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Устранение административных барьеров для выхода на товарный рынок</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мониторинга пассажиропотока на межмуниципальных маршрутах регулярного сообщения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2123" w:type="dxa"/>
            <w:tcBorders/>
          </w:tcPr>
          <w:p>
            <w:pPr>
              <w:pStyle w:val="Normal"/>
              <w:widowControl w:val="false"/>
              <w:suppressAutoHyphens w:val="true"/>
              <w:spacing w:lineRule="auto" w:line="240" w:before="0" w:after="0"/>
              <w:jc w:val="left"/>
              <w:rPr>
                <w:rFonts w:eastAsia="Calibri"/>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26.4.</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Разработка документа планирования регулярных перевозок с учетом полученной информации по результатам мониторинга</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Устранение административных барьеров для выхода на товарный рынок</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Наличие утвержденного документа планирования регулярных перевозок с учетом полученной информации по результатам мониторинга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2123" w:type="dxa"/>
            <w:tcBorders/>
          </w:tcPr>
          <w:p>
            <w:pPr>
              <w:pStyle w:val="Normal"/>
              <w:widowControl w:val="false"/>
              <w:suppressAutoHyphens w:val="true"/>
              <w:spacing w:lineRule="auto" w:line="240" w:before="0" w:after="0"/>
              <w:jc w:val="left"/>
              <w:rPr>
                <w:rFonts w:eastAsia="Calibri"/>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27. Рынок оказания услуг по перевозке пассажиров и багажа легковым такси на территории Камчатского края</w:t>
            </w:r>
          </w:p>
          <w:p>
            <w:pPr>
              <w:pStyle w:val="Normal"/>
              <w:widowControl w:val="false"/>
              <w:suppressAutoHyphens w:val="true"/>
              <w:spacing w:lineRule="auto" w:line="240" w:before="0" w:after="0"/>
              <w:ind w:firstLine="601"/>
              <w:jc w:val="both"/>
              <w:rPr>
                <w:rFonts w:eastAsia="Times New Roman"/>
                <w:sz w:val="24"/>
                <w:szCs w:val="24"/>
                <w:lang w:eastAsia="ru-RU"/>
              </w:rPr>
            </w:pPr>
            <w:r>
              <w:rPr>
                <w:rFonts w:eastAsia="Times New Roman" w:cs="Times New Roman" w:ascii="Times New Roman" w:hAnsi="Times New Roman"/>
                <w:kern w:val="0"/>
                <w:sz w:val="24"/>
                <w:szCs w:val="24"/>
                <w:lang w:val="ru-RU" w:eastAsia="ru-RU" w:bidi="ar-SA"/>
              </w:rPr>
              <w:t>Рынок на территории Камчатского края на 100 % представлен не государственными организациями.</w:t>
            </w:r>
          </w:p>
          <w:p>
            <w:pPr>
              <w:pStyle w:val="Normal"/>
              <w:widowControl w:val="false"/>
              <w:suppressAutoHyphens w:val="true"/>
              <w:spacing w:lineRule="auto" w:line="240" w:before="0" w:after="0"/>
              <w:ind w:firstLine="601"/>
              <w:jc w:val="both"/>
              <w:rPr>
                <w:rFonts w:eastAsia="Times New Roman"/>
                <w:sz w:val="24"/>
                <w:szCs w:val="24"/>
                <w:lang w:eastAsia="ru-RU"/>
              </w:rPr>
            </w:pPr>
            <w:r>
              <w:rPr>
                <w:rFonts w:eastAsia="Times New Roman" w:cs="Times New Roman" w:ascii="Times New Roman" w:hAnsi="Times New Roman"/>
                <w:kern w:val="0"/>
                <w:sz w:val="24"/>
                <w:szCs w:val="24"/>
                <w:lang w:val="ru-RU" w:eastAsia="ru-RU" w:bidi="ar-SA"/>
              </w:rPr>
              <w:t>На сегодняшний день с целью упорядочения рынка таксомоторных услуг, обеспечения безопасности перевозочного процесса и легализации «теневого» бизнеса таксомоторной отрасли, назрела острая необходимость совершенствования нормативно-правового регулирования деятельности по перевозке пассажиров и багажа легковым такси (далее - деятельность такси) на федеральном и региональном уровнях.</w:t>
            </w:r>
          </w:p>
          <w:p>
            <w:pPr>
              <w:pStyle w:val="Normal"/>
              <w:widowControl w:val="false"/>
              <w:suppressAutoHyphens w:val="true"/>
              <w:spacing w:lineRule="auto" w:line="240" w:before="0" w:after="0"/>
              <w:ind w:firstLine="601"/>
              <w:jc w:val="both"/>
              <w:rPr>
                <w:rFonts w:eastAsia="Times New Roman"/>
                <w:sz w:val="24"/>
                <w:szCs w:val="24"/>
                <w:lang w:eastAsia="ru-RU"/>
              </w:rPr>
            </w:pPr>
            <w:r>
              <w:rPr>
                <w:rFonts w:eastAsia="Times New Roman" w:cs="Times New Roman" w:ascii="Times New Roman" w:hAnsi="Times New Roman"/>
                <w:kern w:val="0"/>
                <w:sz w:val="24"/>
                <w:szCs w:val="24"/>
                <w:lang w:val="ru-RU" w:eastAsia="ru-RU" w:bidi="ar-SA"/>
              </w:rPr>
              <w:t>В соответствии со статьей 9 Федерального закона от 21.04.2011 № 69-ФЗ «О внесении изменений в отдельные законодательные акты Российской Федерации»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Вместе с тем процедура получения разрешения достаточна проста, что не создаст барьер для входа на рынок.</w:t>
            </w:r>
          </w:p>
          <w:p>
            <w:pPr>
              <w:pStyle w:val="Normal"/>
              <w:widowControl w:val="false"/>
              <w:suppressAutoHyphens w:val="true"/>
              <w:spacing w:lineRule="auto" w:line="240" w:before="0" w:after="0"/>
              <w:jc w:val="both"/>
              <w:rPr>
                <w:rFonts w:eastAsia="Calibri"/>
                <w:sz w:val="24"/>
                <w:szCs w:val="24"/>
              </w:rPr>
            </w:pPr>
            <w:r>
              <w:rPr>
                <w:rFonts w:eastAsia="Times New Roman" w:cs="Times New Roman" w:ascii="Times New Roman" w:hAnsi="Times New Roman"/>
                <w:kern w:val="0"/>
                <w:sz w:val="24"/>
                <w:szCs w:val="24"/>
                <w:lang w:val="ru-RU" w:eastAsia="ru-RU" w:bidi="ar-SA"/>
              </w:rPr>
              <w:t>Учитывая то, что основной проблемой в этой области является развитие нелегального извоза, приоритетным направлением по развитию сферы таксомоторных перевозок должен являться комплекс мероприятий по легализации занятых лиц в этом сегменте рынка. В комплекс мероприятий должны входить направления совершенствования государственного регионального контроля, меры экономического стимулирования участников рынка, развитие нормативно-правовой базы субъектов Российской Федерации.</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27.1.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bCs/>
                <w:sz w:val="24"/>
                <w:szCs w:val="24"/>
              </w:rPr>
            </w:pPr>
            <w:r>
              <w:rPr>
                <w:rFonts w:eastAsia="Calibri" w:cs="Times New Roman" w:ascii="Times New Roman" w:hAnsi="Times New Roman"/>
                <w:kern w:val="0"/>
                <w:sz w:val="24"/>
                <w:szCs w:val="24"/>
                <w:lang w:val="ru-RU" w:eastAsia="en-US" w:bidi="ar-SA"/>
              </w:rPr>
              <w:t>Проведение плановых и внеплановых проверок юридических лиц и индивидуальных предпринимателей, получивших разрешение на осуществление деятельности по перевозке пассажиров и багажа легковым такси на территории Камчатского края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Устранение недобросовестных перевозчиков, улучшение конкурентной среды</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проверок</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28. Рынок оказания услуг по ремонту автотранспортных средств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На рынке оказания услуг по ремонту автотранспортных средств 100% СМСП частной формы собственности. Административные, экономические и иные барьеры, затрудняющие предпринимательскую деятельность на данном рынке отсутствуют. В целях развития конкуренции на данном рынке применяются: создание правовых условий, направленных на повышение социально-экономической эффективности функционирования рынка; содействие повышению качества оказываемых услуг; информирование участников рынка о программах государственной поддержки предпринимательства.</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28.1.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bCs/>
                <w:sz w:val="24"/>
                <w:szCs w:val="24"/>
              </w:rPr>
            </w:pPr>
            <w:r>
              <w:rPr>
                <w:rFonts w:eastAsia="Calibri" w:cs="Times New Roman" w:ascii="Times New Roman" w:hAnsi="Times New Roman"/>
                <w:bCs/>
                <w:kern w:val="0"/>
                <w:sz w:val="24"/>
                <w:szCs w:val="24"/>
                <w:lang w:val="ru-RU" w:eastAsia="en-US" w:bidi="ar-SA"/>
              </w:rPr>
              <w:t>Сохранение наличия на рынке организаций исключительно негосударственной (частной) формы собственности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Оказание организационно-методической и информационно-консультационной помощи субъектам предпринимательства, осуществляющим деятельность на рынке</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публикаций на официальном сайте Министерства транспорта и дорожного строительства Камчатского края (единиц)</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29. Рынок дорожной деятельности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частных организаций по отношению к общему количеству организаций на рынке составляет 81,8 %.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Основной проблемой на рынке дорожной деятельности является устаревшая система ценообразования, повышение стоимости дорожно-строительных материалов не в полной мере учитывается при определении начальной максимальной цены контракта базисно-индексным методом, для решения данной проблемы необходим переход на ресурсный метод.</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Существенным экономическим препятствием для входа на рынок новых игроков, в части обслуживания отдалённых населённых пунктов, является необходимость наличия вблизи данного населённого пункта достаточного количества техники необходимой для проведения работ, либо доставки этой техники к месту проведения работ, а также заключенных договоров с карьерами на поставку инертных материалов, или необходимость получения разрешения на разработку карьера. Также к экономическим барьерам можно отнести дороговизну дорожно-строительной техники и битумных материалов.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С целью недопущения ограничения или устранения конкуренции определение подрядчика осуществляющего дорожную деятельность в отношении автомобильных дорог регионального или межмуниципального и местного значения производится в соответствии с Федеральным законом № 44-ФЗ.</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Исходя из проведенного мониторинга тендерных процедур можно оценить состояние конкуренции дорожной отрасли в Камчатском крае как высокое.</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29.1.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bCs/>
                <w:sz w:val="24"/>
                <w:szCs w:val="24"/>
              </w:rPr>
            </w:pPr>
            <w:r>
              <w:rPr>
                <w:rFonts w:eastAsia="Calibri" w:cs="Times New Roman" w:ascii="Times New Roman" w:hAnsi="Times New Roman"/>
                <w:bCs/>
                <w:kern w:val="0"/>
                <w:sz w:val="24"/>
                <w:szCs w:val="24"/>
                <w:lang w:val="ru-RU" w:eastAsia="en-US" w:bidi="ar-SA"/>
              </w:rPr>
              <w:t>Проведение отраслевых совещаний с хозяйствующими субъектами, осуществляющими деятельность в области дорожного хозяйства, по выявлению и устранению административных барьеров на региональном рынке дорожного строительства</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Своевременное выявление проблем и препятствий, сдерживающих развитие предпринимательства на рынке дорожного строительства, подготовка предложений по их устранению</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проведенных отраслевых совещаний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29.2.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bCs/>
                <w:sz w:val="24"/>
                <w:szCs w:val="24"/>
              </w:rPr>
            </w:pPr>
            <w:r>
              <w:rPr>
                <w:rFonts w:eastAsia="Calibri" w:cs="Times New Roman" w:ascii="Times New Roman" w:hAnsi="Times New Roman"/>
                <w:bCs/>
                <w:kern w:val="0"/>
                <w:sz w:val="24"/>
                <w:szCs w:val="24"/>
                <w:lang w:val="ru-RU" w:eastAsia="en-US" w:bidi="ar-SA"/>
              </w:rPr>
              <w:t>Проведение круглых столов с участием представителей Министерства труда и кадрового потенциала Камчатского края, а также хозяйствующих субъектов, осуществляющих деятельность на рынке дорожного строительства, с целью оказания содействия в подготовке квалифицированных кадров для работы в организациях дорожного хозяйства</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квалифицированными кадрами организаций дорожного строительства, как государственной, так и частной форм собственности</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проведенных круглых столов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29.3.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bCs/>
                <w:sz w:val="24"/>
                <w:szCs w:val="24"/>
              </w:rPr>
            </w:pPr>
            <w:r>
              <w:rPr>
                <w:rFonts w:eastAsia="Calibri" w:cs="Times New Roman" w:ascii="Times New Roman" w:hAnsi="Times New Roman"/>
                <w:bCs/>
                <w:kern w:val="0"/>
                <w:sz w:val="24"/>
                <w:szCs w:val="24"/>
                <w:lang w:val="ru-RU" w:eastAsia="en-US" w:bidi="ar-SA"/>
              </w:rPr>
              <w:t>Направление предложений по совершенствованию нормативной правовой базы Камчатского края в сфере дорожного строительства на рассмотрение в Законодательное Собрание Камчатского края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Снижение административных барьеров, применительно к рынку дорожного строительства</w:t>
            </w:r>
          </w:p>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both"/>
              <w:rPr>
                <w:rFonts w:eastAsia="Times New Roman"/>
                <w:sz w:val="24"/>
                <w:szCs w:val="24"/>
                <w:lang w:eastAsia="ru-RU"/>
              </w:rPr>
            </w:pPr>
            <w:r>
              <w:rPr>
                <w:rFonts w:eastAsia="Calibri" w:cs="Times New Roman" w:ascii="Times New Roman" w:hAnsi="Times New Roman"/>
                <w:kern w:val="0"/>
                <w:sz w:val="24"/>
                <w:szCs w:val="24"/>
                <w:lang w:val="ru-RU" w:eastAsia="en-US" w:bidi="ar-SA"/>
              </w:rPr>
              <w:t>Отчет о проведенной работе</w:t>
            </w:r>
            <w:r>
              <w:rPr>
                <w:rFonts w:eastAsia="Calibri" w:cs="Times New Roman" w:ascii="Times New Roman" w:hAnsi="Times New Roman"/>
                <w:color w:val="000000"/>
                <w:kern w:val="0"/>
                <w:sz w:val="24"/>
                <w:szCs w:val="24"/>
                <w:lang w:val="ru-RU" w:eastAsia="en-US" w:bidi="ar-SA"/>
              </w:rPr>
              <w:t>(единиц)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29.4.</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bCs/>
                <w:sz w:val="24"/>
                <w:szCs w:val="24"/>
              </w:rPr>
            </w:pPr>
            <w:r>
              <w:rPr>
                <w:rFonts w:eastAsia="Calibri" w:cs="Times New Roman" w:ascii="Times New Roman" w:hAnsi="Times New Roman"/>
                <w:bCs/>
                <w:kern w:val="0"/>
                <w:sz w:val="24"/>
                <w:szCs w:val="24"/>
                <w:lang w:val="ru-RU" w:eastAsia="en-US" w:bidi="ar-SA"/>
              </w:rPr>
              <w:t>Предоставление организациям различных форм собственности, оказывающим услуги на рынке дорожного строительства, равного доступа к информации о планируемых закупках товаров (работ, услуг), информирование о проведении закупок крупнейшими поставщиками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Повышение информированности субъектов предпринимательской деятельности в сфере дорожного строительства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проведенной работе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транспорта и дорожного строительства Камчатского края</w:t>
            </w:r>
          </w:p>
        </w:tc>
      </w:tr>
      <w:tr>
        <w:trPr/>
        <w:tc>
          <w:tcPr>
            <w:tcW w:w="16011" w:type="dxa"/>
            <w:gridSpan w:val="13"/>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 Рынок добычи общераспространенных полезных ископаемых на участках недр местного значения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организаций-недропользователей частной формы собственности на рынке общераспространенных полезных ископаемых на участках недр местного значения в Камчатском крае составляет более 83%, из которых более 70% относится к СМСП. Регулирование отношений в сфере недропользования на территории РФ определяется статьей 72 Конституции РФ и Законом РФ от 21.02.1992 № 2395-1 «О недрах» (далее ‒ Закон «О недрах»). Основанием возникновения права пользования участками недр местного значения для разведки и добычи общераспространенных полезных ископаемых (далее ‒ ОПИ) или для геологического изучения, разведки и добычи ОПИ в соответствии с абзацем 1 пункта 6 статьи 10.1 Закона «О недрах» является решение уполномоченного органа, принятое по результатам аукциона на право пользования участком недр местного значения, включенным в согласованный перечень участков недр местного значения (далее ‒ Перечень).</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Решение о включении участка недр местного значения в Перечень принимается исходя из принципов рационального пользования недрами и потребностей экономики края в строительном сырье. В соответствии со статьей 13.1 Закона «О недрах» 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 Проведение аукциона на право пользования участками недр местного значения способствует свободной конкуренции в сфере недропользования и исключает любые</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формы дискриминации хозяйствующих субъектов потенциальных недропользователей. Учитывая, что на рынке добычи ОПИ в Камчатском крае предприятия частной формы собственности составляют более 83% от всех субъектов хозяйствующей деятельности на рынке, при этом насчитывается всего 6 предприятий, совокупная доля участия в которых РФ, субъектов РФ, муниципальных образований составляет более 50 %, рынок добычи ОПИ в Камчатском крае не изменится в период до 2026 года.</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заседаний (совещаний, рабочих встреч, консультаций) с участниками рынка по выявлению и устранению административных барьеров на региональном рынке добычи общераспространенных полезных ископаемых на участках недр местного значения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Снижение административных барьеров входа на рынок добычи общераспространенных полезных ископаемых на участках недр местного значения</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проведенных заседаний (совещаний, рабочих встреч, консультаций) с участниками регионального рынка добычи общераспространённых полезных ископаемых на участках недр местного значения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природных ресурсов и экологии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Формирование предложений по совершенствованию нормативной правовой базы федерального, регионального и муниципального уровней</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Снижение административных барьеров входа на рынок добычи общераспространенных полезных ископаемых на участках недр местного значения</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проведенной работе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природных ресурсов и экологии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30.3.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Информирование организаций частной формы собственности об участках недр местного значения, содержащих общераспространенные полезные ископаемые, предлагаемых для предоставления в пользование, о планируемых к проведению аукционах на право пользования участками недр местного значения</w:t>
            </w:r>
          </w:p>
          <w:p>
            <w:pPr>
              <w:pStyle w:val="Normal"/>
              <w:widowControl w:val="false"/>
              <w:suppressAutoHyphens w:val="true"/>
              <w:spacing w:lineRule="auto" w:line="240" w:before="0" w:after="0"/>
              <w:jc w:val="left"/>
              <w:rPr>
                <w:rFonts w:eastAsia="Calibri"/>
                <w:sz w:val="24"/>
                <w:szCs w:val="24"/>
              </w:rPr>
            </w:pPr>
            <w:r>
              <w:rPr>
                <w:rFonts w:eastAsia="Calibri"/>
                <w:sz w:val="24"/>
                <w:szCs w:val="24"/>
              </w:rPr>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Повышение информированности претендентов на получение права пользования участками недр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местного значения</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Количество размещений информации о планируемых к проведению аукционах на право пользования участками недр местного значения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природных ресурсов и экологии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 Рынок обработки древесины и производства изделий из дерева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частных организаций по отношению к общему количеству организаций на рынке составляет 93,73 %.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В настоящее время доступные лесные участки с преобладанием хвойного хозяйства большей частью истощены. Для освоения нетронутых лесных участков с целью заготовки древесины необходимо развивать лесную инфраструктуру (лесные и лесовозные дороги, мосты через основные водотоки). Развитие лесной инфраструктуры сопряжено со значительными финансовыми затратами, которые небольшие предприятия лесопромышленного комплекса Камчатского края не могут себе позволить.</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Основными причинами, сдерживающими развитие рынка заготовки и обработки древесины и производства изделий из дерева,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низкая доступность лесных ресурсов, связанная с недостаточной развитостью транспортной сети (лесовозных и лесных дорог, отсутствие мостов);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низкая товарность и деконцентрация древесных лесных ресурсов;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удаленность рынков сбыта и высокие транспортные затраты;</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высокие проценты кредитов, нехватка оборотных средств, высокий уровень налогообложения;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реальная доступная лесосека завышена из-за несоответствия материалов лесоустройства количественным и качественным характеристикам древостоя.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ярко выраженная по природным условиям (зимний период) сезонность заготовки древесины.</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Развитие рынка заготовки и обработки древесины и производства изделий из дерева остается негативным по причине как устаревших материалов лесоустройства (отсутствии достоверных сведений о количественных и качественных характеристиках лесных насаждений), обязательности государственного кадастрового учета лесных участков до предоставления их в пользование, так и по причине низкой доступности лесных ресурсов, связанных с недостаточной развитостью транспортной сети (лесовозных и лесных дорог, отсутствие мостов через основные водные артерии Камчатского края), низкой товарностью и деконцентрацией древесных лесных ресурсов, высокие кредитные ставки, препятствующие обновлению основных фондов (лесозаготовительного и лесоперерабатывающего оборудования).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Актуализация реестра предприятий Камчатского края, осуществляющих деятельность в лесном комплексе</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Содержание в актуальном виде реестра предприятий Камчатского края, осуществляющих деятельность в лесном комплексе</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Реестр предприятий Камчатского края, осуществляющих деятельность в лесном комплексе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Агентство лесного хозяйства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мониторинга экономических показателей хозяйствующих субъектов лесного комплекса, осуществляющих деятельность на территории Камчатского края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Содержание в актуальном виде реестра предприятий Камчатского края, осуществляющих деятельность в лесном комплексе</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проведенной работе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Агентство лесного хозяйства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аукционов на право заключения договоров купли-продажи лесных насаждений для заготовки древесины СМСП</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Увеличение обеспеченности лесными ресурсами субъектов предпринимательской деятельности лесопромышленного комплекса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Информационная справка о проведенных аукционов на право заключения договоров купли-продажи лесных насаждений для заготовки древесины СМСП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Агентство лесного хозяйства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31.4.</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Размещение в открытом доступе в информационно-телекоммуникационной сети «Интернет» информации о проведении аукционов на право заключения договоров купли-продажи лесных насаждений для заготовки древесины СМСП</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Повышение информированности субъектов предпринимательской деятельности лесопромышленного комплекса о проводимых аукционах на право заключения договоров купли-продажи лесных насаждений для заготовки древесины СМСП</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Размещение информации на странице Агентства лесного хозяйства и охраны животного мира Камчатского края на сайте Правительства Камчатского края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Агентство лесного хозяйства Камчатского края</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 Рынок легкой промышленности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Доля хозяйствующих субъектов частной формы собственности в сфере легкой промышленности в Камчатском крае составляет 100 %.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Наибольшую долю в легкой промышленности региона занимает швейное производство (чулочно-носочные изделия, одежда) а также производство канатов и сетей для нужд рыбохозяйственной отрасли региона.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Особенностью регионального рынка производства товаров легкой промышленности в Камчатском крае, с учетом его географического расположения, является его ориентация в основном на внутренний потребительский рынок.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Меры по развитию рынка:</w:t>
              <w:tab/>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меры государственной поддержки со стороны организаций, образующих инфраструктуру поддержки малого и среднего предпринимательства Камчатского края (субсидии, микрозаймы, поручительства).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xml:space="preserve">Основными проблемами отрасли в Камчатском крае являются: </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сложная транспортная логистика, приводящая к увеличению себестоимости продукции вследствие высокой стоимости транспортных расходов, завозного сырья и других материально-технических ресурсов, используемых в процессе производства;</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отсутствие квалифицированных кадров;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высокий уровень конкуренции на продовольственном рынке региона за счет ввозимого в край продовольствия;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Основными перспективными направлениями развития рынка являются:</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стимулирование роста объемов производства товаров легкой промышленности;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оказание поддержки для проведения модернизации и развития предприятий легкой промышленности, в том числе создания новых производств;</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содействие по вопросу кадрового обеспечения предприятий отрасли;</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 оказание содействия предприятиям легкой промышленности региона в продвижении производимой продукции на внутренний и внешний рынки.</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Актуализация Реестра организаций Камчатского края, осуществляющих деятельность в сфере легкой промышленности</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Наличие информации об участниках рынка</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Реестр организаций Камчатского края, осуществляющих деятельность в сфере легкой промышленности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экономического развития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мониторинга экономических показателей хозяйствующих субъектов легкой промышленности, осуществляющих свою деятельность на территории Камчатского края</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Мониторинг экономических показателей предприятий легкой промышленности </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проведенной работе (единиц)</w:t>
            </w:r>
          </w:p>
          <w:p>
            <w:pPr>
              <w:pStyle w:val="Normal"/>
              <w:widowControl w:val="false"/>
              <w:suppressAutoHyphens w:val="true"/>
              <w:spacing w:lineRule="auto" w:line="240" w:before="0" w:after="0"/>
              <w:jc w:val="center"/>
              <w:rPr>
                <w:rFonts w:eastAsia="Calibri"/>
                <w:sz w:val="24"/>
                <w:szCs w:val="24"/>
              </w:rPr>
            </w:pPr>
            <w:r>
              <w:rPr>
                <w:rFonts w:eastAsia="Calibri"/>
                <w:sz w:val="24"/>
                <w:szCs w:val="24"/>
              </w:rPr>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экономического развития Камчатского края</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32.3.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Проведение работы в части информирования   хозяйствующих субъектов легкой промышленности о проводимых отраслевых мероприятиях (круглые столы, выставки, конференции, форумы), в том числе на федеральных площадках</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Информирование о проводимых отраслевых мероприятиях, о новейших технологиях и современном оборудовании, используемых на производстве (размещение сведений на официальном сайте исполнительных органов </w:t>
            </w:r>
            <w:r>
              <w:rPr>
                <w:rFonts w:eastAsia="Calibri" w:cs="Times New Roman" w:ascii="Times New Roman" w:hAnsi="Times New Roman"/>
                <w:kern w:val="0"/>
                <w:sz w:val="24"/>
                <w:szCs w:val="24"/>
                <w:shd w:fill="F44336" w:val="clear"/>
                <w:lang w:val="ru-RU" w:eastAsia="en-US" w:bidi="ar-SA"/>
              </w:rPr>
              <w:t>государственной власти</w:t>
            </w:r>
            <w:r>
              <w:rPr>
                <w:rFonts w:eastAsia="Calibri" w:cs="Times New Roman" w:ascii="Times New Roman" w:hAnsi="Times New Roman"/>
                <w:kern w:val="0"/>
                <w:sz w:val="24"/>
                <w:szCs w:val="24"/>
                <w:lang w:val="ru-RU" w:eastAsia="en-US" w:bidi="ar-SA"/>
              </w:rPr>
              <w:t xml:space="preserve"> Камчатского края, направление информационных писем в адрес организаций легкой промышленности, обществен</w:t>
              <w:softHyphen/>
              <w:t>ных объединений предпринимателей)</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проведенной работе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Министерство экономического развития Камчатского края</w:t>
            </w:r>
          </w:p>
        </w:tc>
      </w:tr>
      <w:tr>
        <w:trPr/>
        <w:tc>
          <w:tcPr>
            <w:tcW w:w="16011" w:type="dxa"/>
            <w:gridSpan w:val="13"/>
            <w:tcBorders/>
            <w:shd w:color="auto" w:fill="auto" w:val="clear"/>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33. Рынок ритуальных услуг</w:t>
            </w:r>
          </w:p>
          <w:p>
            <w:pPr>
              <w:pStyle w:val="Normal"/>
              <w:widowControl w:val="false"/>
              <w:suppressAutoHyphens w:val="true"/>
              <w:spacing w:lineRule="auto" w:line="240" w:before="0" w:after="0"/>
              <w:ind w:firstLine="596"/>
              <w:jc w:val="both"/>
              <w:rPr>
                <w:rFonts w:eastAsia="Calibri"/>
                <w:sz w:val="24"/>
                <w:szCs w:val="24"/>
              </w:rPr>
            </w:pPr>
            <w:r>
              <w:rPr>
                <w:rFonts w:eastAsia="Calibri" w:cs="Times New Roman" w:ascii="Times New Roman" w:hAnsi="Times New Roman"/>
                <w:kern w:val="0"/>
                <w:sz w:val="24"/>
                <w:szCs w:val="24"/>
                <w:lang w:val="ru-RU" w:eastAsia="en-US" w:bidi="ar-SA"/>
              </w:rPr>
              <w:t>На рынке ритуальных услуг Камчатского края осуществляют деятельность 24 СМСП, занимающихся организацией похорон и предоставлением связанных с ними услуг. Многие ритуальные оказывают полный спектр услуг: от оформления документов на захоронение/подзахоронение на любом действующем кладбище до последующего ухода за местами захоронений. Дальнейшее развитие конкуренции на рынке ритуальных услуг приведёт к росту качества сервиса.</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33.1.</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в Камчатском крае реестров кладбищ и мест захоронений с размещением указанных реестров на портале государственных и муниципальных услуг</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открытости и прозрачности процедур предоставления мест захоронения</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Доля кладбищ, информация о которых включена в реестр (процентов)</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50</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100</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Органы местного самоуправления Камчатского края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 согласованию)</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33.2.</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открытости информации о стоимости ритуальных услуг</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01.09.2023</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Реестр хозяйствующих субъектов, имеющих право на оказание услуг по организации похорон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Органы местного самоуправления Камчатского края </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 согласованию)</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33.3.</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Обеспечение открытости информации о стоимости ритуальных услуг</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Нормативный-правовой акт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8"/>
                <w:szCs w:val="28"/>
                <w:lang w:val="ru-RU" w:eastAsia="en-US" w:bidi="ar-SA"/>
              </w:rPr>
              <w:t>–</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Органы местного самоуправления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 согласованию)</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33.4.</w:t>
            </w:r>
          </w:p>
        </w:tc>
        <w:tc>
          <w:tcPr>
            <w:tcW w:w="2834" w:type="dxa"/>
            <w:gridSpan w:val="2"/>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Размещение информации о созданных реестрах на официальных сайтах ОМС</w:t>
            </w:r>
          </w:p>
        </w:tc>
        <w:tc>
          <w:tcPr>
            <w:tcW w:w="2268"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 xml:space="preserve">Обеспечение открытости информации для населения </w:t>
            </w:r>
          </w:p>
        </w:tc>
        <w:tc>
          <w:tcPr>
            <w:tcW w:w="1420"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834"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Размещена информация на сайте (единиц)</w:t>
            </w:r>
          </w:p>
        </w:tc>
        <w:tc>
          <w:tcPr>
            <w:tcW w:w="993"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Органы местного самоуправления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 согласованию)</w:t>
            </w:r>
          </w:p>
        </w:tc>
      </w:tr>
      <w:tr>
        <w:trPr/>
        <w:tc>
          <w:tcPr>
            <w:tcW w:w="16011" w:type="dxa"/>
            <w:gridSpan w:val="13"/>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34. Сфера наружной рекламы</w:t>
            </w:r>
          </w:p>
          <w:p>
            <w:pPr>
              <w:pStyle w:val="Normal"/>
              <w:widowControl w:val="false"/>
              <w:suppressAutoHyphens w:val="true"/>
              <w:spacing w:lineRule="auto" w:line="240" w:before="0" w:after="0"/>
              <w:ind w:firstLine="601"/>
              <w:jc w:val="both"/>
              <w:rPr>
                <w:rFonts w:eastAsia="Times New Roman"/>
                <w:sz w:val="24"/>
                <w:szCs w:val="24"/>
                <w:lang w:eastAsia="ru-RU"/>
              </w:rPr>
            </w:pPr>
            <w:r>
              <w:rPr>
                <w:rFonts w:eastAsia="Times New Roman" w:cs="Times New Roman" w:ascii="Times New Roman" w:hAnsi="Times New Roman"/>
                <w:kern w:val="0"/>
                <w:sz w:val="24"/>
                <w:szCs w:val="24"/>
                <w:lang w:val="ru-RU" w:eastAsia="ru-RU" w:bidi="ar-SA"/>
              </w:rPr>
              <w:t>В Камчатском крае рынок наружной рекламы представлен частным сектором (доля организации частной формы собственности составляет 100 %).</w:t>
            </w:r>
          </w:p>
          <w:p>
            <w:pPr>
              <w:pStyle w:val="Normal"/>
              <w:widowControl w:val="false"/>
              <w:suppressAutoHyphens w:val="true"/>
              <w:spacing w:lineRule="auto" w:line="240" w:before="0" w:after="0"/>
              <w:ind w:firstLine="601"/>
              <w:jc w:val="both"/>
              <w:rPr>
                <w:rFonts w:eastAsia="Times New Roman"/>
                <w:sz w:val="24"/>
                <w:szCs w:val="24"/>
                <w:lang w:eastAsia="ru-RU"/>
              </w:rPr>
            </w:pPr>
            <w:r>
              <w:rPr>
                <w:rFonts w:eastAsia="Times New Roman" w:cs="Times New Roman" w:ascii="Times New Roman" w:hAnsi="Times New Roman"/>
                <w:kern w:val="0"/>
                <w:sz w:val="24"/>
                <w:szCs w:val="24"/>
                <w:lang w:val="ru-RU" w:eastAsia="ru-RU" w:bidi="ar-SA"/>
              </w:rPr>
              <w:t>Вследствие того, что основным потребителем услуг наружной рекламы являются розничные компании, осуществлять такой бизнес на территориях с невысоким платежеспособным спросом и с недостаточно развитой инфраструктурой экономически нецелесообразно. Основным аргументом невостребованности таких услуг за пределами административного центра является низкий удельный вес проживающего там населения и проблемы транспортной обеспеченности.</w:t>
            </w:r>
          </w:p>
          <w:p>
            <w:pPr>
              <w:pStyle w:val="Normal"/>
              <w:widowControl w:val="false"/>
              <w:suppressAutoHyphens w:val="true"/>
              <w:spacing w:lineRule="auto" w:line="240" w:before="0" w:after="0"/>
              <w:ind w:firstLine="601"/>
              <w:jc w:val="both"/>
              <w:rPr>
                <w:rFonts w:eastAsia="Times New Roman"/>
                <w:sz w:val="24"/>
                <w:szCs w:val="24"/>
                <w:lang w:eastAsia="ru-RU"/>
              </w:rPr>
            </w:pPr>
            <w:r>
              <w:rPr>
                <w:rFonts w:eastAsia="Times New Roman" w:cs="Times New Roman" w:ascii="Times New Roman" w:hAnsi="Times New Roman"/>
                <w:kern w:val="0"/>
                <w:sz w:val="24"/>
                <w:szCs w:val="24"/>
                <w:lang w:val="ru-RU" w:eastAsia="ru-RU" w:bidi="ar-SA"/>
              </w:rPr>
              <w:t>Основными административными барьерами входа на рынок услуг наружной рекламы являются:</w:t>
            </w:r>
          </w:p>
          <w:p>
            <w:pPr>
              <w:pStyle w:val="Normal"/>
              <w:widowControl w:val="false"/>
              <w:suppressAutoHyphens w:val="true"/>
              <w:spacing w:lineRule="auto" w:line="240" w:before="0" w:after="0"/>
              <w:ind w:firstLine="601"/>
              <w:jc w:val="both"/>
              <w:rPr>
                <w:rFonts w:eastAsia="Times New Roman"/>
                <w:sz w:val="24"/>
                <w:szCs w:val="24"/>
                <w:lang w:eastAsia="ru-RU"/>
              </w:rPr>
            </w:pPr>
            <w:r>
              <w:rPr>
                <w:rFonts w:eastAsia="Times New Roman" w:cs="Times New Roman" w:ascii="Times New Roman" w:hAnsi="Times New Roman"/>
                <w:kern w:val="0"/>
                <w:sz w:val="24"/>
                <w:szCs w:val="24"/>
                <w:lang w:val="ru-RU" w:eastAsia="ru-RU" w:bidi="ar-SA"/>
              </w:rPr>
              <w:t>- низкая информационная доступность организаций, осуществляющих деятельность в сфере наружной рекламы, к нормативным правовым документам, регулирующим сферу наружной рекламы;</w:t>
            </w:r>
          </w:p>
          <w:p>
            <w:pPr>
              <w:pStyle w:val="Normal"/>
              <w:widowControl w:val="false"/>
              <w:suppressAutoHyphens w:val="true"/>
              <w:spacing w:lineRule="auto" w:line="240" w:before="0" w:after="0"/>
              <w:ind w:firstLine="601"/>
              <w:jc w:val="both"/>
              <w:rPr>
                <w:rFonts w:eastAsia="Times New Roman"/>
                <w:sz w:val="24"/>
                <w:szCs w:val="24"/>
                <w:lang w:eastAsia="ru-RU"/>
              </w:rPr>
            </w:pPr>
            <w:r>
              <w:rPr>
                <w:rFonts w:eastAsia="Times New Roman" w:cs="Times New Roman" w:ascii="Times New Roman" w:hAnsi="Times New Roman"/>
                <w:kern w:val="0"/>
                <w:sz w:val="24"/>
                <w:szCs w:val="24"/>
                <w:lang w:val="ru-RU" w:eastAsia="ru-RU" w:bidi="ar-SA"/>
              </w:rPr>
              <w:t>- несоответствие ранее утвержденных схем размещения рекламных конструкций действующим ГОСТам, стандартам к требованиям безопасности дорожного движения (с учетом актуальных изменений);</w:t>
            </w:r>
          </w:p>
          <w:p>
            <w:pPr>
              <w:pStyle w:val="Normal"/>
              <w:widowControl w:val="false"/>
              <w:suppressAutoHyphens w:val="true"/>
              <w:spacing w:lineRule="auto" w:line="240" w:before="0" w:after="0"/>
              <w:ind w:firstLine="601"/>
              <w:jc w:val="both"/>
              <w:rPr>
                <w:rFonts w:eastAsia="Times New Roman"/>
                <w:sz w:val="24"/>
                <w:szCs w:val="24"/>
                <w:lang w:eastAsia="ru-RU"/>
              </w:rPr>
            </w:pPr>
            <w:r>
              <w:rPr>
                <w:rFonts w:eastAsia="Times New Roman" w:cs="Times New Roman" w:ascii="Times New Roman" w:hAnsi="Times New Roman"/>
                <w:kern w:val="0"/>
                <w:sz w:val="24"/>
                <w:szCs w:val="24"/>
                <w:lang w:val="ru-RU" w:eastAsia="ru-RU" w:bidi="ar-SA"/>
              </w:rPr>
              <w:t>- недостаточная открытость и прозрачность проведения торгов на право установки и эксплуатации рекламных конструкций.</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34.1</w:t>
            </w:r>
          </w:p>
        </w:tc>
        <w:tc>
          <w:tcPr>
            <w:tcW w:w="2807" w:type="dxa"/>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Размещение на официальных сайтах муниципальных образований в Камчатском крае перечня всех нормативных правовых актов и местных локальных актов, регулирующих сферу наружной рекламы</w:t>
            </w:r>
          </w:p>
        </w:tc>
        <w:tc>
          <w:tcPr>
            <w:tcW w:w="2269"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Повышение уровня информативности организаций, осуществляющих деятельность в сфере наружной рекламы, о нормативных правовых документах, регулирующих сферу наружной рекламы</w:t>
            </w:r>
          </w:p>
        </w:tc>
        <w:tc>
          <w:tcPr>
            <w:tcW w:w="1446" w:type="dxa"/>
            <w:gridSpan w:val="2"/>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76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результатах работы</w:t>
            </w:r>
          </w:p>
        </w:tc>
        <w:tc>
          <w:tcPr>
            <w:tcW w:w="1060" w:type="dxa"/>
            <w:gridSpan w:val="2"/>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Органы местного самоуправления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 согласованию)</w:t>
            </w:r>
          </w:p>
        </w:tc>
      </w:tr>
      <w:tr>
        <w:trPr/>
        <w:tc>
          <w:tcPr>
            <w:tcW w:w="704"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34.2</w:t>
            </w:r>
          </w:p>
        </w:tc>
        <w:tc>
          <w:tcPr>
            <w:tcW w:w="2807" w:type="dxa"/>
            <w:tcBorders/>
            <w:shd w:color="auto" w:fill="auto" w:val="clear"/>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2"/>
                <w:sz w:val="24"/>
                <w:szCs w:val="24"/>
                <w:lang w:val="ru-RU" w:eastAsia="en-US" w:bidi="ar-SA"/>
              </w:rPr>
              <w:t>Оказание консультативной помощи хозяйствующим субъектам частной формы собственности, желающим работать в сфере наружной рекламы</w:t>
            </w:r>
          </w:p>
        </w:tc>
        <w:tc>
          <w:tcPr>
            <w:tcW w:w="2269" w:type="dxa"/>
            <w:gridSpan w:val="2"/>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Вовлечение новых территорий муниципальных образований в Камчатском крае, на которых осуществляют деятельность рекламные агентства</w:t>
            </w:r>
          </w:p>
        </w:tc>
        <w:tc>
          <w:tcPr>
            <w:tcW w:w="1446" w:type="dxa"/>
            <w:gridSpan w:val="2"/>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2022-2025</w:t>
            </w:r>
          </w:p>
        </w:tc>
        <w:tc>
          <w:tcPr>
            <w:tcW w:w="2767"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Отчет о результатах работы</w:t>
            </w:r>
          </w:p>
        </w:tc>
        <w:tc>
          <w:tcPr>
            <w:tcW w:w="1060" w:type="dxa"/>
            <w:gridSpan w:val="2"/>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1"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85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992" w:type="dxa"/>
            <w:tcBorders/>
          </w:tcPr>
          <w:p>
            <w:pPr>
              <w:pStyle w:val="Normal"/>
              <w:widowControl w:val="false"/>
              <w:suppressAutoHyphens w:val="true"/>
              <w:spacing w:lineRule="auto" w:line="240" w:before="0" w:after="0"/>
              <w:jc w:val="center"/>
              <w:rPr>
                <w:rFonts w:eastAsia="Calibri"/>
                <w:sz w:val="24"/>
                <w:szCs w:val="24"/>
              </w:rPr>
            </w:pPr>
            <w:r>
              <w:rPr>
                <w:rFonts w:eastAsia="Calibri" w:cs="Times New Roman" w:ascii="Times New Roman" w:hAnsi="Times New Roman"/>
                <w:kern w:val="0"/>
                <w:sz w:val="24"/>
                <w:szCs w:val="24"/>
                <w:lang w:val="ru-RU" w:eastAsia="en-US" w:bidi="ar-SA"/>
              </w:rPr>
              <w:t>1</w:t>
            </w:r>
          </w:p>
        </w:tc>
        <w:tc>
          <w:tcPr>
            <w:tcW w:w="2123" w:type="dxa"/>
            <w:tcBorders/>
          </w:tcPr>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Органы местного самоуправления Камчатского края</w:t>
            </w:r>
          </w:p>
          <w:p>
            <w:pPr>
              <w:pStyle w:val="Normal"/>
              <w:widowControl w:val="false"/>
              <w:suppressAutoHyphens w:val="true"/>
              <w:spacing w:lineRule="auto" w:line="240" w:before="0" w:after="0"/>
              <w:jc w:val="left"/>
              <w:rPr>
                <w:rFonts w:eastAsia="Calibri"/>
                <w:sz w:val="24"/>
                <w:szCs w:val="24"/>
              </w:rPr>
            </w:pPr>
            <w:r>
              <w:rPr>
                <w:rFonts w:eastAsia="Calibri" w:cs="Times New Roman" w:ascii="Times New Roman" w:hAnsi="Times New Roman"/>
                <w:kern w:val="0"/>
                <w:sz w:val="24"/>
                <w:szCs w:val="24"/>
                <w:lang w:val="ru-RU" w:eastAsia="en-US" w:bidi="ar-SA"/>
              </w:rPr>
              <w:t>(по согласованию)</w:t>
            </w:r>
          </w:p>
        </w:tc>
      </w:tr>
    </w:tbl>
    <w:p>
      <w:pPr>
        <w:pStyle w:val="Normal"/>
        <w:widowControl/>
        <w:bidi w:val="0"/>
        <w:spacing w:lineRule="auto" w:line="259" w:before="0" w:after="160"/>
        <w:jc w:val="left"/>
        <w:rPr/>
      </w:pPr>
      <w:r>
        <w:rPr/>
      </w:r>
    </w:p>
    <w:sectPr>
      <w:headerReference w:type="default" r:id="rId3"/>
      <w:type w:val="nextPage"/>
      <w:pgSz w:orient="landscape" w:w="16838" w:h="11906"/>
      <w:pgMar w:left="851" w:right="851" w:gutter="0" w:header="709" w:top="992" w:footer="0" w:bottom="851"/>
      <w:pgNumType w:start="2"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09645731"/>
    </w:sdtPr>
    <w:sdtContent>
      <w:p>
        <w:pPr>
          <w:pStyle w:val="Style27"/>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xml:space="preserve">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p>
        <w:pPr>
          <w:pStyle w:val="Style27"/>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353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Знак"/>
    <w:basedOn w:val="DefaultParagraphFont"/>
    <w:link w:val="PlainText"/>
    <w:uiPriority w:val="99"/>
    <w:semiHidden/>
    <w:qFormat/>
    <w:rsid w:val="00e72da7"/>
    <w:rPr>
      <w:rFonts w:ascii="Calibri" w:hAnsi="Calibri" w:eastAsia="Calibri" w:cs="Times New Roman"/>
      <w:szCs w:val="21"/>
    </w:rPr>
  </w:style>
  <w:style w:type="character" w:styleId="Style15" w:customStyle="1">
    <w:name w:val="Нижний колонтитул Знак"/>
    <w:basedOn w:val="DefaultParagraphFont"/>
    <w:uiPriority w:val="99"/>
    <w:qFormat/>
    <w:rsid w:val="0095344d"/>
    <w:rPr>
      <w:rFonts w:ascii="Times New Roman" w:hAnsi="Times New Roman" w:eastAsia="Times New Roman" w:cs="Times New Roman"/>
      <w:sz w:val="28"/>
      <w:szCs w:val="28"/>
      <w:lang w:eastAsia="ru-RU"/>
    </w:rPr>
  </w:style>
  <w:style w:type="character" w:styleId="Style16" w:customStyle="1">
    <w:name w:val="Текст выноски Знак"/>
    <w:basedOn w:val="DefaultParagraphFont"/>
    <w:link w:val="BalloonText"/>
    <w:uiPriority w:val="99"/>
    <w:semiHidden/>
    <w:qFormat/>
    <w:rsid w:val="009277f0"/>
    <w:rPr>
      <w:rFonts w:ascii="Segoe UI" w:hAnsi="Segoe UI" w:cs="Segoe UI"/>
      <w:sz w:val="18"/>
      <w:szCs w:val="18"/>
    </w:rPr>
  </w:style>
  <w:style w:type="character" w:styleId="Style17" w:customStyle="1">
    <w:name w:val="Верхний колонтитул Знак"/>
    <w:basedOn w:val="DefaultParagraphFont"/>
    <w:uiPriority w:val="99"/>
    <w:qFormat/>
    <w:rsid w:val="0031799b"/>
    <w:rPr/>
  </w:style>
  <w:style w:type="character" w:styleId="Style18">
    <w:name w:val="Hyperlink"/>
    <w:basedOn w:val="DefaultParagraphFont"/>
    <w:uiPriority w:val="99"/>
    <w:unhideWhenUsed/>
    <w:rsid w:val="00681bfe"/>
    <w:rPr>
      <w:color w:val="0563C1" w:themeColor="hyperlink"/>
      <w:u w:val="single"/>
    </w:rPr>
  </w:style>
  <w:style w:type="character" w:styleId="Style19" w:customStyle="1">
    <w:name w:val="Абзац списка Знак"/>
    <w:link w:val="ListParagraph"/>
    <w:qFormat/>
    <w:rsid w:val="003e5adf"/>
    <w:rPr/>
  </w:style>
  <w:style w:type="paragraph" w:styleId="Style20">
    <w:name w:val="Заголовок"/>
    <w:basedOn w:val="Normal"/>
    <w:next w:val="Style21"/>
    <w:qFormat/>
    <w:pPr>
      <w:keepNext w:val="true"/>
      <w:spacing w:before="240" w:after="120"/>
    </w:pPr>
    <w:rPr>
      <w:rFonts w:ascii="Open Sans" w:hAnsi="Open Sans" w:eastAsia="Tahoma"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PlainText">
    <w:name w:val="Plain Text"/>
    <w:basedOn w:val="Normal"/>
    <w:link w:val="Style14"/>
    <w:uiPriority w:val="99"/>
    <w:semiHidden/>
    <w:unhideWhenUsed/>
    <w:qFormat/>
    <w:rsid w:val="00e72da7"/>
    <w:pPr>
      <w:spacing w:lineRule="auto" w:line="240" w:before="0" w:after="0"/>
    </w:pPr>
    <w:rPr>
      <w:rFonts w:ascii="Calibri" w:hAnsi="Calibri" w:eastAsia="Calibri" w:cs="Times New Roman"/>
      <w:szCs w:val="21"/>
    </w:rPr>
  </w:style>
  <w:style w:type="paragraph" w:styleId="Style25">
    <w:name w:val="Колонтитул"/>
    <w:basedOn w:val="Normal"/>
    <w:qFormat/>
    <w:pPr/>
    <w:rPr/>
  </w:style>
  <w:style w:type="paragraph" w:styleId="Style26">
    <w:name w:val="Footer"/>
    <w:basedOn w:val="Normal"/>
    <w:link w:val="Style15"/>
    <w:uiPriority w:val="99"/>
    <w:rsid w:val="0095344d"/>
    <w:pPr>
      <w:tabs>
        <w:tab w:val="clear" w:pos="708"/>
        <w:tab w:val="center" w:pos="4677" w:leader="none"/>
        <w:tab w:val="right" w:pos="9355" w:leader="none"/>
      </w:tabs>
      <w:spacing w:lineRule="auto" w:line="240" w:before="0" w:after="0"/>
    </w:pPr>
    <w:rPr>
      <w:rFonts w:ascii="Times New Roman" w:hAnsi="Times New Roman" w:eastAsia="Times New Roman" w:cs="Times New Roman"/>
      <w:sz w:val="28"/>
      <w:szCs w:val="28"/>
      <w:lang w:eastAsia="ru-RU"/>
    </w:rPr>
  </w:style>
  <w:style w:type="paragraph" w:styleId="BalloonText">
    <w:name w:val="Balloon Text"/>
    <w:basedOn w:val="Normal"/>
    <w:link w:val="Style16"/>
    <w:uiPriority w:val="99"/>
    <w:semiHidden/>
    <w:unhideWhenUsed/>
    <w:qFormat/>
    <w:rsid w:val="009277f0"/>
    <w:pPr>
      <w:spacing w:lineRule="auto" w:line="240" w:before="0" w:after="0"/>
    </w:pPr>
    <w:rPr>
      <w:rFonts w:ascii="Segoe UI" w:hAnsi="Segoe UI" w:cs="Segoe UI"/>
      <w:sz w:val="18"/>
      <w:szCs w:val="18"/>
    </w:rPr>
  </w:style>
  <w:style w:type="paragraph" w:styleId="Style27">
    <w:name w:val="Header"/>
    <w:basedOn w:val="Normal"/>
    <w:link w:val="Style17"/>
    <w:uiPriority w:val="99"/>
    <w:unhideWhenUsed/>
    <w:rsid w:val="0031799b"/>
    <w:pPr>
      <w:tabs>
        <w:tab w:val="clear" w:pos="708"/>
        <w:tab w:val="center" w:pos="4677" w:leader="none"/>
        <w:tab w:val="right" w:pos="9355" w:leader="none"/>
      </w:tabs>
      <w:spacing w:lineRule="auto" w:line="240" w:before="0" w:after="0"/>
    </w:pPr>
    <w:rPr/>
  </w:style>
  <w:style w:type="paragraph" w:styleId="1" w:customStyle="1">
    <w:name w:val="Обычный (веб)1"/>
    <w:basedOn w:val="Normal"/>
    <w:next w:val="NormalWeb"/>
    <w:uiPriority w:val="99"/>
    <w:semiHidden/>
    <w:unhideWhenUsed/>
    <w:qFormat/>
    <w:rsid w:val="00cb0dad"/>
    <w:pPr/>
    <w:rPr>
      <w:rFonts w:ascii="Times New Roman" w:hAnsi="Times New Roman" w:cs="Times New Roman"/>
      <w:sz w:val="24"/>
      <w:szCs w:val="24"/>
    </w:rPr>
  </w:style>
  <w:style w:type="paragraph" w:styleId="11" w:customStyle="1">
    <w:name w:val="Абзац списка1"/>
    <w:basedOn w:val="Normal"/>
    <w:next w:val="ListParagraph"/>
    <w:uiPriority w:val="34"/>
    <w:qFormat/>
    <w:rsid w:val="00cb0dad"/>
    <w:pPr>
      <w:spacing w:before="0" w:after="160"/>
      <w:ind w:left="720" w:hanging="0"/>
      <w:contextualSpacing/>
    </w:pPr>
    <w:rPr>
      <w:rFonts w:ascii="Times New Roman" w:hAnsi="Times New Roman" w:cs="Times New Roman"/>
      <w:sz w:val="28"/>
      <w:szCs w:val="28"/>
    </w:rPr>
  </w:style>
  <w:style w:type="paragraph" w:styleId="Default" w:customStyle="1">
    <w:name w:val="Default"/>
    <w:qFormat/>
    <w:rsid w:val="00cb0dad"/>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NormalWeb">
    <w:name w:val="Normal (Web)"/>
    <w:basedOn w:val="Normal"/>
    <w:uiPriority w:val="99"/>
    <w:semiHidden/>
    <w:unhideWhenUsed/>
    <w:qFormat/>
    <w:rsid w:val="00cb0dad"/>
    <w:pPr/>
    <w:rPr>
      <w:rFonts w:ascii="Times New Roman" w:hAnsi="Times New Roman" w:cs="Times New Roman"/>
      <w:sz w:val="24"/>
      <w:szCs w:val="24"/>
    </w:rPr>
  </w:style>
  <w:style w:type="paragraph" w:styleId="ListParagraph">
    <w:name w:val="List Paragraph"/>
    <w:basedOn w:val="Normal"/>
    <w:link w:val="Style19"/>
    <w:qFormat/>
    <w:rsid w:val="00cb0dad"/>
    <w:pPr>
      <w:spacing w:before="0" w:after="160"/>
      <w:ind w:left="720" w:hanging="0"/>
      <w:contextualSpacing/>
    </w:pPr>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cb0dad"/>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ab3e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03353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03353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Сетка таблицы3"/>
    <w:basedOn w:val="a1"/>
    <w:uiPriority w:val="39"/>
    <w:rsid w:val="00cb0dad"/>
    <w:pPr>
      <w:spacing w:after="0" w:line="240" w:lineRule="auto"/>
    </w:pPr>
    <w:rPr>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9CE47-CA1F-4E3E-8C8A-71F52DFF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Application>LibreOffice/7.4.4.2$Linux_X86_64 LibreOffice_project/40$Build-2</Application>
  <AppVersion>15.0000</AppVersion>
  <Pages>78</Pages>
  <Words>16310</Words>
  <Characters>125178</Characters>
  <CharactersWithSpaces>139607</CharactersWithSpaces>
  <Paragraphs>2023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2023-03-17T03:06:00Z</dcterms:created>
  <dc:creator>Киселев Виктор Вадимович</dc:creator>
  <dc:description/>
  <dc:language>ru-RU</dc:language>
  <cp:lastModifiedBy/>
  <cp:lastPrinted>2021-10-08T05:51:00Z</cp:lastPrinted>
  <dcterms:modified xsi:type="dcterms:W3CDTF">2024-01-15T15:26:22Z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