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media/image2.jpeg" ContentType="image/jpeg"/>
  <Override PartName="/word/media/image1.jpeg" ContentType="image/jpeg"/>
  <Override PartName="/word/media/image4.png" ContentType="image/png"/>
  <Override PartName="/word/media/image3.jpeg" ContentType="image/jpeg"/>
  <Override PartName="/word/header1.xml" ContentType="application/vnd.openxmlformats-officedocument.wordprocessingml.header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 w:before="0"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behindDoc="0" distT="0" distB="0" distL="114300" distR="114300" simplePos="0" locked="0" layoutInCell="0" allowOverlap="1" relativeHeight="41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47700" cy="807720"/>
            <wp:effectExtent l="0" t="0" r="0" b="0"/>
            <wp:wrapTight wrapText="bothSides">
              <wp:wrapPolygon edited="0">
                <wp:start x="-75" y="0"/>
                <wp:lineTo x="-75" y="20826"/>
                <wp:lineTo x="20893" y="20826"/>
                <wp:lineTo x="20893" y="0"/>
                <wp:lineTo x="-75" y="0"/>
              </wp:wrapPolygon>
            </wp:wrapTight>
            <wp:docPr id="1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2"/>
        </w:rPr>
      </w:pPr>
      <w:r>
        <w:rPr>
          <w:rFonts w:ascii="Times New Roman" w:hAnsi="Times New Roman"/>
          <w:b/>
          <w:sz w:val="32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b/>
          <w:b/>
          <w:sz w:val="32"/>
        </w:rPr>
      </w:pPr>
      <w:r>
        <w:rPr>
          <w:rFonts w:ascii="Times New Roman" w:hAnsi="Times New Roman"/>
          <w:b/>
          <w:sz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2"/>
        </w:rPr>
      </w:pPr>
      <w:r>
        <w:rPr>
          <w:rFonts w:ascii="Times New Roman" w:hAnsi="Times New Roman"/>
          <w:b/>
          <w:sz w:val="32"/>
        </w:rPr>
        <w:t>П О С Т А Н О В Л Е Н И Е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</w:rPr>
      </w:pPr>
      <w:r>
        <w:rPr>
          <w:rFonts w:ascii="Times New Roman" w:hAnsi="Times New Roman"/>
          <w:b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</w:rPr>
      </w:pPr>
      <w:r>
        <w:rPr>
          <w:rFonts w:ascii="Times New Roman" w:hAnsi="Times New Roman"/>
          <w:b/>
          <w:sz w:val="28"/>
        </w:rPr>
        <w:t>ПРАВИТЕЛЬСТВА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</w:rPr>
      </w:pPr>
      <w:r>
        <w:rPr>
          <w:rFonts w:ascii="Times New Roman" w:hAnsi="Times New Roman"/>
          <w:b/>
          <w:sz w:val="28"/>
        </w:rPr>
        <w:t>КАМЧАТСКОГО КРАЯ</w:t>
      </w:r>
    </w:p>
    <w:p>
      <w:pPr>
        <w:pStyle w:val="Normal"/>
        <w:spacing w:lineRule="auto" w:line="276" w:before="0" w:after="0"/>
        <w:ind w:left="0" w:right="0"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tbl>
      <w:tblPr>
        <w:tblStyle w:val="Style_2"/>
        <w:tblW w:w="4253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53"/>
      </w:tblGrid>
      <w:tr>
        <w:trPr>
          <w:trHeight w:val="427" w:hRule="atLeast"/>
        </w:trPr>
        <w:tc>
          <w:tcPr>
            <w:tcW w:w="4253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ind w:left="142" w:right="0" w:hanging="142"/>
              <w:jc w:val="left"/>
              <w:rPr>
                <w:rFonts w:ascii="Times New Roman" w:hAnsi="Times New Roman"/>
                <w:sz w:val="24"/>
              </w:rPr>
            </w:pPr>
            <w:bookmarkStart w:id="0" w:name="REGNUMDATESTAMP"/>
            <w:r>
              <w:rPr>
                <w:rFonts w:ascii="Times New Roman" w:hAnsi="Times New Roman"/>
                <w:color w:val="FFFFFF"/>
                <w:spacing w:val="0"/>
                <w:kern w:val="0"/>
                <w:sz w:val="24"/>
                <w:szCs w:val="20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pacing w:val="0"/>
                <w:kern w:val="0"/>
                <w:sz w:val="20"/>
                <w:szCs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pacing w:val="0"/>
                <w:kern w:val="0"/>
                <w:sz w:val="24"/>
                <w:szCs w:val="20"/>
              </w:rPr>
              <w:t>]</w:t>
            </w:r>
            <w:bookmarkEnd w:id="0"/>
          </w:p>
        </w:tc>
      </w:tr>
      <w:tr>
        <w:trPr>
          <w:trHeight w:val="247" w:hRule="atLeast"/>
        </w:trPr>
        <w:tc>
          <w:tcPr>
            <w:tcW w:w="4253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2"/>
                <w:szCs w:val="20"/>
              </w:rPr>
              <w:t>г. Петропавловск-Камчатский</w:t>
            </w:r>
          </w:p>
        </w:tc>
      </w:tr>
      <w:tr>
        <w:trPr>
          <w:trHeight w:val="80" w:hRule="atLeast"/>
        </w:trPr>
        <w:tc>
          <w:tcPr>
            <w:tcW w:w="4253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</w:r>
          </w:p>
        </w:tc>
      </w:tr>
    </w:tbl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tbl>
      <w:tblPr>
        <w:tblStyle w:val="Style_3"/>
        <w:tblW w:w="9755" w:type="dxa"/>
        <w:jc w:val="left"/>
        <w:tblInd w:w="-1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5"/>
      </w:tblGrid>
      <w:tr>
        <w:trPr/>
        <w:tc>
          <w:tcPr>
            <w:tcW w:w="97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30" w:right="0" w:hanging="30"/>
              <w:jc w:val="center"/>
              <w:rPr>
                <w:rFonts w:ascii="Times New Roman" w:hAnsi="Times New Roman"/>
                <w:b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pacing w:val="0"/>
                <w:kern w:val="0"/>
                <w:sz w:val="28"/>
                <w:szCs w:val="20"/>
              </w:rPr>
              <w:t xml:space="preserve">О памятнике природы регионального значения </w:t>
            </w:r>
          </w:p>
          <w:p>
            <w:pPr>
              <w:pStyle w:val="Normal"/>
              <w:widowControl w:val="false"/>
              <w:spacing w:lineRule="auto" w:line="240" w:before="0" w:after="0"/>
              <w:ind w:left="30" w:right="0" w:hanging="30"/>
              <w:jc w:val="center"/>
              <w:rPr>
                <w:rFonts w:ascii="Times New Roman" w:hAnsi="Times New Roman"/>
                <w:b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pacing w:val="0"/>
                <w:kern w:val="0"/>
                <w:sz w:val="28"/>
                <w:szCs w:val="20"/>
              </w:rPr>
              <w:t>«Остров Кекур Витгенштейна»</w:t>
            </w:r>
          </w:p>
        </w:tc>
      </w:tr>
    </w:tbl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16" w:before="0" w:after="0"/>
        <w:ind w:left="0" w:righ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со статьей 17 Федерального конституционного закона от 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1, 2 и 26 Федерального закона от 14.03.1995 № 33-ФЗ «Об особо охраняемых природных территориях», статьями 6–8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</w:t>
      </w:r>
    </w:p>
    <w:p>
      <w:pPr>
        <w:pStyle w:val="Normal"/>
        <w:spacing w:lineRule="auto" w:line="216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16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>
      <w:pPr>
        <w:pStyle w:val="Normal"/>
        <w:spacing w:lineRule="auto" w:line="216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16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Утвердить:</w:t>
      </w:r>
    </w:p>
    <w:p>
      <w:pPr>
        <w:pStyle w:val="Normal"/>
        <w:spacing w:lineRule="auto" w:line="216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 памятнике природы регионального значения «Остров Кекур Витгенштейна» согласно приложению 1 к настоящему постановлению;</w:t>
      </w:r>
    </w:p>
    <w:p>
      <w:pPr>
        <w:pStyle w:val="Normal"/>
        <w:spacing w:lineRule="auto" w:line="216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«Остров Кекур Витгенштейна» согласно приложению 2 к настоящему постановлению.</w:t>
      </w:r>
    </w:p>
    <w:p>
      <w:pPr>
        <w:pStyle w:val="Normal"/>
        <w:spacing w:lineRule="auto" w:line="216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tbl>
      <w:tblPr>
        <w:tblStyle w:val="Style_2"/>
        <w:tblW w:w="9498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38"/>
        <w:gridCol w:w="4540"/>
        <w:gridCol w:w="1420"/>
      </w:tblGrid>
      <w:tr>
        <w:trPr>
          <w:trHeight w:val="2260" w:hRule="atLeast"/>
        </w:trPr>
        <w:tc>
          <w:tcPr>
            <w:tcW w:w="3538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30" w:right="27" w:hanging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left="30" w:right="27" w:hanging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left="30" w:right="27" w:hanging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left="30" w:right="2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 xml:space="preserve">Председатель Правительства Камчатского края                       </w:t>
            </w:r>
          </w:p>
          <w:p>
            <w:pPr>
              <w:pStyle w:val="Normal"/>
              <w:widowControl w:val="false"/>
              <w:spacing w:lineRule="auto" w:line="240" w:before="0" w:after="0"/>
              <w:ind w:left="30" w:right="2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0"/>
              </w:rPr>
            </w:r>
          </w:p>
        </w:tc>
        <w:tc>
          <w:tcPr>
            <w:tcW w:w="4540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3" w:right="0" w:hanging="3"/>
              <w:jc w:val="left"/>
              <w:rPr>
                <w:rFonts w:ascii="Times New Roman" w:hAnsi="Times New Roman"/>
                <w:color w:val="FFFFFF"/>
                <w:sz w:val="24"/>
              </w:rPr>
            </w:pPr>
            <w:bookmarkStart w:id="1" w:name="SIGNERSTAMP1"/>
            <w:r>
              <w:rPr>
                <w:rFonts w:ascii="Times New Roman" w:hAnsi="Times New Roman"/>
                <w:color w:val="FFFFFF"/>
                <w:spacing w:val="0"/>
                <w:kern w:val="0"/>
                <w:sz w:val="24"/>
                <w:szCs w:val="20"/>
              </w:rPr>
              <w:t>[горизонтальный штамп подписи 1]</w:t>
            </w:r>
            <w:bookmarkEnd w:id="1"/>
          </w:p>
          <w:p>
            <w:pPr>
              <w:pStyle w:val="Normal"/>
              <w:widowControl w:val="false"/>
              <w:spacing w:lineRule="auto" w:line="240" w:before="0" w:after="0"/>
              <w:ind w:left="142" w:right="0" w:hanging="142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0"/>
              </w:rPr>
            </w:r>
          </w:p>
        </w:tc>
        <w:tc>
          <w:tcPr>
            <w:tcW w:w="1420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135" w:hanging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0"/>
              </w:rPr>
            </w:r>
          </w:p>
          <w:p>
            <w:pPr>
              <w:pStyle w:val="Normal"/>
              <w:widowControl w:val="false"/>
              <w:spacing w:lineRule="auto" w:line="264" w:before="0" w:after="16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0"/>
              </w:rPr>
            </w:r>
          </w:p>
          <w:p>
            <w:pPr>
              <w:pStyle w:val="Normal"/>
              <w:widowControl w:val="false"/>
              <w:spacing w:lineRule="auto" w:line="264" w:before="0" w:after="160"/>
              <w:ind w:left="-147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Е.А. Чекин</w:t>
            </w:r>
          </w:p>
        </w:tc>
      </w:tr>
    </w:tbl>
    <w:tbl>
      <w:tblPr>
        <w:tblStyle w:val="Style_3"/>
        <w:tblW w:w="963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6"/>
        <w:gridCol w:w="478"/>
        <w:gridCol w:w="483"/>
        <w:gridCol w:w="3667"/>
        <w:gridCol w:w="481"/>
        <w:gridCol w:w="1869"/>
        <w:gridCol w:w="488"/>
        <w:gridCol w:w="1692"/>
      </w:tblGrid>
      <w:tr>
        <w:trPr/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5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Приложение 1 к постановлению</w:t>
            </w:r>
          </w:p>
        </w:tc>
      </w:tr>
      <w:tr>
        <w:trPr/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5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Правительства Камчатского края</w:t>
            </w:r>
          </w:p>
        </w:tc>
      </w:tr>
      <w:tr>
        <w:trPr/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от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sz w:val="22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№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sz w:val="22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Положение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памятнике природы регионального значения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«Остров Кекур Витгенштейна»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3686" w:leader="none"/>
        </w:tabs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>
      <w:pPr>
        <w:pStyle w:val="Normal"/>
        <w:tabs>
          <w:tab w:val="clear" w:pos="708"/>
          <w:tab w:val="left" w:pos="567" w:leader="none"/>
          <w:tab w:val="left" w:pos="993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567" w:leader="none"/>
          <w:tab w:val="left" w:pos="993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Настоящее Положение регулирует вопросы охраны и использования памятника природы регионального значения «Остров Кекур Витгенштейна» (далее – Памятник природы).</w:t>
      </w:r>
    </w:p>
    <w:p>
      <w:pPr>
        <w:pStyle w:val="Normal"/>
        <w:tabs>
          <w:tab w:val="clear" w:pos="708"/>
          <w:tab w:val="left" w:pos="567" w:leader="none"/>
          <w:tab w:val="left" w:pos="1134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>
      <w:pPr>
        <w:pStyle w:val="Normal"/>
        <w:tabs>
          <w:tab w:val="clear" w:pos="708"/>
          <w:tab w:val="left" w:pos="567" w:leader="none"/>
          <w:tab w:val="left" w:pos="851" w:leader="none"/>
          <w:tab w:val="left" w:pos="993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>
      <w:pPr>
        <w:pStyle w:val="Normal"/>
        <w:tabs>
          <w:tab w:val="clear" w:pos="708"/>
          <w:tab w:val="left" w:pos="567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сохранение в естественном состоянии ценного в экологическом, научном, рекреационном и эстетическом отношениях уникального природного комплекса, представленного расположенным в северо-западной части Берингова моря островом конусообразной формы Кекур Витгенштейна (отметка 242,0 м над уровнем моря), с крутыми, местами обрывистыми берегами, рифами, надводными и подводными камнями как среды обитания морских колониальных птиц и морских млекопитающих;  </w:t>
      </w:r>
    </w:p>
    <w:p>
      <w:pPr>
        <w:pStyle w:val="Normal"/>
        <w:tabs>
          <w:tab w:val="clear" w:pos="708"/>
          <w:tab w:val="left" w:pos="567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охрана редких видов животных, растений и грибов, занесенных в Красную книгу Российской Федерации и Красную книгу Камчатского края, таких как сивуч </w:t>
      </w:r>
      <w:r>
        <w:rPr>
          <w:rFonts w:ascii="Times New Roman" w:hAnsi="Times New Roman"/>
          <w:i/>
          <w:sz w:val="28"/>
        </w:rPr>
        <w:t>Eumetopias jubtus</w:t>
      </w:r>
      <w:r>
        <w:rPr>
          <w:rFonts w:ascii="Times New Roman" w:hAnsi="Times New Roman"/>
          <w:sz w:val="28"/>
        </w:rPr>
        <w:t xml:space="preserve">, белая сова </w:t>
      </w:r>
      <w:r>
        <w:rPr>
          <w:rFonts w:ascii="Times New Roman" w:hAnsi="Times New Roman"/>
          <w:i/>
          <w:sz w:val="28"/>
        </w:rPr>
        <w:t>Nyctea scandiaca</w:t>
      </w:r>
      <w:r>
        <w:rPr>
          <w:rFonts w:ascii="Times New Roman" w:hAnsi="Times New Roman"/>
          <w:sz w:val="28"/>
        </w:rPr>
        <w:t xml:space="preserve">, орлан-белохвост </w:t>
      </w:r>
      <w:r>
        <w:rPr>
          <w:rFonts w:ascii="Times New Roman" w:hAnsi="Times New Roman"/>
          <w:i/>
          <w:sz w:val="28"/>
        </w:rPr>
        <w:t>Haliaeetus albicilla</w:t>
      </w:r>
      <w:r>
        <w:rPr>
          <w:rFonts w:ascii="Times New Roman" w:hAnsi="Times New Roman"/>
          <w:sz w:val="28"/>
        </w:rPr>
        <w:t xml:space="preserve">, сапсан </w:t>
      </w:r>
      <w:r>
        <w:rPr>
          <w:rFonts w:ascii="Times New Roman" w:hAnsi="Times New Roman"/>
          <w:i/>
          <w:sz w:val="28"/>
        </w:rPr>
        <w:t>Falco peregrinus harterti</w:t>
      </w:r>
      <w:r>
        <w:rPr>
          <w:rFonts w:ascii="Times New Roman" w:hAnsi="Times New Roman"/>
          <w:sz w:val="28"/>
        </w:rPr>
        <w:t>, сохранение среды их обитания;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охрана мест гнездования 8 видов морских колониальных птиц, общая численность которых превышает 8–9 тысяч пар, залежек морских млекопитающих; 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минимизация негативного воздействия на естественные экологические системы прибрежной части Берингова моря при осуществлении туризма;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проведение научных исследований;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государственный экологический мониторинг (государственный мониторинг окружающей среды);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экологическое просвещение населения.</w:t>
      </w:r>
    </w:p>
    <w:p>
      <w:pPr>
        <w:pStyle w:val="Normal"/>
        <w:tabs>
          <w:tab w:val="clear" w:pos="708"/>
          <w:tab w:val="left" w:pos="993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Памятник природы создан решением Исполнительного комитета Камчатского областного Совета народных депутатов от 28.12.1983 № 562 «О 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 без ограничения срока его функционирования.</w:t>
      </w:r>
    </w:p>
    <w:p>
      <w:pPr>
        <w:pStyle w:val="Normal"/>
        <w:tabs>
          <w:tab w:val="clear" w:pos="708"/>
          <w:tab w:val="left" w:pos="993" w:leader="none"/>
          <w:tab w:val="left" w:pos="127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Памятник природы создан на землях, категория которых не определена, без изъятия земельных участков для государственных нужд, а также у собственников, землепользователей, землевладельцев.</w:t>
      </w:r>
    </w:p>
    <w:p>
      <w:pPr>
        <w:pStyle w:val="Normal"/>
        <w:tabs>
          <w:tab w:val="clear" w:pos="708"/>
          <w:tab w:val="left" w:pos="993" w:leader="none"/>
          <w:tab w:val="left" w:pos="1134" w:leader="none"/>
          <w:tab w:val="left" w:pos="127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Общая площадь Памятника природы составляет 15,92 га.</w:t>
      </w:r>
    </w:p>
    <w:p>
      <w:pPr>
        <w:pStyle w:val="Normal"/>
        <w:tabs>
          <w:tab w:val="clear" w:pos="708"/>
          <w:tab w:val="left" w:pos="1134" w:leader="none"/>
          <w:tab w:val="left" w:pos="127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7. </w:t>
      </w:r>
      <w:r>
        <w:rPr>
          <w:rFonts w:ascii="Times New Roman" w:hAnsi="Times New Roman"/>
          <w:color w:val="000000" w:themeColor="text1"/>
          <w:sz w:val="28"/>
          <w:shd w:fill="FFFF00" w:val="clear"/>
        </w:rPr>
        <w:t>Целевое назначение земельных участков, находящихся в границах Памятника природы, может быть определено как земли лесного фонда или земли особо охраняемых территорий и объектов.</w:t>
      </w:r>
      <w:r>
        <w:rPr>
          <w:rFonts w:ascii="Times New Roman" w:hAnsi="Times New Roman"/>
          <w:color w:val="000000" w:themeColor="text1"/>
          <w:sz w:val="28"/>
        </w:rPr>
        <w:t xml:space="preserve"> </w:t>
      </w:r>
    </w:p>
    <w:p>
      <w:pPr>
        <w:pStyle w:val="Normal"/>
        <w:tabs>
          <w:tab w:val="clear" w:pos="708"/>
          <w:tab w:val="left" w:pos="1134" w:leader="none"/>
          <w:tab w:val="left" w:pos="127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Изменение целевого назначения земельных участков, находящихся в границах Памятника природы, допускается в исключительных случаях, предусмотренных федеральным законодательством. </w:t>
      </w:r>
    </w:p>
    <w:p>
      <w:pPr>
        <w:pStyle w:val="Normal"/>
        <w:tabs>
          <w:tab w:val="clear" w:pos="708"/>
          <w:tab w:val="left" w:pos="1134" w:leader="none"/>
          <w:tab w:val="left" w:pos="127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8.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>
      <w:pPr>
        <w:pStyle w:val="Normal"/>
        <w:tabs>
          <w:tab w:val="clear" w:pos="708"/>
          <w:tab w:val="left" w:pos="1134" w:leader="none"/>
          <w:tab w:val="left" w:pos="127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9. Леса, расположенные на территории Памятника природы, относятся к защитным лесам и используются в соответствии с режимом его особой охраны и целевым назначением земель, определяемым земельным и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при условии, если это использование совместимо с целевым назначением защитных лесов и выполняемыми ими полезными функциями.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10. Основным видом разрешенного использования земельных участков, расположенных в границах Памятника природы, является деятельность по особой охране и изучению природы (код 9.0).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предоставление земельных участков, а также строительство, реконструкция, капитальный ремонт объектов капитального строительства запрещены</w:t>
        <w:br/>
        <w:t>пунктами 1 и 2 части 19 настоящего Положения.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13. </w:t>
      </w:r>
      <w:r>
        <w:rPr>
          <w:rFonts w:ascii="Times New Roman" w:hAnsi="Times New Roman"/>
          <w:sz w:val="28"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 на территории Камчатского края, утвержденных постановлением Правительства Камчатского края от 15.07.2013 № 303-П.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14. Охрана Памятника природы и управление им осуществляется краевым государственным бюджетным учреждением «Служба по охране животного мира и государственных природных заказников Камчатского края» (далее – Учреждение).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Посещение территории Памятника природы осуществляется по разрешениям, выдаваемым Учреждением.  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  <w:highlight w:val="yellow"/>
        </w:rPr>
      </w:pPr>
      <w:r>
        <w:rPr>
          <w:rFonts w:ascii="Times New Roman" w:hAnsi="Times New Roman"/>
          <w:sz w:val="28"/>
          <w:highlight w:val="yellow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17. Памятник природы расположен в Олюторском муниципальном районе Камчатского края, в северо-западной части Берингова моря, в бухте Кекурная между мысами Витгенштейна и Цепочка.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18. Граница Памятника природы проходит по береговой линии острова в период максимального отлива, оконтуривая кекуры и участки, обнажающихся в отлив подводных скал и камней: 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северная граница: от характерной точки 8 с географическими координатами 60 градусов 51 минута 0.7 секунды северной широты и </w:t>
        <w:br/>
        <w:t xml:space="preserve">172 градуса 5 минут 55.6 секунды восточной долготы, расположенной в </w:t>
        <w:br/>
        <w:t xml:space="preserve">1055,6 м к югу от мыса Цепочка, проходит в общем восточном направлении на протяжении 271,1 м вдоль береговой линии острова через характерные </w:t>
        <w:br/>
        <w:t>точки 7–1 до характерной точки 45 с географическими координатами 60 градусов 50 минут 59.2 секунды северной широты и 172 градуса 6 минут 12.7 секунды восточной долготы, соответствующей крайней северо-восточной точке острова;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восточная и юго-восточная граница: от характерной точки 45 в общем южном и юго-западном направлении на протяжении 622,2 м вдоль береговой линии острова через характерные точки 44–26 до характерной точки 25 с географическими координатами 60 градусов 50 минут 43.8 секунды северной широты и 172 градуса 5 минут 59.9 секунды восточной долготы, соответствующей крайней юго-восточной точке острова;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юго-западная и западная граница: от характерной точки 25 в общем западном, северном и северо-западном направлении на протяжении 666,3 м вдоль береговой линии острова через характерные точки 24–9 до характерной точки 8, где и замыкается. 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hanging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Режим особой охраны и использования территории Памятника природы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На территории Памятника природы запрещается всякая деятельность, влекущая за собой нарушение его сохранности, в том числе: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0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земельных участков;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0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строительство, реконструкция, капитальный ремонт объектов капитального строительства;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размещение некапитальных строений и сооружений;</w:t>
      </w:r>
    </w:p>
    <w:p>
      <w:pPr>
        <w:pStyle w:val="Normal"/>
        <w:tabs>
          <w:tab w:val="clear" w:pos="708"/>
          <w:tab w:val="left" w:pos="0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 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края, мест гнездований морских колониальных птиц, лежбищ и залежек морских млекопитающих;</w:t>
      </w:r>
    </w:p>
    <w:p>
      <w:pPr>
        <w:pStyle w:val="Normal"/>
        <w:tabs>
          <w:tab w:val="clear" w:pos="708"/>
          <w:tab w:val="left" w:pos="0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проведение взрывных работ; 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7) проведение дноуглубительных и других работ, связанных с изменением дна прилегающей морской акватории и берегов острова;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все виды лесопользования;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деятельность, ведущая к усилению фактора беспокойства охраняемых объектов животного мира, в том числе: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993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пролет вертолетов и иных летательных аппаратов ниже 300 м над островом, посадка вертолетов и стоянка вертолетов, за исключением случаев выполнения мероприятий по ликвидации и предупреждению чрезвычайных ситуаций, осуществления природоохранных мероприятий;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приближение на любых плавучих средствах к лежбищам и залежкам морских млекопитающих, местам гнездования морских колониальных птиц на расстояние менее 150 м;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кормление диких животных и птиц;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накопление, размещение, захоронение, сжигание отходов производства и потребления;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13) деятельность, ведущая к загрязнению прилегающей акватории Берингова моря;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14) интродукция живых организмов;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15) все виды охоты и рыболовства, сбор яиц морских колониальных птиц, добыча морских млекопитающих, за исключением случаев, предусмотренных пунктом 1 части 20 настоящего Положения;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16) осуществление туризма вне специально оборудованных для этого местах и маршрутах;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20 настоящего Положения;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разрешаются следующие виды деятельности: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осуществление государственного экологического мониторинга (государственного мониторинга окружающей среды);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проведение мероприятий, направленных на сохранение, восстановление и поддержание в равновесном состоянии островной экосистемы, в том числе мероприятий по сохранению и восстановлению ключевых мест обитания (произрастания) объектов животного и растительного мира, нуждающихся в особых мерах охраны;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туризм (при соблюдении требований, предусмотренных частями 15 и 19 настоящего Положения);</w:t>
      </w:r>
    </w:p>
    <w:p>
      <w:pPr>
        <w:pStyle w:val="Normal"/>
        <w:spacing w:lineRule="auto" w:line="228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эколого-просветительская деятельность.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  <w:r>
        <w:br w:type="page"/>
      </w:r>
    </w:p>
    <w:tbl>
      <w:tblPr>
        <w:tblStyle w:val="Style_3"/>
        <w:tblW w:w="963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6"/>
        <w:gridCol w:w="478"/>
        <w:gridCol w:w="483"/>
        <w:gridCol w:w="3667"/>
        <w:gridCol w:w="481"/>
        <w:gridCol w:w="1869"/>
        <w:gridCol w:w="488"/>
        <w:gridCol w:w="1692"/>
      </w:tblGrid>
      <w:tr>
        <w:trPr/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pageBreakBefore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5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Приложение 2 к постановлению</w:t>
            </w:r>
          </w:p>
        </w:tc>
      </w:tr>
      <w:tr>
        <w:trPr/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5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Правительства Камчатского края</w:t>
            </w:r>
          </w:p>
        </w:tc>
      </w:tr>
      <w:tr>
        <w:trPr/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от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sz w:val="22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№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sz w:val="22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«Остров Кекур Витгенштейна» (далее – Памятник природы)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tbl>
      <w:tblPr>
        <w:tblStyle w:val="Style_2"/>
        <w:tblW w:w="9632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4111"/>
        <w:gridCol w:w="4954"/>
      </w:tblGrid>
      <w:tr>
        <w:trPr>
          <w:trHeight w:val="411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95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№ </w:t>
            </w: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п/п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Характеристика Памятника природы </w:t>
            </w:r>
          </w:p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Описание характеристик  </w:t>
            </w:r>
          </w:p>
        </w:tc>
      </w:tr>
      <w:tr>
        <w:trPr>
          <w:trHeight w:val="25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</w:tr>
      <w:tr>
        <w:trPr>
          <w:trHeight w:val="543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Местоположение Памятника природы</w:t>
            </w:r>
          </w:p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Камчатский край, 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Олюторский муниципальный район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Площадь объекта +/– величина погрешности определения площади </w:t>
              <w:br/>
              <w:t>(Р +/– Дельта Р)</w:t>
            </w:r>
          </w:p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pacing w:val="0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159230 +/- 3492 м</w:t>
            </w: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  <w:vertAlign w:val="superscript"/>
              </w:rPr>
              <w:t>2</w:t>
            </w:r>
          </w:p>
        </w:tc>
      </w:tr>
      <w:tr>
        <w:trPr>
          <w:trHeight w:val="1262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Наименование и реквизиты нормативного правового акта о создании объекта</w:t>
            </w:r>
            <w:bookmarkStart w:id="2" w:name="_GoBack"/>
            <w:bookmarkEnd w:id="2"/>
          </w:p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</w:t>
            </w:r>
          </w:p>
        </w:tc>
      </w:tr>
    </w:tbl>
    <w:p>
      <w:pPr>
        <w:pStyle w:val="Normal"/>
        <w:spacing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2. Сведения о местоположении границ Памятника природы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tbl>
      <w:tblPr>
        <w:tblStyle w:val="Style_2"/>
        <w:tblW w:w="9642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1716"/>
        <w:gridCol w:w="1732"/>
        <w:gridCol w:w="2112"/>
        <w:gridCol w:w="2381"/>
      </w:tblGrid>
      <w:tr>
        <w:trPr>
          <w:trHeight w:val="159" w:hRule="atLeast"/>
        </w:trPr>
        <w:tc>
          <w:tcPr>
            <w:tcW w:w="9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1. Система координат: МСК 82, WGS 84</w:t>
            </w:r>
          </w:p>
        </w:tc>
      </w:tr>
      <w:tr>
        <w:trPr>
          <w:trHeight w:val="108" w:hRule="atLeast"/>
        </w:trPr>
        <w:tc>
          <w:tcPr>
            <w:tcW w:w="9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2. Сведения о характерных точках границ Памятника природы:</w:t>
            </w:r>
          </w:p>
        </w:tc>
      </w:tr>
      <w:tr>
        <w:trPr/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Обозначение характерных точек границ</w:t>
            </w:r>
          </w:p>
        </w:tc>
        <w:tc>
          <w:tcPr>
            <w:tcW w:w="3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Координаты МСК-41 (1)</w:t>
            </w:r>
          </w:p>
        </w:tc>
        <w:tc>
          <w:tcPr>
            <w:tcW w:w="4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Координаты WGS-84</w:t>
            </w:r>
          </w:p>
        </w:tc>
      </w:tr>
      <w:tr>
        <w:trPr>
          <w:trHeight w:val="287" w:hRule="atLeast"/>
        </w:trPr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left"/>
              <w:rPr>
                <w:kern w:val="0"/>
                <w:sz w:val="22"/>
                <w:szCs w:val="20"/>
              </w:rPr>
            </w:pPr>
            <w:r>
              <w:rPr>
                <w:kern w:val="0"/>
                <w:sz w:val="22"/>
                <w:szCs w:val="20"/>
              </w:rPr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Х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Y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Северная </w:t>
            </w:r>
          </w:p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широта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Восточная </w:t>
            </w:r>
          </w:p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долгота</w:t>
            </w:r>
          </w:p>
        </w:tc>
      </w:tr>
    </w:tbl>
    <w:p>
      <w:pPr>
        <w:pStyle w:val="Normal"/>
        <w:spacing w:before="0" w:after="0"/>
        <w:rPr>
          <w:sz w:val="2"/>
        </w:rPr>
      </w:pPr>
      <w:r>
        <w:rPr>
          <w:sz w:val="2"/>
        </w:rPr>
      </w:r>
    </w:p>
    <w:tbl>
      <w:tblPr>
        <w:tblStyle w:val="Style_2"/>
        <w:tblW w:w="9642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1716"/>
        <w:gridCol w:w="1732"/>
        <w:gridCol w:w="2112"/>
        <w:gridCol w:w="2381"/>
      </w:tblGrid>
      <w:tr>
        <w:trPr>
          <w:tblHeader w:val="true"/>
          <w:trHeight w:val="287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1433411.28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3488844.95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60°50'59.3''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172°6'11.6''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1433396.24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3488809.32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60°50'58.9''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172°6'9.3''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1433396.61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3488779.78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60°50'58.9''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172°6'7.3''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1433410.00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3488748.88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60°50'59.3''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172°6'5.3''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1433425.31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3488710.32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60°50'59.9''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172°6'2.7''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1433442.86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3488667.30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60°51'0.5''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172°5'59.9''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1433450.76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3488635.40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60°51'0.7''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172°5'57.8''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1433448.80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3488601.62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60°51'0.7''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172°5'55.6''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1433429.46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3488568.28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60°51'0.1''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172°5'53.4''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1433376.37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3488540.07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60°50'58.4''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172°5'51.4''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11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1433345.34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3488515.76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60°50'57.4''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172°5'49.7''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1433313.10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3488492.53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60°50'56.4''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172°5'48.1''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1433265.04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3488487.20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60°50'54.9''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172°5'47.7''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1433219.06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3488480.67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60°50'53.4''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172°5'47.2''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1433166.81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3488486.32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60°50'51.7''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172°5'47.5''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1433133.05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3488487.16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60°50'50.6''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172°5'47.5''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1433085.34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3488496.02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60°50'49.0''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172°5'48.0''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18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1433049.79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3488514.35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60°50'47.9''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172°5'49.2''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19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1433014.41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3488534.87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60°50'46.7''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172°5'50.5''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1432983.42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3488561.85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60°50'45.7''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172°5'52.2''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21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1432959.93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3488581.04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60°50'44.9''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172°5'53.4''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22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1432943.23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3488613.11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60°50'44.4''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172°5'55.5''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1432928.54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3488636.38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60°50'43.9''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172°5'57.0''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1432925.85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3488658.31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60°50'43.8''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172°5'58.5''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25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1432928.65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3488681.20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60°50'43.8''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172°5'59.9''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26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1432945.43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3488701.51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60°50'44.4''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172°6'1.4''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27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1432961.50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3488733.84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60°50'44.9''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172°6'3.5''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28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1432997.11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3488762.49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60°50'45.9''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172°6'5.5''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29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1433021.53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3488780.43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60°50'46.8''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172°6'6.7''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1433049.96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3488780.81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60°50'47.7''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172°6'6.8''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31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1433071.36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3488767.17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60°50'48.4''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172°6'5.9''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32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1433092.08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3488766.65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60°50'49.0''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172°6'5.9''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33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1433102.20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3488779.51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60°50'49.4''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172°6'6.8''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1433093.98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3488798.26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60°50'49.1''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172°6'8.0''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35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1433093.35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3488817.96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60°50'49.0''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172°6'9.3''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36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1433107.94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3488835.06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60°50'49.5''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172°6'10.5''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37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1433143.38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3488857.07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60°50'50.6''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172°6'11.9''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38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1433174.42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3488877.07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60°50'51.6''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172°6'13.4''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39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1433199.84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3488890.64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60°50'52.4''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172°6'14.3''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1433238.18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3488899.52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60°50'53.7''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172°6'14.9''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41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1433268.74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3488899.85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60°50'54.6''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172°6'15.0''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42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1433340.54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3488895.88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60°50'56.9''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172°6'14.9''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43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1433374.10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3488887.37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60°50'58.1''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172°6'14.4''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44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1433394.50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3488873.76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60°50'58.7''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172°6'13.5''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45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1433409.46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3488861.37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60°50'59.2''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172°6'12.7''</w:t>
            </w:r>
          </w:p>
        </w:tc>
      </w:tr>
      <w:tr>
        <w:trPr>
          <w:trHeight w:val="316" w:hRule="atLeast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1433411.28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3488844.95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60°50'59.3''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172°6'11.6''</w:t>
            </w:r>
          </w:p>
        </w:tc>
      </w:tr>
    </w:tbl>
    <w:p>
      <w:pPr>
        <w:pStyle w:val="Normal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3. Карта-схема границ Памятника природы</w:t>
      </w:r>
    </w:p>
    <w:p>
      <w:pPr>
        <w:pStyle w:val="Normal"/>
        <w:jc w:val="center"/>
        <w:rPr>
          <w:b/>
          <w:b/>
          <w:sz w:val="24"/>
        </w:rPr>
      </w:pPr>
      <w:r>
        <w:rPr>
          <w:b/>
          <w:sz w:val="24"/>
        </w:rPr>
        <w:drawing>
          <wp:anchor behindDoc="1" distT="0" distB="0" distL="0" distR="0" simplePos="0" locked="0" layoutInCell="0" allowOverlap="1" relativeHeight="40">
            <wp:simplePos x="0" y="0"/>
            <wp:positionH relativeFrom="margin">
              <wp:align>right</wp:align>
            </wp:positionH>
            <wp:positionV relativeFrom="paragraph">
              <wp:posOffset>95250</wp:posOffset>
            </wp:positionV>
            <wp:extent cx="5953125" cy="7096125"/>
            <wp:effectExtent l="0" t="0" r="0" b="0"/>
            <wp:wrapNone/>
            <wp:docPr id="2" name="Pictur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2267" t="2779" r="5350" b="26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tabs>
          <w:tab w:val="clear" w:pos="708"/>
          <w:tab w:val="left" w:pos="8700" w:leader="none"/>
        </w:tabs>
        <w:rPr>
          <w:b/>
          <w:b/>
          <w:color w:val="000000"/>
        </w:rPr>
      </w:pPr>
      <w:r>
        <w:rPr>
          <w:b/>
          <w:color w:val="000000" w:themeColor="text1"/>
        </w:rPr>
        <w:tab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  <w:drawing>
          <wp:anchor behindDoc="1" distT="0" distB="0" distL="0" distR="0" simplePos="0" locked="0" layoutInCell="0" allowOverlap="1" relativeHeight="39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5968365" cy="788035"/>
            <wp:effectExtent l="0" t="0" r="0" b="0"/>
            <wp:wrapNone/>
            <wp:docPr id="3" name="Pictur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644" t="80788" r="3796" b="10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4. Схема местоположения Памятника природы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/>
        <w:drawing>
          <wp:inline distT="0" distB="0" distL="0" distR="0">
            <wp:extent cx="5943600" cy="6905625"/>
            <wp:effectExtent l="0" t="0" r="0" b="0"/>
            <wp:docPr id="4" name="Pictur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0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91" t="547" r="1787" b="1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/>
      </w:r>
    </w:p>
    <w:sectPr>
      <w:headerReference w:type="default" r:id="rId6"/>
      <w:type w:val="nextPage"/>
      <w:pgSz w:w="11906" w:h="16838"/>
      <w:pgMar w:left="1418" w:right="851" w:gutter="0" w:header="709" w:top="1276" w:footer="0" w:bottom="851"/>
      <w:pgNumType w:start="1" w:fmt="decimal"/>
      <w:formProt w:val="false"/>
      <w:titlePg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empora LGC Uni">
    <w:charset w:val="01"/>
    <w:family w:val="roman"/>
    <w:pitch w:val="variable"/>
  </w:font>
  <w:font w:name="Calibri">
    <w:charset w:val="01"/>
    <w:family w:val="roman"/>
    <w:pitch w:val="variable"/>
  </w:font>
  <w:font w:name="XO Thames">
    <w:charset w:val="01"/>
    <w:family w:val="roman"/>
    <w:pitch w:val="variable"/>
  </w:font>
  <w:font w:name="Segoe UI">
    <w:charset w:val="01"/>
    <w:family w:val="roman"/>
    <w:pitch w:val="variable"/>
  </w:font>
  <w:font w:name="Open Sans">
    <w:charset w:val="01"/>
    <w:family w:val="roman"/>
    <w:pitch w:val="variable"/>
  </w:font>
  <w:font w:name="Times New Roman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spacing w:lineRule="auto" w:line="264" w:before="0" w:after="160"/>
      <w:ind w:left="0" w:right="0" w:hanging="0"/>
      <w:jc w:val="left"/>
      <w:rPr/>
    </w:pPr>
    <w:r>
      <w:rPr/>
      <mc:AlternateContent>
        <mc:Choice Requires="wps">
          <w:drawing>
            <wp:anchor behindDoc="1" distT="0" distB="635" distL="0" distR="0" simplePos="0" locked="0" layoutInCell="0" allowOverlap="1" relativeHeight="19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94945" cy="173990"/>
              <wp:effectExtent l="0" t="0" r="0" b="0"/>
              <wp:wrapSquare wrapText="bothSides"/>
              <wp:docPr id="5" name="Picture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5120" cy="173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Normal"/>
                            <w:spacing w:before="0" w:after="160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24"/>
                            </w:rPr>
                          </w:r>
                        </w:p>
                      </w:txbxContent>
                    </wps:txbx>
                    <wps:bodyPr lIns="0" rIns="0" t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Picture 2" path="m0,0l-2147483645,0l-2147483645,-2147483646l0,-2147483646xe" stroked="f" o:allowincell="f" style="position:absolute;margin-left:233.2pt;margin-top:0.05pt;width:15.3pt;height:13.65pt;mso-wrap-style:none;v-text-anchor:middle;mso-position-horizontal:center;mso-position-horizontal-relative:margin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Normal"/>
                      <w:spacing w:before="0" w:after="160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z w:val="24"/>
                      </w:rPr>
                    </w:r>
                  </w:p>
                </w:txbxContent>
              </v:textbox>
              <w10:wrap type="square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37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78435" cy="203200"/>
              <wp:effectExtent l="0" t="0" r="0" b="0"/>
              <wp:wrapSquare wrapText="bothSides"/>
              <wp:docPr id="7" name="Picture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8560" cy="2030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Normal"/>
                            <w:spacing w:before="0" w:after="160"/>
                            <w:rPr>
                              <w:rFonts w:ascii="Times New Roman" w:hAnsi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28"/>
                            </w:rPr>
                          </w:r>
                        </w:p>
                      </w:txbxContent>
                    </wps:txbx>
                    <wps:bodyPr lIns="0" rIns="0" t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Picture 1" path="m0,0l-2147483645,0l-2147483645,-2147483646l0,-2147483646xe" stroked="f" o:allowincell="f" style="position:absolute;margin-left:233.85pt;margin-top:0.05pt;width:14pt;height:15.95pt;mso-wrap-style:none;v-text-anchor:middle;mso-position-horizontal:center;mso-position-horizontal-relative:margin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Normal"/>
                      <w:spacing w:before="0" w:after="160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z w:val="28"/>
                      </w:rPr>
                    </w:r>
                  </w:p>
                </w:txbxContent>
              </v:textbox>
              <w10:wrap type="square"/>
            </v:rect>
          </w:pict>
        </mc:Fallback>
      </mc:AlternateContent>
    </w:r>
    <w:r>
      <mc:AlternateContent>
        <mc:Choice Requires="wps">
          <w:drawing>
            <wp:anchor behindDoc="0" distT="0" distB="0" distL="0" distR="0" simplePos="0" locked="0" layoutInCell="0" allowOverlap="1" relativeHeight="50">
              <wp:simplePos x="0" y="0"/>
              <wp:positionH relativeFrom="margin">
                <wp:align>left</wp:align>
              </wp:positionH>
              <wp:positionV relativeFrom="paragraph">
                <wp:posOffset>635</wp:posOffset>
              </wp:positionV>
              <wp:extent cx="1002665" cy="170815"/>
              <wp:effectExtent l="0" t="0" r="0" b="0"/>
              <wp:wrapSquare wrapText="bothSides"/>
              <wp:docPr id="9" name="Врезка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2665" cy="17081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Normal"/>
                            <w:pBdr/>
                            <w:spacing w:before="0" w:after="16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-0;width:78.95pt;height:13.45pt;mso-wrap-distance-left:0pt;mso-wrap-distance-right:0pt;mso-wrap-distance-top:0pt;mso-wrap-distance-bottom:0pt;margin-top:0.05pt;mso-position-vertical-relative:text;margin-left:0pt;mso-position-horizontal:left;mso-position-horizontal-relative:margin">
              <v:fill opacity="0f"/>
              <v:textbox inset="0in,0in,0in,0in">
                <w:txbxContent>
                  <w:p>
                    <w:pPr>
                      <w:pStyle w:val="Normal"/>
                      <w:pBdr/>
                      <w:spacing w:before="0" w:after="16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russianLower"/>
      <w:lvlText w:val="%2)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)"/>
      <w:lvlJc w:val="right"/>
      <w:pPr>
        <w:tabs>
          <w:tab w:val="num" w:pos="0"/>
        </w:tabs>
        <w:ind w:left="2160" w:hanging="360"/>
      </w:pPr>
      <w:rPr/>
    </w:lvl>
    <w:lvl w:ilvl="3">
      <w:start w:val="1"/>
      <w:numFmt w:val="decimal"/>
      <w:lvlText w:val="%4)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russianLower"/>
      <w:lvlText w:val="%5)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)"/>
      <w:lvlJc w:val="right"/>
      <w:pPr>
        <w:tabs>
          <w:tab w:val="num" w:pos="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russianLow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/>
    </w:lvl>
  </w:abstractNum>
  <w:abstractNum w:abstractNumId="2">
    <w:lvl w:ilvl="0">
      <w:start w:val="1"/>
      <w:numFmt w:val="russianLower"/>
      <w:lvlText w:val="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)"/>
      <w:lvlJc w:val="right"/>
      <w:pPr>
        <w:tabs>
          <w:tab w:val="num" w:pos="0"/>
        </w:tabs>
        <w:ind w:left="2160" w:hanging="360"/>
      </w:pPr>
      <w:rPr/>
    </w:lvl>
    <w:lvl w:ilvl="3">
      <w:start w:val="1"/>
      <w:numFmt w:val="russianLower"/>
      <w:lvlText w:val="%4)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decimal"/>
      <w:lvlText w:val="%5)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)"/>
      <w:lvlJc w:val="right"/>
      <w:pPr>
        <w:tabs>
          <w:tab w:val="num" w:pos="0"/>
        </w:tabs>
        <w:ind w:left="4320" w:hanging="360"/>
      </w:pPr>
      <w:rPr/>
    </w:lvl>
    <w:lvl w:ilvl="6">
      <w:start w:val="1"/>
      <w:numFmt w:val="russianLower"/>
      <w:lvlText w:val="%7)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decimal"/>
      <w:lvlText w:val="%8)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)"/>
      <w:lvlJc w:val="right"/>
      <w:pPr>
        <w:tabs>
          <w:tab w:val="num" w:pos="0"/>
        </w:tabs>
        <w:ind w:left="6480" w:hanging="36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ahoma" w:cs="Lohit Devanagari" w:asciiTheme="minorAscii" w:hAnsiTheme="minorHAnsi"/>
        <w:color w:val="000000"/>
        <w:sz w:val="22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4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unhideWhenUsed="0" w:qFormat="1"/>
    <w:lsdException w:name="heading 3" w:uiPriority="9" w:semiHidden="0" w:unhideWhenUsed="0" w:qFormat="1"/>
    <w:lsdException w:name="heading 4" w:uiPriority="9" w:semiHidden="0" w:unhideWhenUsed="0" w:qFormat="1"/>
    <w:lsdException w:name="heading 5" w:uiPriority="9" w:semiHidden="0" w:unhideWhenUsed="0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Title" w:uiPriority="10" w:semiHidden="0" w:unhideWhenUsed="0" w:qFormat="1"/>
    <w:lsdException w:name="Subtitle" w:uiPriority="11" w:semiHidden="0" w:unhideWhenUsed="0" w:qFormat="1"/>
    <w:lsdException w:name="Header and Footer" w:semiHidden="0" w:unhideWhenUsed="0" w:qFormat="0"/>
    <w:lsdException w:name="Footnote" w:semiHidden="0" w:unhideWhenUsed="0" w:qFormat="0"/>
    <w:lsdException w:name="toc 1" w:uiPriority="39" w:semiHidden="0" w:unhideWhenUsed="0" w:qFormat="0"/>
    <w:lsdException w:name="toc 2" w:uiPriority="39" w:semiHidden="0" w:unhideWhenUsed="0" w:qFormat="0"/>
    <w:lsdException w:name="toc 3" w:uiPriority="39" w:semiHidden="0" w:unhideWhenUsed="0" w:qFormat="0"/>
    <w:lsdException w:name="toc 4" w:uiPriority="39" w:semiHidden="0" w:unhideWhenUsed="0" w:qFormat="0"/>
    <w:lsdException w:name="toc 5" w:uiPriority="39" w:semiHidden="0" w:unhideWhenUsed="0" w:qFormat="0"/>
    <w:lsdException w:name="toc 6" w:uiPriority="39" w:semiHidden="0" w:unhideWhenUsed="0" w:qFormat="0"/>
    <w:lsdException w:name="toc 7" w:uiPriority="39" w:semiHidden="0" w:unhideWhenUsed="0" w:qFormat="0"/>
    <w:lsdException w:name="toc 8" w:uiPriority="39" w:semiHidden="0" w:unhideWhenUsed="0" w:qFormat="0"/>
    <w:lsdException w:name="toc 9" w:uiPriority="39" w:semiHidden="0" w:unhideWhenUsed="0" w:qFormat="0"/>
    <w:lsdException w:name="Hyperlink" w:semiHidden="0" w:unhideWhenUsed="0" w:qFormat="0"/>
  </w:latentStyles>
  <w:style w:type="paragraph" w:styleId="Normal" w:default="1">
    <w:name w:val="Normal"/>
    <w:uiPriority w:val="0"/>
    <w:qFormat/>
    <w:pPr>
      <w:widowControl/>
      <w:bidi w:val="0"/>
      <w:spacing w:lineRule="auto" w:line="264" w:before="0" w:after="160"/>
      <w:ind w:left="0" w:right="0" w:hanging="0"/>
      <w:jc w:val="left"/>
    </w:pPr>
    <w:rPr>
      <w:rFonts w:ascii="Calibri" w:hAnsi="Calibri" w:asciiTheme="minorAscii" w:hAnsiTheme="minorHAnsi" w:eastAsia="Tahoma" w:cs="Lohit Devanagari"/>
      <w:color w:val="000000"/>
      <w:spacing w:val="0"/>
      <w:kern w:val="0"/>
      <w:sz w:val="22"/>
      <w:szCs w:val="20"/>
      <w:lang w:val="ru-RU" w:eastAsia="zh-CN" w:bidi="hi-IN"/>
    </w:rPr>
  </w:style>
  <w:style w:type="paragraph" w:styleId="1">
    <w:name w:val="Heading 1"/>
    <w:next w:val="Normal"/>
    <w:uiPriority w:val="9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b/>
      <w:color w:val="000000"/>
      <w:spacing w:val="0"/>
      <w:kern w:val="0"/>
      <w:sz w:val="32"/>
      <w:szCs w:val="20"/>
      <w:lang w:val="ru-RU" w:eastAsia="zh-CN" w:bidi="hi-IN"/>
    </w:rPr>
  </w:style>
  <w:style w:type="paragraph" w:styleId="2">
    <w:name w:val="Heading 2"/>
    <w:next w:val="Normal"/>
    <w:uiPriority w:val="9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3">
    <w:name w:val="Heading 3"/>
    <w:next w:val="Normal"/>
    <w:uiPriority w:val="9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b/>
      <w:color w:val="000000"/>
      <w:spacing w:val="0"/>
      <w:kern w:val="0"/>
      <w:sz w:val="26"/>
      <w:szCs w:val="20"/>
      <w:lang w:val="ru-RU" w:eastAsia="zh-CN" w:bidi="hi-IN"/>
    </w:rPr>
  </w:style>
  <w:style w:type="paragraph" w:styleId="4">
    <w:name w:val="Heading 4"/>
    <w:next w:val="Normal"/>
    <w:uiPriority w:val="9"/>
    <w:qFormat/>
    <w:pPr>
      <w:widowControl/>
      <w:bidi w:val="0"/>
      <w:spacing w:lineRule="auto" w:line="264" w:before="120" w:after="120"/>
      <w:ind w:left="0" w:right="0" w:hanging="0"/>
      <w:jc w:val="both"/>
      <w:outlineLvl w:val="3"/>
    </w:pPr>
    <w:rPr>
      <w:rFonts w:ascii="XO Thames" w:hAnsi="XO Thames" w:eastAsia="Tahoma" w:cs="Lohit Devanagari"/>
      <w:b/>
      <w:color w:val="000000"/>
      <w:spacing w:val="0"/>
      <w:kern w:val="0"/>
      <w:sz w:val="24"/>
      <w:szCs w:val="20"/>
      <w:lang w:val="ru-RU" w:eastAsia="zh-CN" w:bidi="hi-IN"/>
    </w:rPr>
  </w:style>
  <w:style w:type="paragraph" w:styleId="5">
    <w:name w:val="Heading 5"/>
    <w:next w:val="Normal"/>
    <w:uiPriority w:val="9"/>
    <w:qFormat/>
    <w:pPr>
      <w:widowControl/>
      <w:bidi w:val="0"/>
      <w:spacing w:lineRule="auto" w:line="264" w:before="120" w:after="120"/>
      <w:ind w:left="0" w:right="0" w:hanging="0"/>
      <w:jc w:val="both"/>
      <w:outlineLvl w:val="4"/>
    </w:pPr>
    <w:rPr>
      <w:rFonts w:ascii="XO Thames" w:hAnsi="XO Thames" w:eastAsia="Tahoma" w:cs="Lohit Devanagari"/>
      <w:b/>
      <w:color w:val="000000"/>
      <w:spacing w:val="0"/>
      <w:kern w:val="0"/>
      <w:sz w:val="22"/>
      <w:szCs w:val="20"/>
      <w:lang w:val="ru-RU" w:eastAsia="zh-CN" w:bidi="hi-IN"/>
    </w:rPr>
  </w:style>
  <w:style w:type="character" w:styleId="Header">
    <w:name w:val="Header"/>
    <w:qFormat/>
    <w:rPr/>
  </w:style>
  <w:style w:type="character" w:styleId="Style9">
    <w:name w:val="Колонтитул"/>
    <w:link w:val="Style19"/>
    <w:qFormat/>
    <w:rPr>
      <w:rFonts w:ascii="XO Thames" w:hAnsi="XO Thames"/>
      <w:color w:val="000000"/>
      <w:spacing w:val="0"/>
      <w:sz w:val="20"/>
    </w:rPr>
  </w:style>
  <w:style w:type="character" w:styleId="Contents2">
    <w:name w:val="Contents 2"/>
    <w:link w:val="Contents21"/>
    <w:qFormat/>
    <w:rPr>
      <w:rFonts w:ascii="XO Thames" w:hAnsi="XO Thames"/>
      <w:color w:val="000000"/>
      <w:spacing w:val="0"/>
      <w:sz w:val="28"/>
    </w:rPr>
  </w:style>
  <w:style w:type="character" w:styleId="Contents8">
    <w:name w:val="Contents 8"/>
    <w:link w:val="Contents81"/>
    <w:qFormat/>
    <w:rPr>
      <w:rFonts w:ascii="XO Thames" w:hAnsi="XO Thames"/>
      <w:color w:val="000000"/>
      <w:spacing w:val="0"/>
      <w:sz w:val="28"/>
    </w:rPr>
  </w:style>
  <w:style w:type="character" w:styleId="Contents7">
    <w:name w:val="Contents 7"/>
    <w:link w:val="Contents71"/>
    <w:qFormat/>
    <w:rPr>
      <w:rFonts w:ascii="XO Thames" w:hAnsi="XO Thames"/>
      <w:color w:val="000000"/>
      <w:spacing w:val="0"/>
      <w:sz w:val="28"/>
    </w:rPr>
  </w:style>
  <w:style w:type="character" w:styleId="Contents4">
    <w:name w:val="Contents 4"/>
    <w:link w:val="Contents41"/>
    <w:qFormat/>
    <w:rPr>
      <w:rFonts w:ascii="XO Thames" w:hAnsi="XO Thames"/>
      <w:color w:val="000000"/>
      <w:spacing w:val="0"/>
      <w:sz w:val="28"/>
    </w:rPr>
  </w:style>
  <w:style w:type="character" w:styleId="Contents6">
    <w:name w:val="Contents 6"/>
    <w:link w:val="Contents61"/>
    <w:qFormat/>
    <w:rPr>
      <w:rFonts w:ascii="XO Thames" w:hAnsi="XO Thames"/>
      <w:color w:val="000000"/>
      <w:spacing w:val="0"/>
      <w:sz w:val="28"/>
    </w:rPr>
  </w:style>
  <w:style w:type="character" w:styleId="List">
    <w:name w:val="List"/>
    <w:basedOn w:val="Textbody"/>
    <w:qFormat/>
    <w:rPr/>
  </w:style>
  <w:style w:type="character" w:styleId="Heading5">
    <w:name w:val="Heading 5"/>
    <w:qFormat/>
    <w:rPr>
      <w:rFonts w:ascii="XO Thames" w:hAnsi="XO Thames"/>
      <w:b/>
      <w:color w:val="000000"/>
      <w:spacing w:val="0"/>
      <w:sz w:val="22"/>
    </w:rPr>
  </w:style>
  <w:style w:type="character" w:styleId="Internetlink">
    <w:name w:val="Internet link"/>
    <w:link w:val="Internetlink1"/>
    <w:qFormat/>
    <w:rPr>
      <w:rFonts w:ascii="Calibri" w:hAnsi="Calibri"/>
      <w:color w:val="0000FF"/>
      <w:spacing w:val="0"/>
      <w:sz w:val="22"/>
      <w:u w:val="single"/>
    </w:rPr>
  </w:style>
  <w:style w:type="character" w:styleId="Heading3">
    <w:name w:val="Heading 3"/>
    <w:qFormat/>
    <w:rPr>
      <w:rFonts w:ascii="XO Thames" w:hAnsi="XO Thames"/>
      <w:b/>
      <w:sz w:val="26"/>
    </w:rPr>
  </w:style>
  <w:style w:type="character" w:styleId="BalloonText">
    <w:name w:val="Balloon Text"/>
    <w:link w:val="BalloonText1"/>
    <w:qFormat/>
    <w:rPr>
      <w:rFonts w:ascii="Segoe UI" w:hAnsi="Segoe UI"/>
      <w:sz w:val="18"/>
    </w:rPr>
  </w:style>
  <w:style w:type="character" w:styleId="Style10">
    <w:name w:val="Указатель"/>
    <w:link w:val="Style18"/>
    <w:qFormat/>
    <w:rPr/>
  </w:style>
  <w:style w:type="character" w:styleId="11">
    <w:name w:val="Основной шрифт абзаца1"/>
    <w:link w:val="14"/>
    <w:qFormat/>
    <w:rPr>
      <w:rFonts w:ascii="Calibri" w:hAnsi="Calibri" w:asciiTheme="minorAscii" w:hAnsiTheme="minorHAnsi"/>
      <w:color w:val="000000"/>
      <w:spacing w:val="0"/>
      <w:sz w:val="22"/>
    </w:rPr>
  </w:style>
  <w:style w:type="character" w:styleId="Caption">
    <w:name w:val="Caption"/>
    <w:qFormat/>
    <w:rPr>
      <w:i/>
      <w:sz w:val="24"/>
    </w:rPr>
  </w:style>
  <w:style w:type="character" w:styleId="Contents3">
    <w:name w:val="Contents 3"/>
    <w:link w:val="Contents31"/>
    <w:qFormat/>
    <w:rPr>
      <w:rFonts w:ascii="XO Thames" w:hAnsi="XO Thames"/>
      <w:color w:val="000000"/>
      <w:spacing w:val="0"/>
      <w:sz w:val="28"/>
    </w:rPr>
  </w:style>
  <w:style w:type="character" w:styleId="Subtitle">
    <w:name w:val="Subtitle"/>
    <w:qFormat/>
    <w:rPr>
      <w:rFonts w:ascii="XO Thames" w:hAnsi="XO Thames"/>
      <w:i/>
      <w:sz w:val="24"/>
    </w:rPr>
  </w:style>
  <w:style w:type="character" w:styleId="Style11">
    <w:name w:val="Заголовок"/>
    <w:link w:val="Style14"/>
    <w:qFormat/>
    <w:rPr>
      <w:rFonts w:ascii="Open Sans" w:hAnsi="Open Sans"/>
      <w:sz w:val="28"/>
    </w:rPr>
  </w:style>
  <w:style w:type="character" w:styleId="12">
    <w:name w:val="Обычный1"/>
    <w:link w:val="15"/>
    <w:qFormat/>
    <w:rPr>
      <w:rFonts w:ascii="Calibri" w:hAnsi="Calibri" w:asciiTheme="minorAscii" w:hAnsiTheme="minorHAnsi"/>
      <w:color w:val="000000"/>
      <w:spacing w:val="0"/>
      <w:sz w:val="22"/>
    </w:rPr>
  </w:style>
  <w:style w:type="character" w:styleId="Footer">
    <w:name w:val="Footer"/>
    <w:qFormat/>
    <w:rPr>
      <w:rFonts w:ascii="Times New Roman" w:hAnsi="Times New Roman"/>
      <w:sz w:val="28"/>
    </w:rPr>
  </w:style>
  <w:style w:type="character" w:styleId="Contents9">
    <w:name w:val="Contents 9"/>
    <w:link w:val="Contents91"/>
    <w:qFormat/>
    <w:rPr>
      <w:rFonts w:ascii="XO Thames" w:hAnsi="XO Thames"/>
      <w:color w:val="000000"/>
      <w:spacing w:val="0"/>
      <w:sz w:val="28"/>
    </w:rPr>
  </w:style>
  <w:style w:type="character" w:styleId="13">
    <w:name w:val="Гиперссылка1"/>
    <w:basedOn w:val="11"/>
    <w:link w:val="16"/>
    <w:qFormat/>
    <w:rPr>
      <w:color w:val="0563C1" w:themeColor="hyperlink"/>
      <w:u w:val="single"/>
    </w:rPr>
  </w:style>
  <w:style w:type="character" w:styleId="Contents1">
    <w:name w:val="Contents 1"/>
    <w:link w:val="Contents11"/>
    <w:qFormat/>
    <w:rPr>
      <w:rFonts w:ascii="XO Thames" w:hAnsi="XO Thames"/>
      <w:b/>
      <w:color w:val="000000"/>
      <w:spacing w:val="0"/>
      <w:sz w:val="28"/>
    </w:rPr>
  </w:style>
  <w:style w:type="character" w:styleId="Heading1">
    <w:name w:val="Heading 1"/>
    <w:qFormat/>
    <w:rPr>
      <w:rFonts w:ascii="XO Thames" w:hAnsi="XO Thames"/>
      <w:b/>
      <w:sz w:val="32"/>
    </w:rPr>
  </w:style>
  <w:style w:type="character" w:styleId="Heading4">
    <w:name w:val="Heading 4"/>
    <w:qFormat/>
    <w:rPr>
      <w:rFonts w:ascii="XO Thames" w:hAnsi="XO Thames"/>
      <w:b/>
      <w:color w:val="000000"/>
      <w:spacing w:val="0"/>
      <w:sz w:val="24"/>
    </w:rPr>
  </w:style>
  <w:style w:type="character" w:styleId="Style12">
    <w:name w:val="Hyperlink"/>
    <w:rPr>
      <w:color w:val="0000FF"/>
      <w:u w:val="single"/>
    </w:rPr>
  </w:style>
  <w:style w:type="character" w:styleId="Footnote">
    <w:name w:val="Footnote"/>
    <w:link w:val="Footnote1"/>
    <w:qFormat/>
    <w:rPr>
      <w:rFonts w:ascii="XO Thames" w:hAnsi="XO Thames"/>
      <w:color w:val="000000"/>
      <w:spacing w:val="0"/>
      <w:sz w:val="22"/>
    </w:rPr>
  </w:style>
  <w:style w:type="character" w:styleId="DefaultParagraphFont">
    <w:name w:val="Default Paragraph Font"/>
    <w:link w:val="DefaultParagraphFont1"/>
    <w:qFormat/>
    <w:rPr>
      <w:rFonts w:ascii="Calibri" w:hAnsi="Calibri" w:asciiTheme="minorAscii" w:hAnsiTheme="minorHAnsi"/>
      <w:color w:val="000000"/>
      <w:spacing w:val="0"/>
      <w:sz w:val="22"/>
    </w:rPr>
  </w:style>
  <w:style w:type="character" w:styleId="HeaderandFooter">
    <w:name w:val="Header and Footer"/>
    <w:qFormat/>
    <w:rPr>
      <w:rFonts w:ascii="XO Thames" w:hAnsi="XO Thames"/>
      <w:sz w:val="20"/>
    </w:rPr>
  </w:style>
  <w:style w:type="character" w:styleId="21">
    <w:name w:val="Гиперссылка2"/>
    <w:link w:val="23"/>
    <w:qFormat/>
    <w:rPr>
      <w:rFonts w:ascii="Calibri" w:hAnsi="Calibri"/>
      <w:color w:val="0000FF"/>
      <w:spacing w:val="0"/>
      <w:sz w:val="22"/>
      <w:u w:val="single"/>
    </w:rPr>
  </w:style>
  <w:style w:type="character" w:styleId="Contents5">
    <w:name w:val="Contents 5"/>
    <w:link w:val="Contents51"/>
    <w:qFormat/>
    <w:rPr>
      <w:rFonts w:ascii="XO Thames" w:hAnsi="XO Thames"/>
      <w:color w:val="000000"/>
      <w:spacing w:val="0"/>
      <w:sz w:val="28"/>
    </w:rPr>
  </w:style>
  <w:style w:type="character" w:styleId="Textbody">
    <w:name w:val="Text body"/>
    <w:link w:val="Textbody1"/>
    <w:qFormat/>
    <w:rPr/>
  </w:style>
  <w:style w:type="character" w:styleId="Style13">
    <w:name w:val="Содержимое врезки"/>
    <w:link w:val="Style23"/>
    <w:qFormat/>
    <w:rPr/>
  </w:style>
  <w:style w:type="character" w:styleId="Title">
    <w:name w:val="Title"/>
    <w:qFormat/>
    <w:rPr>
      <w:rFonts w:ascii="XO Thames" w:hAnsi="XO Thames"/>
      <w:b/>
      <w:caps/>
      <w:color w:val="000000"/>
      <w:spacing w:val="0"/>
      <w:sz w:val="40"/>
    </w:rPr>
  </w:style>
  <w:style w:type="character" w:styleId="Heading2">
    <w:name w:val="Heading 2"/>
    <w:qFormat/>
    <w:rPr>
      <w:rFonts w:ascii="XO Thames" w:hAnsi="XO Thames"/>
      <w:b/>
      <w:color w:val="000000"/>
      <w:spacing w:val="0"/>
      <w:sz w:val="28"/>
    </w:rPr>
  </w:style>
  <w:style w:type="character" w:styleId="PlainText">
    <w:name w:val="Plain Text"/>
    <w:link w:val="PlainText1"/>
    <w:qFormat/>
    <w:rPr>
      <w:rFonts w:ascii="Calibri" w:hAnsi="Calibri"/>
    </w:rPr>
  </w:style>
  <w:style w:type="paragraph" w:styleId="Style14">
    <w:name w:val="Заголовок"/>
    <w:basedOn w:val="Normal"/>
    <w:next w:val="Style15"/>
    <w:link w:val="Style11"/>
    <w:qFormat/>
    <w:pPr>
      <w:keepNext w:val="true"/>
      <w:spacing w:before="240" w:after="120"/>
    </w:pPr>
    <w:rPr>
      <w:rFonts w:ascii="Open Sans" w:hAnsi="Open Sans"/>
      <w:sz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Textbody1"/>
    <w:pPr/>
    <w:rPr/>
  </w:style>
  <w:style w:type="paragraph" w:styleId="Style17">
    <w:name w:val="Caption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alibri" w:hAnsi="Calibri" w:eastAsia="Tahoma" w:cs="Lohit Devanagari" w:asciiTheme="minorAscii" w:hAnsiTheme="minorHAnsi"/>
      <w:i/>
      <w:color w:val="000000"/>
      <w:spacing w:val="0"/>
      <w:kern w:val="0"/>
      <w:sz w:val="24"/>
      <w:szCs w:val="20"/>
      <w:lang w:val="ru-RU" w:eastAsia="zh-CN" w:bidi="hi-IN"/>
    </w:rPr>
  </w:style>
  <w:style w:type="paragraph" w:styleId="Style18">
    <w:name w:val="Указатель"/>
    <w:basedOn w:val="Normal"/>
    <w:link w:val="Style10"/>
    <w:qFormat/>
    <w:pPr/>
    <w:rPr/>
  </w:style>
  <w:style w:type="paragraph" w:styleId="Style19">
    <w:name w:val="Колонтитул"/>
    <w:link w:val="Style9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20">
    <w:name w:val="Header"/>
    <w:basedOn w:val="Normal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22">
    <w:name w:val="TOC 2"/>
    <w:next w:val="Normal"/>
    <w:uiPriority w:val="39"/>
    <w:pPr>
      <w:widowControl/>
      <w:bidi w:val="0"/>
      <w:spacing w:lineRule="auto" w:line="264" w:before="0" w:after="160"/>
      <w:ind w:left="2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Contents81">
    <w:name w:val="Contents 8"/>
    <w:link w:val="Contents8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Contents71">
    <w:name w:val="Contents 7"/>
    <w:link w:val="Contents7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41">
    <w:name w:val="TOC 4"/>
    <w:next w:val="Normal"/>
    <w:uiPriority w:val="39"/>
    <w:pPr>
      <w:widowControl/>
      <w:bidi w:val="0"/>
      <w:spacing w:lineRule="auto" w:line="264" w:before="0" w:after="160"/>
      <w:ind w:left="6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6">
    <w:name w:val="TOC 6"/>
    <w:next w:val="Normal"/>
    <w:uiPriority w:val="39"/>
    <w:pPr>
      <w:widowControl/>
      <w:bidi w:val="0"/>
      <w:spacing w:lineRule="auto" w:line="264" w:before="0" w:after="160"/>
      <w:ind w:left="10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7">
    <w:name w:val="TOC 7"/>
    <w:next w:val="Normal"/>
    <w:uiPriority w:val="39"/>
    <w:pPr>
      <w:widowControl/>
      <w:bidi w:val="0"/>
      <w:spacing w:lineRule="auto" w:line="264" w:before="0" w:after="160"/>
      <w:ind w:left="12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Internetlink1">
    <w:name w:val="Internet link"/>
    <w:link w:val="Internetlink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alibri" w:hAnsi="Calibri" w:eastAsia="Tahoma" w:cs="Lohit Devanagari"/>
      <w:color w:val="0000FF"/>
      <w:spacing w:val="0"/>
      <w:kern w:val="0"/>
      <w:sz w:val="22"/>
      <w:szCs w:val="20"/>
      <w:u w:val="single"/>
      <w:lang w:val="ru-RU" w:eastAsia="zh-CN" w:bidi="hi-IN"/>
    </w:rPr>
  </w:style>
  <w:style w:type="paragraph" w:styleId="BalloonText1">
    <w:name w:val="Balloon Text"/>
    <w:basedOn w:val="Normal"/>
    <w:link w:val="BalloonText"/>
    <w:qFormat/>
    <w:pPr>
      <w:spacing w:lineRule="auto" w:line="240" w:before="0" w:after="0"/>
    </w:pPr>
    <w:rPr>
      <w:rFonts w:ascii="Segoe UI" w:hAnsi="Segoe UI"/>
      <w:sz w:val="18"/>
    </w:rPr>
  </w:style>
  <w:style w:type="paragraph" w:styleId="Contents21">
    <w:name w:val="Contents 2"/>
    <w:link w:val="Contents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14">
    <w:name w:val="Основной шрифт абзаца1"/>
    <w:link w:val="11"/>
    <w:qFormat/>
    <w:pPr>
      <w:widowControl/>
      <w:bidi w:val="0"/>
      <w:spacing w:lineRule="auto" w:line="264" w:before="0" w:after="160"/>
      <w:ind w:left="0" w:right="0" w:hanging="0"/>
      <w:jc w:val="left"/>
    </w:pPr>
    <w:rPr>
      <w:rFonts w:ascii="Calibri" w:hAnsi="Calibri" w:asciiTheme="minorAscii" w:hAnsiTheme="minorHAnsi" w:eastAsia="Tahoma" w:cs="Lohit Devanagari"/>
      <w:color w:val="000000"/>
      <w:spacing w:val="0"/>
      <w:kern w:val="0"/>
      <w:sz w:val="22"/>
      <w:szCs w:val="20"/>
      <w:lang w:val="ru-RU" w:eastAsia="zh-CN" w:bidi="hi-IN"/>
    </w:rPr>
  </w:style>
  <w:style w:type="paragraph" w:styleId="31">
    <w:name w:val="TOC 3"/>
    <w:next w:val="Normal"/>
    <w:uiPriority w:val="39"/>
    <w:pPr>
      <w:widowControl/>
      <w:bidi w:val="0"/>
      <w:spacing w:lineRule="auto" w:line="264" w:before="0" w:after="160"/>
      <w:ind w:left="4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Style21">
    <w:name w:val="Subtitle"/>
    <w:next w:val="Normal"/>
    <w:uiPriority w:val="1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i/>
      <w:color w:val="000000"/>
      <w:spacing w:val="0"/>
      <w:kern w:val="0"/>
      <w:sz w:val="24"/>
      <w:szCs w:val="20"/>
      <w:lang w:val="ru-RU" w:eastAsia="zh-CN" w:bidi="hi-IN"/>
    </w:rPr>
  </w:style>
  <w:style w:type="paragraph" w:styleId="15">
    <w:name w:val="Обычный1"/>
    <w:link w:val="12"/>
    <w:qFormat/>
    <w:pPr>
      <w:widowControl/>
      <w:bidi w:val="0"/>
      <w:spacing w:lineRule="auto" w:line="264" w:before="0" w:after="160"/>
      <w:ind w:left="0" w:right="0" w:hanging="0"/>
      <w:jc w:val="left"/>
    </w:pPr>
    <w:rPr>
      <w:rFonts w:ascii="Calibri" w:hAnsi="Calibri" w:asciiTheme="minorAscii" w:hAnsiTheme="minorHAnsi" w:eastAsia="Tahoma" w:cs="Lohit Devanagari"/>
      <w:color w:val="000000"/>
      <w:spacing w:val="0"/>
      <w:kern w:val="0"/>
      <w:sz w:val="22"/>
      <w:szCs w:val="20"/>
      <w:lang w:val="ru-RU" w:eastAsia="zh-CN" w:bidi="hi-IN"/>
    </w:rPr>
  </w:style>
  <w:style w:type="paragraph" w:styleId="Style22">
    <w:name w:val="Footer"/>
    <w:basedOn w:val="Normal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>
      <w:rFonts w:ascii="Times New Roman" w:hAnsi="Times New Roman"/>
      <w:sz w:val="28"/>
    </w:rPr>
  </w:style>
  <w:style w:type="paragraph" w:styleId="Contents41">
    <w:name w:val="Contents 4"/>
    <w:link w:val="Contents4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Contents91">
    <w:name w:val="Contents 9"/>
    <w:link w:val="Contents9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16">
    <w:name w:val="Гиперссылка1"/>
    <w:basedOn w:val="14"/>
    <w:link w:val="13"/>
    <w:qFormat/>
    <w:pPr/>
    <w:rPr>
      <w:color w:val="0563C1" w:themeColor="hyperlink"/>
      <w:u w:val="single"/>
    </w:rPr>
  </w:style>
  <w:style w:type="paragraph" w:styleId="Contents11">
    <w:name w:val="Contents 1"/>
    <w:link w:val="Contents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Footnote1">
    <w:name w:val="Footnote"/>
    <w:link w:val="Footnote"/>
    <w:qFormat/>
    <w:pPr>
      <w:widowControl/>
      <w:bidi w:val="0"/>
      <w:spacing w:lineRule="auto" w:line="264" w:before="0" w:after="160"/>
      <w:ind w:left="0" w:right="0" w:firstLine="851"/>
      <w:jc w:val="both"/>
    </w:pPr>
    <w:rPr>
      <w:rFonts w:ascii="XO Thames" w:hAnsi="XO Thames" w:eastAsia="Tahoma" w:cs="Lohit Devanagari"/>
      <w:color w:val="000000"/>
      <w:spacing w:val="0"/>
      <w:kern w:val="0"/>
      <w:sz w:val="22"/>
      <w:szCs w:val="20"/>
      <w:lang w:val="ru-RU" w:eastAsia="zh-CN" w:bidi="hi-IN"/>
    </w:rPr>
  </w:style>
  <w:style w:type="paragraph" w:styleId="17">
    <w:name w:val="TOC 1"/>
    <w:next w:val="Normal"/>
    <w:uiPriority w:val="39"/>
    <w:pPr>
      <w:widowControl/>
      <w:bidi w:val="0"/>
      <w:spacing w:lineRule="auto" w:line="264" w:before="0" w:after="160"/>
      <w:ind w:left="0" w:right="0" w:hanging="0"/>
      <w:jc w:val="left"/>
    </w:pPr>
    <w:rPr>
      <w:rFonts w:ascii="XO Thames" w:hAnsi="XO Thames" w:eastAsia="Tahoma" w:cs="Lohit Devanagari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DefaultParagraphFont1">
    <w:name w:val="Default Paragraph Font"/>
    <w:link w:val="DefaultParagraphFont"/>
    <w:qFormat/>
    <w:pPr>
      <w:widowControl/>
      <w:bidi w:val="0"/>
      <w:spacing w:lineRule="auto" w:line="264" w:before="0" w:after="160"/>
      <w:ind w:left="0" w:right="0" w:hanging="0"/>
      <w:jc w:val="left"/>
    </w:pPr>
    <w:rPr>
      <w:rFonts w:ascii="Calibri" w:hAnsi="Calibri" w:asciiTheme="minorAscii" w:hAnsiTheme="minorHAnsi" w:eastAsia="Tahoma" w:cs="Lohit Devanagari"/>
      <w:color w:val="000000"/>
      <w:spacing w:val="0"/>
      <w:kern w:val="0"/>
      <w:sz w:val="22"/>
      <w:szCs w:val="20"/>
      <w:lang w:val="ru-RU" w:eastAsia="zh-CN" w:bidi="hi-IN"/>
    </w:rPr>
  </w:style>
  <w:style w:type="paragraph" w:styleId="9">
    <w:name w:val="TOC 9"/>
    <w:next w:val="Normal"/>
    <w:uiPriority w:val="39"/>
    <w:pPr>
      <w:widowControl/>
      <w:bidi w:val="0"/>
      <w:spacing w:lineRule="auto" w:line="264" w:before="0" w:after="160"/>
      <w:ind w:left="16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8">
    <w:name w:val="TOC 8"/>
    <w:next w:val="Normal"/>
    <w:uiPriority w:val="39"/>
    <w:pPr>
      <w:widowControl/>
      <w:bidi w:val="0"/>
      <w:spacing w:lineRule="auto" w:line="264" w:before="0" w:after="160"/>
      <w:ind w:left="14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Contents31">
    <w:name w:val="Contents 3"/>
    <w:link w:val="Contents3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23">
    <w:name w:val="Гиперссылка2"/>
    <w:link w:val="21"/>
    <w:qFormat/>
    <w:pPr>
      <w:widowControl/>
      <w:bidi w:val="0"/>
      <w:spacing w:lineRule="auto" w:line="264" w:before="0" w:after="160"/>
      <w:ind w:left="0" w:right="0" w:hanging="0"/>
      <w:jc w:val="left"/>
    </w:pPr>
    <w:rPr>
      <w:rFonts w:ascii="Calibri" w:hAnsi="Calibri" w:eastAsia="Tahoma" w:cs="Lohit Devanagari"/>
      <w:color w:val="0000FF"/>
      <w:spacing w:val="0"/>
      <w:kern w:val="0"/>
      <w:sz w:val="22"/>
      <w:szCs w:val="20"/>
      <w:u w:val="single"/>
      <w:lang w:val="ru-RU" w:eastAsia="zh-CN" w:bidi="hi-IN"/>
    </w:rPr>
  </w:style>
  <w:style w:type="paragraph" w:styleId="Contents51">
    <w:name w:val="Contents 5"/>
    <w:link w:val="Contents5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51">
    <w:name w:val="TOC 5"/>
    <w:next w:val="Normal"/>
    <w:uiPriority w:val="39"/>
    <w:pPr>
      <w:widowControl/>
      <w:bidi w:val="0"/>
      <w:spacing w:lineRule="auto" w:line="264" w:before="0" w:after="160"/>
      <w:ind w:left="8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Contents61">
    <w:name w:val="Contents 6"/>
    <w:link w:val="Contents6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Style23">
    <w:name w:val="Содержимое врезки"/>
    <w:basedOn w:val="Normal"/>
    <w:link w:val="Style13"/>
    <w:qFormat/>
    <w:pPr/>
    <w:rPr/>
  </w:style>
  <w:style w:type="paragraph" w:styleId="Style24">
    <w:name w:val="Title"/>
    <w:next w:val="Normal"/>
    <w:uiPriority w:val="1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b/>
      <w:caps/>
      <w:color w:val="000000"/>
      <w:spacing w:val="0"/>
      <w:kern w:val="0"/>
      <w:sz w:val="40"/>
      <w:szCs w:val="20"/>
      <w:lang w:val="ru-RU" w:eastAsia="zh-CN" w:bidi="hi-IN"/>
    </w:rPr>
  </w:style>
  <w:style w:type="paragraph" w:styleId="PlainText1">
    <w:name w:val="Plain Text"/>
    <w:basedOn w:val="Normal"/>
    <w:link w:val="PlainText"/>
    <w:qFormat/>
    <w:pPr>
      <w:spacing w:lineRule="auto" w:line="240" w:before="0" w:after="0"/>
    </w:pPr>
    <w:rPr>
      <w:rFonts w:ascii="Calibri" w:hAnsi="Calibri"/>
    </w:rPr>
  </w:style>
  <w:style w:type="paragraph" w:styleId="Textbody1">
    <w:name w:val="Text body"/>
    <w:link w:val="Textbody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alibri" w:hAnsi="Calibri" w:eastAsia="Tahoma" w:cs="Lohit Devanagari" w:asciiTheme="minorAscii" w:hAnsiTheme="minorHAnsi"/>
      <w:color w:val="000000"/>
      <w:spacing w:val="0"/>
      <w:kern w:val="0"/>
      <w:sz w:val="22"/>
      <w:szCs w:val="20"/>
      <w:lang w:val="ru-RU" w:eastAsia="zh-CN" w:bidi="hi-IN"/>
    </w:rPr>
  </w:style>
  <w:style w:type="table" w:default="1" w:styleId="Style_2">
    <w:name w:val="Normal Table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Style_61">
    <w:name w:val="Сетка таблицы2"/>
    <w:basedOn w:val="Style_2"/>
    <w:pPr>
      <w:spacing w:after="0" w:line="240" w:lineRule="auto"/>
    </w:pPr>
    <w:rPr>
      <w:sz w:val="20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</w:tblPr>
  </w:style>
  <w:style w:type="table" w:styleId="Style_62">
    <w:name w:val="Сетка таблицы1"/>
    <w:basedOn w:val="Style_2"/>
    <w:pPr>
      <w:spacing w:after="0" w:line="240" w:lineRule="auto"/>
    </w:pPr>
    <w:rPr>
      <w:sz w:val="20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</w:tblPr>
  </w:style>
  <w:style w:type="table" w:styleId="Style_3">
    <w:name w:val="Table Grid"/>
    <w:basedOn w:val="Style_2"/>
    <w:pPr>
      <w:spacing w:after="0" w:line="240" w:lineRule="auto"/>
    </w:p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header" Target="head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Application>LibreOffice/7.4.4.2$Linux_X86_64 LibreOffice_project/40$Build-2</Application>
  <AppVersion>15.0000</AppVersion>
  <Pages>10</Pages>
  <Words>1919</Words>
  <Characters>14074</Characters>
  <CharactersWithSpaces>15692</CharactersWithSpaces>
  <Paragraphs>359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2024-02-21T15:24:12Z</dcterms:modified>
  <cp:revision>2</cp:revision>
  <dc:subject/>
  <dc:title/>
</cp:coreProperties>
</file>