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1"/>
        <w:ind w:hanging="0" w:left="637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Порядку проведения процедуры оценки регулирующего воздействия проектов нормативных правовых Камчатского края</w:t>
      </w:r>
    </w:p>
    <w:p>
      <w:pPr>
        <w:pStyle w:val="ConsPlusNormal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Сводный отчет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процедуры оценки регулирующего воздействия проекта нормативного правового акта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3"/>
        <w:tblW w:w="9940" w:type="dxa"/>
        <w:jc w:val="left"/>
        <w:tblInd w:w="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205"/>
        <w:gridCol w:w="810"/>
        <w:gridCol w:w="744"/>
        <w:gridCol w:w="5251"/>
      </w:tblGrid>
      <w:tr>
        <w:trPr>
          <w:trHeight w:val="158" w:hRule="atLeast"/>
        </w:trPr>
        <w:tc>
          <w:tcPr>
            <w:tcW w:w="3135" w:type="dxa"/>
            <w:gridSpan w:val="2"/>
            <w:vMerge w:val="restart"/>
            <w:tcBorders/>
            <w:shd w:fill="auto" w:val="clear"/>
            <w:vAlign w:val="center"/>
          </w:tcPr>
          <w:tbl>
            <w:tblPr>
              <w:tblStyle w:val="Style_3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4"/>
              <w:gridCol w:w="2644"/>
            </w:tblGrid>
            <w:tr>
              <w:trPr/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ind w:hanging="0" w:left="0" w:right="0"/>
                    <w:jc w:val="left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0"/>
                      <w:kern w:val="0"/>
                      <w:sz w:val="28"/>
                      <w:szCs w:val="20"/>
                    </w:rPr>
                    <w:t>№</w:t>
                  </w:r>
                </w:p>
              </w:tc>
              <w:tc>
                <w:tcPr>
                  <w:tcW w:w="2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ind w:hanging="0" w:left="0" w:right="0"/>
                    <w:jc w:val="left"/>
                    <w:rPr>
                      <w:rFonts w:ascii="Times New Roman" w:hAnsi="Times New Roman"/>
                      <w:b/>
                      <w:sz w:val="28"/>
                      <w:shd w:fill="FFD821" w:val="clear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hd w:fill="FFD821" w:val="clear"/>
                    </w:rPr>
                  </w:r>
                </w:p>
              </w:tc>
            </w:tr>
            <w:tr>
              <w:trPr/>
              <w:tc>
                <w:tcPr>
                  <w:tcW w:w="2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ind w:hanging="0" w:left="0" w:right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0"/>
                      <w:kern w:val="0"/>
                      <w:sz w:val="28"/>
                      <w:szCs w:val="20"/>
                    </w:rPr>
                    <w:t>(присваивается системой автоматически)</w:t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6805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Сроки проведения публичных консультаций по проекту нормативного правового акта Камчатского края:</w:t>
            </w:r>
          </w:p>
        </w:tc>
      </w:tr>
      <w:tr>
        <w:trPr>
          <w:trHeight w:val="158" w:hRule="atLeast"/>
        </w:trPr>
        <w:tc>
          <w:tcPr>
            <w:tcW w:w="3135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155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начало:</w:t>
            </w:r>
          </w:p>
        </w:tc>
        <w:tc>
          <w:tcPr>
            <w:tcW w:w="5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09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.12.2024</w:t>
            </w:r>
          </w:p>
        </w:tc>
      </w:tr>
      <w:tr>
        <w:trPr>
          <w:trHeight w:val="157" w:hRule="atLeast"/>
        </w:trPr>
        <w:tc>
          <w:tcPr>
            <w:tcW w:w="3135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155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окончание:</w:t>
            </w:r>
          </w:p>
        </w:tc>
        <w:tc>
          <w:tcPr>
            <w:tcW w:w="5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17.12.2024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1.1.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Исполнительный орган Камчатского края (далее – регулирующий орган):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торговли, лицензирования и контроля алкогольной продукции Министерства экономического развития Камчатского края</w:t>
            </w:r>
          </w:p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(указываются полное и краткое наименования)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1.2.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Сведения об иных исполнительных органах Камчатского края – соисполнителях: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отсутствует</w:t>
            </w:r>
          </w:p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(указываются полное и краткое наименования)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1.3.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Вид и наименование проекта нормативного правового акта Камчатского края: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Проект Закона Камчатского края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«О внесении изменений в Закона Камчатского края  «Об отдельных вопросах в области производства и оборота этилового спирта, алкогольной и спиртосодержащей продукции в Камчатском крае»</w:t>
            </w:r>
          </w:p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1.4.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Степень регулирующего воздействия: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низкая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(высокая/средняя/низкая)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Обоснование отнесения проекта нормативного правового акта Камчатского края к определенной степени регулирующего воздействия: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BodyText"/>
              <w:spacing w:lineRule="auto" w:line="240" w:before="0" w:after="0"/>
              <w:ind w:firstLine="709" w:left="0" w:right="0"/>
              <w:jc w:val="both"/>
              <w:rPr>
                <w:b w:val="false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 xml:space="preserve">Проект нормативного правового акта Камчатского края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был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 xml:space="preserve"> доработан  в рамках согласования проекта 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0"/>
                <w:u w:val="none"/>
                <w:effect w:val="none"/>
                <w:shd w:fill="auto" w:val="clear"/>
              </w:rPr>
              <w:t>Порядком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 xml:space="preserve"> подготовки проектов правовых актов губернатора Камчатского края, Правительства Камчатского края и иных исполнительных органов Камчатского края, утвержденным Постановлением губернатора Камчатского края от 13.04.2022 № 42, устанавливает ранее не проходившие публичные консультации обязанности для субъектов предпринимательской деятельности.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П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u w:val="single"/>
                <w:shd w:fill="auto" w:val="clear"/>
              </w:rPr>
              <w:t>овторн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u w:val="single"/>
                <w:shd w:fill="auto" w:val="clear"/>
              </w:rPr>
              <w:t>ые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u w:val="single"/>
                <w:shd w:fill="auto" w:val="clear"/>
              </w:rPr>
              <w:t xml:space="preserve"> публичн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u w:val="single"/>
                <w:shd w:fill="auto" w:val="clear"/>
              </w:rPr>
              <w:t>ые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u w:val="single"/>
                <w:shd w:fill="auto" w:val="clear"/>
              </w:rPr>
              <w:t xml:space="preserve"> обсуждени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u w:val="single"/>
                <w:shd w:fill="auto" w:val="clear"/>
              </w:rPr>
              <w:t>я должны быть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 xml:space="preserve"> в течение не менее 5 рабочих дней.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/>
        <w:tc>
          <w:tcPr>
            <w:tcW w:w="930" w:type="dxa"/>
            <w:vMerge w:val="restart"/>
            <w:tcBorders/>
            <w:shd w:themeFill="background1" w:val="clear"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1.5.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Контактная информация исполнителя регулирующего органа:</w:t>
            </w:r>
          </w:p>
        </w:tc>
      </w:tr>
      <w:tr>
        <w:trPr/>
        <w:tc>
          <w:tcPr>
            <w:tcW w:w="930" w:type="dxa"/>
            <w:vMerge w:val="continue"/>
            <w:tcBorders/>
            <w:shd w:themeFill="background1" w:val="clear"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3015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Ф.И.О.:</w:t>
            </w:r>
          </w:p>
        </w:tc>
        <w:tc>
          <w:tcPr>
            <w:tcW w:w="59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Кудря Анна Сергеевна</w:t>
            </w:r>
          </w:p>
        </w:tc>
      </w:tr>
      <w:tr>
        <w:trPr/>
        <w:tc>
          <w:tcPr>
            <w:tcW w:w="930" w:type="dxa"/>
            <w:vMerge w:val="continue"/>
            <w:tcBorders/>
            <w:shd w:themeFill="background1" w:val="clear"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3015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Должность:</w:t>
            </w:r>
          </w:p>
        </w:tc>
        <w:tc>
          <w:tcPr>
            <w:tcW w:w="59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Заместитель начальника отдела</w:t>
            </w:r>
          </w:p>
        </w:tc>
      </w:tr>
      <w:tr>
        <w:trPr>
          <w:trHeight w:val="249" w:hRule="atLeast"/>
        </w:trPr>
        <w:tc>
          <w:tcPr>
            <w:tcW w:w="930" w:type="dxa"/>
            <w:vMerge w:val="continue"/>
            <w:tcBorders/>
            <w:shd w:themeFill="background1" w:val="clear"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301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Телефон:</w:t>
            </w:r>
          </w:p>
        </w:tc>
        <w:tc>
          <w:tcPr>
            <w:tcW w:w="59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+7 (4152) 42-56-80 (доб. 1532)</w:t>
            </w:r>
          </w:p>
        </w:tc>
      </w:tr>
      <w:tr>
        <w:trPr>
          <w:trHeight w:val="249" w:hRule="atLeast"/>
        </w:trPr>
        <w:tc>
          <w:tcPr>
            <w:tcW w:w="930" w:type="dxa"/>
            <w:vMerge w:val="continue"/>
            <w:tcBorders/>
            <w:shd w:themeFill="background1" w:val="clear"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301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Адрес электронной почты:</w:t>
            </w:r>
          </w:p>
        </w:tc>
        <w:tc>
          <w:tcPr>
            <w:tcW w:w="59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ind w:hanging="120" w:left="120"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lang w:val="en-US"/>
              </w:rPr>
              <w:t>KudryaAS</w:t>
            </w:r>
            <w:hyperlink r:id="rId2">
              <w:r>
                <w:rPr>
                  <w:rStyle w:val="ListLabel1"/>
                  <w:rFonts w:ascii="Times New Roman" w:hAnsi="Times New Roman"/>
                  <w:color w:val="000000"/>
                  <w:spacing w:val="0"/>
                  <w:kern w:val="0"/>
                  <w:sz w:val="28"/>
                  <w:szCs w:val="20"/>
                </w:rPr>
                <w:t>@kamgov.ru</w:t>
              </w:r>
            </w:hyperlink>
          </w:p>
        </w:tc>
      </w:tr>
      <w:tr>
        <w:trPr/>
        <w:tc>
          <w:tcPr>
            <w:tcW w:w="930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Описание проблемы, на решение которой направлен предлагаемый способ регулирования:</w:t>
            </w:r>
          </w:p>
        </w:tc>
      </w:tr>
      <w:tr>
        <w:trPr/>
        <w:tc>
          <w:tcPr>
            <w:tcW w:w="930" w:type="dxa"/>
            <w:vMerge w:val="restart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2.1.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Формулировка проблемы: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Strong"/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" w:leader="none"/>
              </w:tabs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Style w:val="Strong"/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Отсутствие требований к размещению и обустройству сезонных залов (зон) обслуживания посетителей</w:t>
            </w:r>
          </w:p>
        </w:tc>
      </w:tr>
      <w:tr>
        <w:trPr/>
        <w:tc>
          <w:tcPr>
            <w:tcW w:w="930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2.2.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Законопроект разработан для приведения закона Камчатского края в соответствии с федеральным законодательством</w:t>
            </w:r>
          </w:p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2.3.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kern w:val="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Характеристика негативных эффектов, возникающих в связи с наличием проблемы, их количественная оценка: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kern w:val="0"/>
                <w:sz w:val="28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 xml:space="preserve">Отсутствие нормативного правового акта, устанавливающего </w:t>
            </w:r>
            <w:r>
              <w:rPr>
                <w:rStyle w:val="Strong"/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требования к размещению и обустройству сезонных залов (зон) обслуживания посетителей не позволяет в настоящее время осуществлять розничную продажу алкогольной продукции при оказании услуг общественного питания в сезонных залах (зонах) обслуживания посетителей без соответствующей лицензии.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shd w:fill="auto" w:val="clear"/>
              </w:rPr>
              <w:t>(место для текстового описания)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2.4.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Факторы, поддерживающие существование проблемы: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kern w:val="0"/>
                <w:sz w:val="28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shd w:fill="auto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 xml:space="preserve">Отсутствие требований </w:t>
            </w:r>
            <w:r>
              <w:rPr>
                <w:rStyle w:val="Strong"/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к размещению и обустройству сезонных залов (зон) обслуживания посетителей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shd w:fill="auto" w:val="clear"/>
              </w:rPr>
              <w:t>(место для текстового описания)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2.5.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розничная продажа алкогольной продукции регулируется государством в соответствии с 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об ограничении потребления (распития) алкогольной продукции» (далее – Федеральный закон № 171)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2.6.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Опыт решения аналогичных проблем в других субъектах Российской Федерации, иностранных государствах: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Владимирская, Кировская, Саратовская области и другие.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2.7.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Источники данных: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официальные сайты исполнительных органов субъектов Российской Федерации, п</w:t>
            </w:r>
            <w:r>
              <w:rPr>
                <w:rFonts w:cs="PT Astra Serif" w:ascii="PT Astra Serif" w:hAnsi="PT Astra Serif"/>
                <w:color w:val="000000"/>
                <w:spacing w:val="0"/>
                <w:kern w:val="0"/>
                <w:sz w:val="28"/>
                <w:szCs w:val="20"/>
              </w:rPr>
              <w:t>равовой информационный ресурс «Консультант Плюс».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/>
        <w:tc>
          <w:tcPr>
            <w:tcW w:w="930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2.8.</w:t>
            </w:r>
          </w:p>
        </w:tc>
        <w:tc>
          <w:tcPr>
            <w:tcW w:w="9010" w:type="dxa"/>
            <w:gridSpan w:val="4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Иная информация о проблеме: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/>
        <w:tc>
          <w:tcPr>
            <w:tcW w:w="930" w:type="dxa"/>
            <w:tcBorders>
              <w:bottom w:val="nil"/>
            </w:tcBorders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</w:t>
            </w:r>
          </w:p>
        </w:tc>
        <w:tc>
          <w:tcPr>
            <w:tcW w:w="9010" w:type="dxa"/>
            <w:gridSpan w:val="4"/>
            <w:tcBorders>
              <w:bottom w:val="nil"/>
            </w:tcBorders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Определение целей предлагаемого правового регулирования и индикаторов для оценки их достижения:</w:t>
            </w:r>
          </w:p>
        </w:tc>
      </w:tr>
    </w:tbl>
    <w:tbl>
      <w:tblPr>
        <w:tblStyle w:val="Style_6"/>
        <w:tblW w:w="10090" w:type="dxa"/>
        <w:jc w:val="left"/>
        <w:tblInd w:w="-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0"/>
        <w:gridCol w:w="2205"/>
        <w:gridCol w:w="2220"/>
        <w:gridCol w:w="3235"/>
      </w:tblGrid>
      <w:tr>
        <w:trPr/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3.4. Индикаторы достижения целей предлагаемого правового регулирования, целевые значения индикаторов по годам</w:t>
            </w:r>
          </w:p>
        </w:tc>
      </w:tr>
      <w:tr>
        <w:trPr>
          <w:trHeight w:val="593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64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1) Оказание поддержки и формирование равных условий для развития конкуренции добросовестным хозяйствующим субъектам при осуществлении деятельности по оказанию услуг общественного питания</w:t>
            </w:r>
          </w:p>
          <w:p>
            <w:pPr>
              <w:pStyle w:val="Normal"/>
              <w:widowControl/>
              <w:suppressAutoHyphens w:val="true"/>
              <w:spacing w:lineRule="auto" w:line="264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64" w:before="0" w:after="16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 момента вступления законопроекта в законную силу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64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постоянно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количество сезонных залов (зон) обслуживания посетителей, ед.</w:t>
            </w:r>
          </w:p>
        </w:tc>
      </w:tr>
      <w:tr>
        <w:trPr>
          <w:trHeight w:val="593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64" w:before="0" w:after="0"/>
              <w:ind w:hanging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2) </w:t>
            </w:r>
            <w:r>
              <w:rPr>
                <w:rStyle w:val="Strong1"/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Создание условий для обеспечения жителей области качественными услугами общественного питания, торговли и бытового обслуживания посредством установления единых требований к размещению и обустройству сезонных залов (зон) обслуживания посетителей и порядка выдачи документа об их соответствии установленным требованиям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64" w:before="0" w:after="160"/>
              <w:ind w:hanging="0" w:left="0" w:right="0"/>
              <w:jc w:val="left"/>
              <w:rPr>
                <w:sz w:val="22"/>
              </w:rPr>
            </w:pPr>
            <w:r>
              <w:rPr>
                <w:rStyle w:val="Strong1"/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 момента вступления законопроекта в законную силу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64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постоянно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количество сезонных залов (зон) обслуживания посетителей, ед.</w:t>
            </w:r>
          </w:p>
        </w:tc>
      </w:tr>
    </w:tbl>
    <w:tbl>
      <w:tblPr>
        <w:tblStyle w:val="Style_3"/>
        <w:tblW w:w="100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9011"/>
      </w:tblGrid>
      <w:tr>
        <w:trPr/>
        <w:tc>
          <w:tcPr>
            <w:tcW w:w="1002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3.5.</w:t>
            </w:r>
          </w:p>
        </w:tc>
        <w:tc>
          <w:tcPr>
            <w:tcW w:w="9011" w:type="dxa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Нормативные правовые акты, поручения, другие решения, из которых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Федеральный закон от 29.05.2024 № 102-ФЗ «О внесении изменений 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статью 2 Федерального закона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      </w:r>
          </w:p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/>
        <w:tc>
          <w:tcPr>
            <w:tcW w:w="1002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3.6.</w:t>
            </w:r>
          </w:p>
        </w:tc>
        <w:tc>
          <w:tcPr>
            <w:tcW w:w="9011" w:type="dxa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Методы расчета индикаторов достижения целей предлагаемого правового регулирования, источники информации для расчетов:</w:t>
            </w:r>
          </w:p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прямой способ расчета</w:t>
            </w:r>
          </w:p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/>
        <w:tc>
          <w:tcPr>
            <w:tcW w:w="1002" w:type="dxa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3.7.</w:t>
            </w:r>
          </w:p>
        </w:tc>
        <w:tc>
          <w:tcPr>
            <w:tcW w:w="9011" w:type="dxa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Оценка затрат на проведение мониторинга достижения целей предлагаемого правового регулирования: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/>
        <w:tc>
          <w:tcPr>
            <w:tcW w:w="1002" w:type="dxa"/>
            <w:tcBorders>
              <w:bottom w:val="nil"/>
            </w:tcBorders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3.9.</w:t>
            </w:r>
          </w:p>
        </w:tc>
        <w:tc>
          <w:tcPr>
            <w:tcW w:w="9011" w:type="dxa"/>
            <w:tcBorders>
              <w:bottom w:val="nil"/>
            </w:tcBorders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shd w:fill="FFA69B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информирование органов местного самоуправления в Камчатском крае и субъектов предпринимательской деятельности.</w:t>
            </w:r>
          </w:p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/>
        <w:tc>
          <w:tcPr>
            <w:tcW w:w="1002" w:type="dxa"/>
            <w:tcBorders>
              <w:bottom w:val="nil"/>
            </w:tcBorders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4.</w:t>
            </w:r>
          </w:p>
        </w:tc>
        <w:tc>
          <w:tcPr>
            <w:tcW w:w="9011" w:type="dxa"/>
            <w:tcBorders>
              <w:bottom w:val="nil"/>
            </w:tcBorders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</w:tbl>
    <w:tbl>
      <w:tblPr>
        <w:tblStyle w:val="Style_6"/>
        <w:tblW w:w="100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88"/>
        <w:gridCol w:w="2114"/>
        <w:gridCol w:w="2820"/>
      </w:tblGrid>
      <w:tr>
        <w:trPr/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4.2. Количество участников группы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4.3. Источники данных</w:t>
            </w:r>
          </w:p>
        </w:tc>
      </w:tr>
      <w:tr>
        <w:trPr/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PT Astra Serif" w:hAnsi="PT Astra Serif" w:cs="PT Astra Serif"/>
                <w:highlight w:val="none"/>
                <w:shd w:fill="auto" w:val="clear"/>
              </w:rPr>
            </w:pPr>
            <w:r>
              <w:rPr>
                <w:rFonts w:cs="PT Astra Serif" w:ascii="Times New Roman" w:hAnsi="Times New Roman"/>
                <w:color w:val="000000"/>
                <w:spacing w:val="0"/>
                <w:sz w:val="28"/>
                <w:shd w:fill="auto" w:val="clear"/>
              </w:rPr>
              <w:t>Организации, осуществляющие розничную продажу алкогольной продукции при оказании услуг общественного питания, имеющие соответствующую лицензию и сезонные залы (зоны) обслуживания посетителей.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PT Astra Serif" w:hAnsi="PT Astra Serif" w:cs="PT Astra Serif"/>
                <w:highlight w:val="none"/>
                <w:shd w:fill="auto" w:val="clear"/>
                <w:lang w:val="en-US"/>
              </w:rPr>
            </w:pPr>
            <w:r>
              <w:rPr>
                <w:rFonts w:cs="PT Astra Serif" w:ascii="Times New Roman" w:hAnsi="Times New Roman"/>
                <w:color w:val="000000"/>
                <w:spacing w:val="0"/>
                <w:sz w:val="28"/>
                <w:shd w:fill="auto" w:val="clear"/>
                <w:lang w:val="en-US"/>
              </w:rPr>
              <w:t>Оценка не представляется возможной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kern w:val="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Отсутствуют</w:t>
            </w:r>
          </w:p>
        </w:tc>
      </w:tr>
    </w:tbl>
    <w:tbl>
      <w:tblPr>
        <w:tblStyle w:val="Style_3"/>
        <w:tblW w:w="100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9016"/>
      </w:tblGrid>
      <w:tr>
        <w:trPr/>
        <w:tc>
          <w:tcPr>
            <w:tcW w:w="985" w:type="dxa"/>
            <w:tcBorders>
              <w:bottom w:val="nil"/>
            </w:tcBorders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kern w:val="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5.</w:t>
            </w:r>
          </w:p>
        </w:tc>
        <w:tc>
          <w:tcPr>
            <w:tcW w:w="9016" w:type="dxa"/>
            <w:tcBorders>
              <w:bottom w:val="nil"/>
            </w:tcBorders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color w:val="000000"/>
                <w:kern w:val="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Новые (или изменяемые) функции (полномочия, обязанности, права) исполнительного органа Камчатского края, а также порядка их реализации в связи с введением предлагаемого правового регулирования или изменение содержания существующих функций (полномочий, обязанностей, прав) исполнительного органа Камчатского края, а также порядка их реализации в связи с введением предлагаемого правового регулирования:</w:t>
            </w:r>
          </w:p>
        </w:tc>
      </w:tr>
    </w:tbl>
    <w:tbl>
      <w:tblPr>
        <w:tblStyle w:val="Style_6"/>
        <w:tblW w:w="100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4"/>
        <w:gridCol w:w="1826"/>
        <w:gridCol w:w="2767"/>
        <w:gridCol w:w="2973"/>
      </w:tblGrid>
      <w:tr>
        <w:trPr/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5.3.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5.4. Оценка изменения потребностей в других ресурсах</w:t>
            </w:r>
          </w:p>
        </w:tc>
      </w:tr>
      <w:tr>
        <w:trPr>
          <w:trHeight w:val="323" w:hRule="atLeast"/>
        </w:trPr>
        <w:tc>
          <w:tcPr>
            <w:tcW w:w="10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 исполнительного органа Камчатского края:</w:t>
            </w:r>
          </w:p>
        </w:tc>
      </w:tr>
      <w:tr>
        <w:trPr>
          <w:trHeight w:val="322" w:hRule="atLeast"/>
        </w:trPr>
        <w:tc>
          <w:tcPr>
            <w:tcW w:w="100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Министерство экономического развития Камчатского края</w:t>
            </w:r>
          </w:p>
        </w:tc>
      </w:tr>
      <w:tr>
        <w:trPr>
          <w:trHeight w:val="1277" w:hRule="atLeast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</w:tr>
    </w:tbl>
    <w:tbl>
      <w:tblPr>
        <w:tblStyle w:val="Style_3"/>
        <w:tblW w:w="100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161"/>
      </w:tblGrid>
      <w:tr>
        <w:trPr/>
        <w:tc>
          <w:tcPr>
            <w:tcW w:w="840" w:type="dxa"/>
            <w:tcBorders>
              <w:bottom w:val="nil"/>
            </w:tcBorders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6.</w:t>
            </w:r>
          </w:p>
        </w:tc>
        <w:tc>
          <w:tcPr>
            <w:tcW w:w="9161" w:type="dxa"/>
            <w:tcBorders>
              <w:bottom w:val="nil"/>
            </w:tcBorders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Оценка дополнительных расходов (доходов) бюджета Камчатского края, связанных с введением предлагаемого правового регулирования:</w:t>
            </w:r>
          </w:p>
        </w:tc>
      </w:tr>
    </w:tbl>
    <w:tbl>
      <w:tblPr>
        <w:tblStyle w:val="Style_6"/>
        <w:tblW w:w="998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6"/>
        <w:gridCol w:w="2172"/>
        <w:gridCol w:w="1289"/>
        <w:gridCol w:w="567"/>
        <w:gridCol w:w="2745"/>
      </w:tblGrid>
      <w:tr>
        <w:trPr/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6.1. Наименование функции (полномочия, обязанности или права</w:t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) (в соответствии с пунктом 5.1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)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6.2. Виды расходов (возможных поступлений) бюджета Камчатского края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6.3. Количественная оценка расходов (возможных поступлений) бюджета Камчатского края</w:t>
            </w:r>
          </w:p>
        </w:tc>
      </w:tr>
      <w:tr>
        <w:trPr>
          <w:trHeight w:val="158" w:hRule="atLeast"/>
        </w:trPr>
        <w:tc>
          <w:tcPr>
            <w:tcW w:w="9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 исполнительного органа Камчатского края:</w:t>
            </w:r>
          </w:p>
        </w:tc>
      </w:tr>
      <w:tr>
        <w:trPr>
          <w:trHeight w:val="157" w:hRule="atLeast"/>
        </w:trPr>
        <w:tc>
          <w:tcPr>
            <w:tcW w:w="9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Министерство экономического развития Камчатского края</w:t>
            </w:r>
          </w:p>
        </w:tc>
      </w:tr>
      <w:tr>
        <w:trPr/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Единовременные расходы 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гг.: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</w:tr>
      <w:tr>
        <w:trPr/>
        <w:tc>
          <w:tcPr>
            <w:tcW w:w="3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Периодические за период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гг.: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</w:tr>
      <w:tr>
        <w:trPr/>
        <w:tc>
          <w:tcPr>
            <w:tcW w:w="3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Возможные доходы за период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гг.: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</w:tr>
      <w:tr>
        <w:trPr/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Итого единовременные расходы за период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гг.: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</w:tr>
      <w:tr>
        <w:trPr/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Итого периодические расходы за период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гг.: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</w:tr>
      <w:tr>
        <w:trPr/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Итого возможные доходы за период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гг.: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</w:tr>
    </w:tbl>
    <w:tbl>
      <w:tblPr>
        <w:tblStyle w:val="Style_3"/>
        <w:tblW w:w="100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051"/>
      </w:tblGrid>
      <w:tr>
        <w:trPr>
          <w:trHeight w:val="623" w:hRule="atLeast"/>
        </w:trPr>
        <w:tc>
          <w:tcPr>
            <w:tcW w:w="950" w:type="dxa"/>
            <w:vMerge w:val="restart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6.4.</w:t>
            </w:r>
          </w:p>
        </w:tc>
        <w:tc>
          <w:tcPr>
            <w:tcW w:w="9051" w:type="dxa"/>
            <w:tcBorders>
              <w:bottom w:val="nil"/>
            </w:tcBorders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Другие сведения о дополнительных расходах (доходах) бюджета Камчатского края, возникающих в связи с введением предлагаемого правового регулирования:</w:t>
            </w:r>
          </w:p>
        </w:tc>
      </w:tr>
      <w:tr>
        <w:trPr>
          <w:trHeight w:val="622" w:hRule="atLeast"/>
        </w:trPr>
        <w:tc>
          <w:tcPr>
            <w:tcW w:w="950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9051" w:type="dxa"/>
            <w:tcBorders>
              <w:top w:val="nil"/>
            </w:tcBorders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утверждение Закона не потребует выделения дополнительных средств из краевого бюджета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>
          <w:trHeight w:val="267" w:hRule="atLeast"/>
        </w:trPr>
        <w:tc>
          <w:tcPr>
            <w:tcW w:w="950" w:type="dxa"/>
            <w:vMerge w:val="restart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6.5.</w:t>
            </w:r>
          </w:p>
        </w:tc>
        <w:tc>
          <w:tcPr>
            <w:tcW w:w="9051" w:type="dxa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Источники данных:</w:t>
            </w:r>
          </w:p>
        </w:tc>
      </w:tr>
      <w:tr>
        <w:trPr>
          <w:trHeight w:val="315" w:hRule="atLeast"/>
        </w:trPr>
        <w:tc>
          <w:tcPr>
            <w:tcW w:w="950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9051" w:type="dxa"/>
            <w:tcBorders>
              <w:top w:val="nil"/>
              <w:bottom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>
          <w:trHeight w:val="4696" w:hRule="atLeast"/>
        </w:trPr>
        <w:tc>
          <w:tcPr>
            <w:tcW w:w="950" w:type="dxa"/>
            <w:vMerge w:val="restart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7.</w:t>
            </w:r>
          </w:p>
        </w:tc>
        <w:tc>
          <w:tcPr>
            <w:tcW w:w="9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Новые или изменяющие ранее предусмотренные нормативными правовыми актами Камчатского края обязательные требования, обязанности и запреты для субъектов предпринимательской и иной экономической деятельности, а также устанавливающие или изменяющие ранее установленную ответственность за нарушение нормативных правовых актов края, затрагивающих вопросы осуществления предпринимательской и иной экономической деятельности, а также порядок организации их исполнения: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kern w:val="0"/>
                <w:sz w:val="22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 xml:space="preserve">Внесение изменений в Закон Камчатского края от 04.05.2011 № 598 «Об отдельных вопросах в области производства и оборота этилового спирта, алкогольной и спиртосодержащей продукции в Камчатском крае» </w:t>
              <w:br/>
              <w:t xml:space="preserve">(с изменениями от 14.11.2011 № 682, от 30.05.2014 № 443, от 02.10.2017 </w:t>
              <w:br/>
              <w:t xml:space="preserve">№ 148, от 16.04.2018 № 212, от 22.06.2020 № 475, от 08.06.2021 № 610, </w:t>
              <w:br/>
              <w:t xml:space="preserve">от 20.06.2022 № 107, от 21.12.2023 № 326, от 20.03.2024 № 346, от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  <w:shd w:fill="auto" w:val="clear"/>
              </w:rPr>
              <w:t>14.06.2024 № 383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).</w:t>
            </w:r>
          </w:p>
        </w:tc>
      </w:tr>
      <w:tr>
        <w:trPr>
          <w:trHeight w:val="305" w:hRule="atLeast"/>
        </w:trPr>
        <w:tc>
          <w:tcPr>
            <w:tcW w:w="950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9051" w:type="dxa"/>
            <w:tcBorders>
              <w:top w:val="single" w:sz="6" w:space="0" w:color="000000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</w:tbl>
    <w:tbl>
      <w:tblPr>
        <w:tblStyle w:val="Style_6"/>
        <w:tblW w:w="1000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5"/>
        <w:gridCol w:w="4698"/>
        <w:gridCol w:w="3089"/>
      </w:tblGrid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7.1. Группы потенциальных адресатов предлагаемого правового </w:t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регулирования (в соответствии с п. 4.1 Сводного отчета)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7.2. Новые или изменяющие ранее предусмотренные нормативными правовыми актами Камчатского края обязательные требования, обязанности и запреты для субъектов предпринимательской и иной экономической деятельности, а также устанавливающие или изменяющие ранее установленную ответственность за нарушение нормативных правовых актов Камчатского края, затрагивающих вопросы осуществления предпринимательской и иной экономической деятельности, а также порядок организации их исполнения (с указанием соответствующих положений проекта нормативного правового акта Камчатского края)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7.3. Описание расходов и возможных доходов, связанных с введением предлагаемого правового регулирования, количественная оценка</w:t>
            </w:r>
          </w:p>
        </w:tc>
      </w:tr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Times New Roman" w:hAnsi="Times New Roman"/>
                <w:color w:val="000000"/>
                <w:spacing w:val="0"/>
                <w:sz w:val="28"/>
              </w:rPr>
              <w:t>Организации, осуществляющие розничную продажу алкогольной продукции при оказании услуг общественного питания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Times New Roman" w:hAnsi="Times New Roman"/>
                <w:color w:val="000000"/>
                <w:spacing w:val="0"/>
                <w:sz w:val="28"/>
              </w:rPr>
              <w:t>Соответствие сезонного зала(зоны) обслуживания посетителей требованиям к размещению и обустройству сезонных залов (зон) обслуживания посетителей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64" w:before="0" w:after="0"/>
              <w:ind w:hanging="0" w:left="0" w:right="0"/>
              <w:jc w:val="center"/>
              <w:rPr>
                <w:rFonts w:ascii="Times New Roman" w:hAnsi="Times New Roman" w:cs="PT Astra Serif"/>
                <w:color w:val="000000"/>
                <w:spacing w:val="0"/>
                <w:sz w:val="28"/>
              </w:rPr>
            </w:pPr>
            <w:r>
              <w:rPr>
                <w:rFonts w:cs="PT Astra Serif" w:ascii="Times New Roman" w:hAnsi="Times New Roman"/>
                <w:color w:val="000000"/>
                <w:spacing w:val="0"/>
                <w:sz w:val="28"/>
              </w:rPr>
              <w:t xml:space="preserve">   </w:t>
            </w:r>
            <w:r>
              <w:rPr>
                <w:rFonts w:cs="PT Astra Serif" w:ascii="Times New Roman" w:hAnsi="Times New Roman"/>
                <w:color w:val="000000"/>
                <w:spacing w:val="0"/>
                <w:sz w:val="28"/>
              </w:rPr>
              <w:t>Расходы на обустройство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PT Astra Serif"/>
                <w:color w:val="000000"/>
                <w:spacing w:val="0"/>
                <w:sz w:val="28"/>
              </w:rPr>
            </w:pPr>
            <w:r>
              <w:rPr>
                <w:rFonts w:cs="PT Astra Serif" w:ascii="Times New Roman" w:hAnsi="Times New Roman"/>
                <w:color w:val="000000"/>
                <w:spacing w:val="0"/>
                <w:sz w:val="28"/>
              </w:rPr>
              <w:t>Оценка не представляется возможной</w:t>
            </w:r>
          </w:p>
        </w:tc>
      </w:tr>
    </w:tbl>
    <w:tbl>
      <w:tblPr>
        <w:tblStyle w:val="Style_3"/>
        <w:tblW w:w="100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188"/>
      </w:tblGrid>
      <w:tr>
        <w:trPr>
          <w:trHeight w:val="778" w:hRule="atLeast"/>
        </w:trPr>
        <w:tc>
          <w:tcPr>
            <w:tcW w:w="81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7.4.</w:t>
            </w:r>
          </w:p>
        </w:tc>
        <w:tc>
          <w:tcPr>
            <w:tcW w:w="9188" w:type="dxa"/>
            <w:tcBorders>
              <w:bottom w:val="nil"/>
            </w:tcBorders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Издержки и выгоды адресатов предлагаемого правового регулирования, не поддающиеся количественной оценке: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Отсутствуют</w:t>
            </w:r>
          </w:p>
        </w:tc>
      </w:tr>
      <w:tr>
        <w:trPr>
          <w:trHeight w:val="457" w:hRule="atLeast"/>
        </w:trPr>
        <w:tc>
          <w:tcPr>
            <w:tcW w:w="813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9188" w:type="dxa"/>
            <w:tcBorders>
              <w:top w:val="nil"/>
            </w:tcBorders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>
          <w:trHeight w:val="548" w:hRule="atLeast"/>
        </w:trPr>
        <w:tc>
          <w:tcPr>
            <w:tcW w:w="81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7.5.</w:t>
            </w:r>
          </w:p>
        </w:tc>
        <w:tc>
          <w:tcPr>
            <w:tcW w:w="9188" w:type="dxa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Источники данных:</w:t>
            </w:r>
          </w:p>
        </w:tc>
      </w:tr>
      <w:tr>
        <w:trPr>
          <w:trHeight w:val="547" w:hRule="atLeast"/>
        </w:trPr>
        <w:tc>
          <w:tcPr>
            <w:tcW w:w="813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9188" w:type="dxa"/>
            <w:tcBorders>
              <w:top w:val="nil"/>
            </w:tcBorders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Отсутствуют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>
          <w:trHeight w:val="945" w:hRule="atLeast"/>
        </w:trPr>
        <w:tc>
          <w:tcPr>
            <w:tcW w:w="813" w:type="dxa"/>
            <w:vMerge w:val="restart"/>
            <w:tcBorders/>
          </w:tcPr>
          <w:p>
            <w:pPr>
              <w:pStyle w:val="ListParagraph1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8.</w:t>
            </w:r>
          </w:p>
        </w:tc>
        <w:tc>
          <w:tcPr>
            <w:tcW w:w="9188" w:type="dxa"/>
            <w:tcBorders>
              <w:bottom w:val="nil"/>
            </w:tcBorders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Оценка рисков неблагоприятных последствий применения предлагаемого правового регулирования (в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      </w:r>
          </w:p>
        </w:tc>
      </w:tr>
      <w:tr>
        <w:trPr>
          <w:trHeight w:val="537" w:hRule="atLeast"/>
        </w:trPr>
        <w:tc>
          <w:tcPr>
            <w:tcW w:w="813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9188" w:type="dxa"/>
            <w:tcBorders>
              <w:top w:val="nil"/>
              <w:bottom w:val="nil"/>
            </w:tcBorders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NSimSun" w:cs="Lucida Sans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Отсутствуют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</w:tbl>
    <w:tbl>
      <w:tblPr>
        <w:tblStyle w:val="Style_6"/>
        <w:tblW w:w="100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51"/>
        <w:gridCol w:w="1935"/>
        <w:gridCol w:w="1709"/>
        <w:gridCol w:w="2205"/>
      </w:tblGrid>
      <w:tr>
        <w:trPr/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8.1. Виды рисков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8.3. Методы контроля рисков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8.4. Степень контроля рисков (полный/частичный/отсутствует)</w:t>
            </w:r>
          </w:p>
        </w:tc>
      </w:tr>
      <w:tr>
        <w:trPr/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Times New Roman" w:hAnsi="Times New Roman"/>
                <w:color w:val="000000"/>
                <w:spacing w:val="0"/>
                <w:sz w:val="28"/>
              </w:rPr>
              <w:t>Риски неблагоприятных последствий, в том числе для конкуренции на рынках товаров и услуг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cs="PT Astra Serif" w:ascii="Times New Roman" w:hAnsi="Times New Roman"/>
                <w:color w:val="000000"/>
                <w:spacing w:val="0"/>
                <w:sz w:val="28"/>
              </w:rPr>
              <w:t>Отсутствуют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Не требуются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Отсутствуют</w:t>
            </w:r>
          </w:p>
        </w:tc>
      </w:tr>
    </w:tbl>
    <w:tbl>
      <w:tblPr>
        <w:tblStyle w:val="Style_3"/>
        <w:tblW w:w="100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62"/>
      </w:tblGrid>
      <w:tr>
        <w:trPr>
          <w:trHeight w:val="323" w:hRule="atLeast"/>
        </w:trPr>
        <w:tc>
          <w:tcPr>
            <w:tcW w:w="93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8.5.</w:t>
            </w:r>
          </w:p>
        </w:tc>
        <w:tc>
          <w:tcPr>
            <w:tcW w:w="9062" w:type="dxa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Источники данных:</w:t>
            </w:r>
          </w:p>
        </w:tc>
      </w:tr>
      <w:tr>
        <w:trPr>
          <w:trHeight w:val="322" w:hRule="atLeast"/>
        </w:trPr>
        <w:tc>
          <w:tcPr>
            <w:tcW w:w="939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906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64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Отсутствуют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/>
        <w:tc>
          <w:tcPr>
            <w:tcW w:w="939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9.</w:t>
            </w:r>
          </w:p>
        </w:tc>
        <w:tc>
          <w:tcPr>
            <w:tcW w:w="9062" w:type="dxa"/>
            <w:tcBorders/>
            <w:shd w:fill="auto" w:val="clear"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Анализ воздействия предлагаемого регулирования на состояние конкуренции в Камчатском крае в регулируемой сфере деятельности: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39" w:type="dxa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9.1.</w:t>
            </w:r>
          </w:p>
        </w:tc>
        <w:tc>
          <w:tcPr>
            <w:tcW w:w="9062" w:type="dxa"/>
            <w:tcBorders>
              <w:bottom w:val="nil"/>
            </w:tcBorders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Положения, которые могут отрицательно воздействовать на состояние конкуренции: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tbl>
      <w:tblPr>
        <w:tblStyle w:val="Style_6"/>
        <w:tblW w:w="100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6"/>
        <w:gridCol w:w="3902"/>
        <w:gridCol w:w="1078"/>
        <w:gridCol w:w="4054"/>
      </w:tblGrid>
      <w:tr>
        <w:trPr/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п/п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Наличие положения в проекте нормативного правового акта</w:t>
            </w:r>
          </w:p>
        </w:tc>
      </w:tr>
      <w:tr>
        <w:trPr/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3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Да/Нет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Описание положения (ссылка на пункт в проекте правового)</w:t>
            </w:r>
          </w:p>
        </w:tc>
      </w:tr>
      <w:tr>
        <w:trPr/>
        <w:tc>
          <w:tcPr>
            <w:tcW w:w="10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9.1.1. Ограничение количества субъектов предпринимательской деятельности</w:t>
            </w:r>
          </w:p>
        </w:tc>
      </w:tr>
      <w:tr>
        <w:trPr/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9.1.1.1.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нет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</w:tr>
      <w:tr>
        <w:trPr/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9.1.1.2.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нет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</w:tr>
      <w:tr>
        <w:trPr/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9.1.1.3.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статья 1 проекта Закона</w:t>
            </w:r>
          </w:p>
        </w:tc>
      </w:tr>
      <w:tr>
        <w:trPr/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9.1.1.4.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Создает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Нет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</w:tr>
      <w:tr>
        <w:trPr/>
        <w:tc>
          <w:tcPr>
            <w:tcW w:w="10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9.1.2. Ограничение способности субъектов предпринимательской деятельности осуществлять деятельность конкурентным способом</w:t>
            </w:r>
          </w:p>
        </w:tc>
      </w:tr>
      <w:tr>
        <w:trPr/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9.1.2.1.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нет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</w:tr>
      <w:tr>
        <w:trPr/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9.1.2.2.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Ограничивает свободы субъектов предпринимательской деятельности осуществлять рекламу или маркетинг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нет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</w:tc>
      </w:tr>
    </w:tbl>
    <w:tbl>
      <w:tblPr>
        <w:tblStyle w:val="Style_3"/>
        <w:tblW w:w="100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051"/>
      </w:tblGrid>
      <w:tr>
        <w:trPr/>
        <w:tc>
          <w:tcPr>
            <w:tcW w:w="950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9.2.</w:t>
            </w:r>
          </w:p>
        </w:tc>
        <w:tc>
          <w:tcPr>
            <w:tcW w:w="9051" w:type="dxa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Обоснование необходимости введения указанных положений: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отсутствует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>
          <w:trHeight w:val="950" w:hRule="atLeast"/>
        </w:trPr>
        <w:tc>
          <w:tcPr>
            <w:tcW w:w="950" w:type="dxa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10.</w:t>
            </w:r>
          </w:p>
        </w:tc>
        <w:tc>
          <w:tcPr>
            <w:tcW w:w="9051" w:type="dxa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Сравнение возможных вариантов решения проблемы:</w:t>
            </w:r>
          </w:p>
        </w:tc>
      </w:tr>
    </w:tbl>
    <w:tbl>
      <w:tblPr>
        <w:tblStyle w:val="Style_6"/>
        <w:tblW w:w="999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11"/>
        <w:gridCol w:w="2325"/>
        <w:gridCol w:w="2324"/>
        <w:gridCol w:w="1131"/>
      </w:tblGrid>
      <w:tr>
        <w:trPr/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Вариант 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Вариант 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Вариант 3</w:t>
            </w:r>
          </w:p>
        </w:tc>
      </w:tr>
      <w:tr>
        <w:trPr/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10.1. Содержание варианта решения проблемы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действующее правовое регулирование (без внесения изменений)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предлагаемое правовое регулирование (введение требований и порядка выдачи документа о соответствии сезонного зала (зоны) обслуживания посетителей)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10.2.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(1–3 года)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динамики не произойдет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динамики не произойдет</w:t>
            </w:r>
          </w:p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10.3.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дополнительные  расходы отсутствуют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64" w:before="0" w:after="16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cs="PT Astra Serif" w:ascii="PT Astra Serif" w:hAnsi="PT Astra Serif"/>
                <w:color w:val="000000"/>
                <w:spacing w:val="0"/>
                <w:kern w:val="0"/>
                <w:sz w:val="28"/>
                <w:szCs w:val="20"/>
              </w:rPr>
              <w:t>расходы на обустройство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10.4. Оценка расходов (доходов) бюджета Камчатского края, связанных с введением предлагаемого правового регулирования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отсутствуют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отсутствуют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10.5.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отрицательная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положительная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10.6.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Оценка рисков неблагоприятных последствий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Отсутствие возможности розничной продажи алкогольной продукции в сезонном зале (зоне)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Возможность розничной продажи алкогольной продукции в сезонном зале (зоне)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tbl>
      <w:tblPr>
        <w:tblStyle w:val="Style_3"/>
        <w:tblW w:w="100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567"/>
        <w:gridCol w:w="2543"/>
        <w:gridCol w:w="853"/>
        <w:gridCol w:w="151"/>
        <w:gridCol w:w="568"/>
        <w:gridCol w:w="566"/>
        <w:gridCol w:w="994"/>
        <w:gridCol w:w="700"/>
        <w:gridCol w:w="2069"/>
      </w:tblGrid>
      <w:tr>
        <w:trPr>
          <w:trHeight w:val="848" w:hRule="atLeast"/>
        </w:trPr>
        <w:tc>
          <w:tcPr>
            <w:tcW w:w="991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10.7.</w:t>
            </w:r>
          </w:p>
        </w:tc>
        <w:tc>
          <w:tcPr>
            <w:tcW w:w="9011" w:type="dxa"/>
            <w:gridSpan w:val="9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Обоснование выбора предпочтительного варианта решения выявленной проблемы: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Times New Roman" w:hAnsi="Times New Roman"/>
                <w:color w:val="000000"/>
                <w:spacing w:val="0"/>
                <w:sz w:val="28"/>
              </w:rPr>
              <w:t>Вариант регулирования позволит реализовывать</w:t>
            </w:r>
            <w:r>
              <w:rPr>
                <w:rFonts w:cs="PT Astra Serif"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алкогольную продукцию в сезонных залах (зонах) и</w:t>
            </w:r>
            <w:r>
              <w:rPr>
                <w:rFonts w:cs="PT Astra Serif" w:ascii="Times New Roman" w:hAnsi="Times New Roman"/>
                <w:color w:val="000000"/>
                <w:spacing w:val="0"/>
                <w:sz w:val="28"/>
              </w:rPr>
              <w:t xml:space="preserve"> обеспечит равные условия конкуренции хозяйствующих субъектов, повысит качество обслуживания потребителей.</w:t>
            </w:r>
          </w:p>
          <w:p>
            <w:pPr>
              <w:pStyle w:val="Normal"/>
              <w:widowControl/>
              <w:suppressAutoHyphens w:val="true"/>
              <w:spacing w:lineRule="auto" w:line="264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>
          <w:trHeight w:val="848" w:hRule="atLeast"/>
        </w:trPr>
        <w:tc>
          <w:tcPr>
            <w:tcW w:w="991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10.8.</w:t>
            </w:r>
          </w:p>
        </w:tc>
        <w:tc>
          <w:tcPr>
            <w:tcW w:w="9011" w:type="dxa"/>
            <w:gridSpan w:val="9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 w:eastAsia="NSimSun" w:cs="Lucida Sans"/>
                <w:color w:val="000000"/>
                <w:spacing w:val="0"/>
                <w:kern w:val="0"/>
                <w:sz w:val="28"/>
                <w:szCs w:val="20"/>
                <w:highlight w:val="none"/>
                <w:shd w:fill="auto" w:val="clear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  <w:lang w:val="ru-RU" w:eastAsia="zh-CN" w:bidi="hi-IN"/>
              </w:rPr>
              <w:t>Детальное описание предлагаемого варианта решения проблемы: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112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eastAsia="NSimSun" w:cs="Lucida Sans"/>
                <w:color w:val="000000"/>
                <w:spacing w:val="0"/>
                <w:kern w:val="0"/>
                <w:sz w:val="28"/>
                <w:szCs w:val="20"/>
                <w:highlight w:val="none"/>
                <w:shd w:fill="auto" w:val="clear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  <w:lang w:val="ru-RU" w:eastAsia="zh-CN" w:bidi="hi-I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-112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eastAsia="NSimSun" w:cs="Lucida Sans"/>
                <w:color w:val="000000"/>
                <w:spacing w:val="0"/>
                <w:kern w:val="0"/>
                <w:sz w:val="28"/>
                <w:szCs w:val="20"/>
                <w:highlight w:val="none"/>
                <w:shd w:fill="auto" w:val="clear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  <w:lang w:val="ru-RU" w:eastAsia="zh-CN" w:bidi="hi-IN"/>
              </w:rPr>
              <w:t>Законопроектом устанавливаются требования к размещению и обустройству сезонного зала (зоны) обслуживания посетителей, в том числе:</w:t>
            </w:r>
          </w:p>
          <w:p>
            <w:pPr>
              <w:pStyle w:val="Normal"/>
              <w:spacing w:lineRule="atLeast" w:line="285" w:before="0" w:after="0"/>
              <w:ind w:firstLine="709" w:left="0" w:right="0"/>
              <w:jc w:val="both"/>
              <w:rPr>
                <w:rFonts w:ascii="Times New Roman" w:hAnsi="Times New Roman" w:eastAsia="NSimSun" w:cs="Lucida Sans"/>
                <w:color w:val="000000"/>
                <w:spacing w:val="0"/>
                <w:kern w:val="0"/>
                <w:sz w:val="28"/>
                <w:szCs w:val="20"/>
                <w:highlight w:val="none"/>
                <w:shd w:fill="auto" w:val="clear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  <w:lang w:val="ru-RU" w:eastAsia="zh-CN" w:bidi="hi-IN"/>
              </w:rPr>
              <w:t>1. Сезонный зал (зона) обслуживания посетителей размещается на территории, прилегающей к объекту общественного питания, на расстоянии не более 15 метров по кратчайшему расстоянию по прямой линии (по радиусу) от входа для посетителей в объект общественного питания до входа на территорию сезонного зала (зоны) обслуживания посетителей или примыкает к такому объекту либо к зданию (помещению), в котором расположен такой объект (в том числе на открытых площадках, являющихся неотъемлемой частью объекта общественного питания).</w:t>
            </w:r>
          </w:p>
          <w:p>
            <w:pPr>
              <w:pStyle w:val="BodyText"/>
              <w:spacing w:lineRule="atLeast" w:line="285" w:before="0" w:after="0"/>
              <w:ind w:firstLine="709" w:left="0" w:right="0"/>
              <w:jc w:val="both"/>
              <w:rPr>
                <w:rFonts w:ascii="Times New Roman" w:hAnsi="Times New Roman" w:eastAsia="NSimSun" w:cs="Lucida Sans"/>
                <w:color w:val="000000"/>
                <w:spacing w:val="0"/>
                <w:kern w:val="0"/>
                <w:sz w:val="28"/>
                <w:szCs w:val="20"/>
                <w:highlight w:val="none"/>
                <w:shd w:fill="auto" w:val="clear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  <w:lang w:val="ru-RU" w:eastAsia="zh-CN" w:bidi="hi-IN"/>
              </w:rPr>
              <w:t>2. Размещение сезонного зала (зоны) обслуживания посетителей осуществляется с учетом возможности определить границы сезонного зала (зоны) обслуживания посетителей.</w:t>
            </w:r>
          </w:p>
          <w:p>
            <w:pPr>
              <w:pStyle w:val="BodyText"/>
              <w:spacing w:lineRule="atLeast" w:line="285" w:before="0" w:after="0"/>
              <w:ind w:firstLine="709" w:left="0" w:right="0"/>
              <w:jc w:val="both"/>
              <w:rPr>
                <w:rFonts w:ascii="Times New Roman" w:hAnsi="Times New Roman" w:eastAsia="NSimSun" w:cs="Lucida Sans"/>
                <w:color w:val="000000"/>
                <w:spacing w:val="0"/>
                <w:kern w:val="0"/>
                <w:sz w:val="28"/>
                <w:szCs w:val="20"/>
                <w:highlight w:val="none"/>
                <w:shd w:fill="auto" w:val="clear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  <w:lang w:val="ru-RU" w:eastAsia="zh-CN" w:bidi="hi-IN"/>
              </w:rPr>
              <w:t>3. Обустройство сезонного зала (зоны) обслуживания посетителей осуществляется при его оборудовании ограждающей конструкцией, высотой не менее 0,90 м и не более 1,1 м, позволяющей определить вход для посетителей и границы сезонного зала (зоны) обслуживания посетителей.</w:t>
            </w:r>
          </w:p>
          <w:p>
            <w:pPr>
              <w:pStyle w:val="BodyText"/>
              <w:spacing w:lineRule="atLeast" w:line="285" w:before="0" w:after="0"/>
              <w:ind w:firstLine="709" w:left="0" w:right="0"/>
              <w:jc w:val="both"/>
              <w:rPr>
                <w:rFonts w:ascii="Times New Roman" w:hAnsi="Times New Roman" w:eastAsia="NSimSun" w:cs="Lucida Sans"/>
                <w:color w:val="000000"/>
                <w:spacing w:val="0"/>
                <w:kern w:val="0"/>
                <w:sz w:val="28"/>
                <w:szCs w:val="20"/>
                <w:highlight w:val="none"/>
                <w:shd w:fill="auto" w:val="clear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  <w:lang w:val="ru-RU" w:eastAsia="zh-CN" w:bidi="hi-IN"/>
              </w:rPr>
              <w:t>4. Конструкции и элементы оборудования (включая навесы) сезонного зала (зоны) обслуживания посетителей должны быть выполнены в едином архитектурно-художественном стиле, с учетом колористического решения фасадов и стилистики здания (строения, сооружения), в котором размещен стационарный объект общественного питания, а также архитектурно-градостроительного решения окружающей застройки и особенностей благоустройства прилегающей территории. Высота элементов оборудования сезонного зала (зоны) обслуживания посетителей не должна превышать высоту первого этажа (линии перекрытий между первым и вторым этажами) здания, строения, сооружения, занимаемого стационарным объектом общественного питания.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NSimSun" w:cs="Lucida Sans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hi-IN"/>
              </w:rPr>
              <w:t>(место для текстового описания)</w:t>
            </w:r>
          </w:p>
        </w:tc>
      </w:tr>
      <w:tr>
        <w:trPr>
          <w:trHeight w:val="848" w:hRule="atLeast"/>
        </w:trPr>
        <w:tc>
          <w:tcPr>
            <w:tcW w:w="991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11.</w:t>
            </w:r>
          </w:p>
        </w:tc>
        <w:tc>
          <w:tcPr>
            <w:tcW w:w="9011" w:type="dxa"/>
            <w:gridSpan w:val="9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</w:p>
        </w:tc>
      </w:tr>
      <w:tr>
        <w:trPr>
          <w:trHeight w:val="848" w:hRule="atLeast"/>
        </w:trPr>
        <w:tc>
          <w:tcPr>
            <w:tcW w:w="991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11.1.</w:t>
            </w:r>
          </w:p>
        </w:tc>
        <w:tc>
          <w:tcPr>
            <w:tcW w:w="9011" w:type="dxa"/>
            <w:gridSpan w:val="9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Предполагаемая дата вступления в силу нормативного правового акта Камчатского края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01.09.2025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</w:rPr>
              <w:t>(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место для текстового описания)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(если положения вводятся в действие в разное время, указывается статья (пункт) проекта нормативного правового акта Камчатского края и дата введения)</w:t>
            </w:r>
          </w:p>
        </w:tc>
      </w:tr>
      <w:tr>
        <w:trPr>
          <w:trHeight w:val="608" w:hRule="atLeast"/>
        </w:trPr>
        <w:tc>
          <w:tcPr>
            <w:tcW w:w="9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11.2.</w:t>
            </w:r>
          </w:p>
        </w:tc>
        <w:tc>
          <w:tcPr>
            <w:tcW w:w="6942" w:type="dxa"/>
            <w:gridSpan w:val="8"/>
            <w:vMerge w:val="restart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Необходимость установления переходного периода и (или) отсрочки введения предлагаемого правового регулирования:</w:t>
            </w:r>
          </w:p>
        </w:tc>
        <w:tc>
          <w:tcPr>
            <w:tcW w:w="2069" w:type="dxa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нет</w:t>
            </w:r>
          </w:p>
        </w:tc>
      </w:tr>
      <w:tr>
        <w:trPr>
          <w:trHeight w:val="222" w:hRule="atLeast"/>
        </w:trPr>
        <w:tc>
          <w:tcPr>
            <w:tcW w:w="991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6942" w:type="dxa"/>
            <w:gridSpan w:val="8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2069" w:type="dxa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</w:rPr>
              <w:t>(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есть/нет)</w:t>
            </w:r>
          </w:p>
        </w:tc>
      </w:tr>
      <w:tr>
        <w:trPr>
          <w:trHeight w:val="750" w:hRule="atLeast"/>
        </w:trPr>
        <w:tc>
          <w:tcPr>
            <w:tcW w:w="991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а)</w:t>
            </w:r>
          </w:p>
        </w:tc>
        <w:tc>
          <w:tcPr>
            <w:tcW w:w="3547" w:type="dxa"/>
            <w:gridSpan w:val="3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срок переходного периода: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763" w:type="dxa"/>
            <w:gridSpan w:val="3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дней с даты принятия проекта нормативного правового акта</w:t>
            </w:r>
          </w:p>
        </w:tc>
      </w:tr>
      <w:tr>
        <w:trPr>
          <w:trHeight w:val="750" w:hRule="atLeast"/>
        </w:trPr>
        <w:tc>
          <w:tcPr>
            <w:tcW w:w="991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б)</w:t>
            </w:r>
          </w:p>
        </w:tc>
        <w:tc>
          <w:tcPr>
            <w:tcW w:w="3547" w:type="dxa"/>
            <w:gridSpan w:val="3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отсрочка введения предлагаемого правового регулирования: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763" w:type="dxa"/>
            <w:gridSpan w:val="3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дней с даты принятия проекта нормативного правового акта Камчатского края.</w:t>
            </w:r>
          </w:p>
        </w:tc>
      </w:tr>
      <w:tr>
        <w:trPr>
          <w:trHeight w:val="613" w:hRule="atLeast"/>
        </w:trPr>
        <w:tc>
          <w:tcPr>
            <w:tcW w:w="9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11.3.</w:t>
            </w:r>
          </w:p>
        </w:tc>
        <w:tc>
          <w:tcPr>
            <w:tcW w:w="6942" w:type="dxa"/>
            <w:gridSpan w:val="8"/>
            <w:vMerge w:val="restart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Необходимость распространения предлагаемого правового регулирования на ранее возникшие отношения:</w:t>
            </w:r>
          </w:p>
        </w:tc>
        <w:tc>
          <w:tcPr>
            <w:tcW w:w="2069" w:type="dxa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нет</w:t>
            </w:r>
          </w:p>
        </w:tc>
      </w:tr>
      <w:tr>
        <w:trPr>
          <w:trHeight w:val="281" w:hRule="atLeast"/>
        </w:trPr>
        <w:tc>
          <w:tcPr>
            <w:tcW w:w="991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6942" w:type="dxa"/>
            <w:gridSpan w:val="8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2069" w:type="dxa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</w:rPr>
              <w:t>(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есть/нет)</w:t>
            </w:r>
          </w:p>
        </w:tc>
      </w:tr>
      <w:tr>
        <w:trPr>
          <w:trHeight w:val="848" w:hRule="atLeast"/>
        </w:trPr>
        <w:tc>
          <w:tcPr>
            <w:tcW w:w="991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11.3.1.</w:t>
            </w:r>
          </w:p>
        </w:tc>
        <w:tc>
          <w:tcPr>
            <w:tcW w:w="3963" w:type="dxa"/>
            <w:gridSpan w:val="3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Период распространения на ранее возникшие отношения:</w:t>
            </w:r>
          </w:p>
        </w:tc>
        <w:tc>
          <w:tcPr>
            <w:tcW w:w="719" w:type="dxa"/>
            <w:gridSpan w:val="2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4329" w:type="dxa"/>
            <w:gridSpan w:val="4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дней с даты принятия проекта нормативного правового акта Камчатского края.</w:t>
            </w:r>
          </w:p>
        </w:tc>
      </w:tr>
      <w:tr>
        <w:trPr>
          <w:trHeight w:val="848" w:hRule="atLeast"/>
        </w:trPr>
        <w:tc>
          <w:tcPr>
            <w:tcW w:w="991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11.4.</w:t>
            </w:r>
          </w:p>
        </w:tc>
        <w:tc>
          <w:tcPr>
            <w:tcW w:w="9011" w:type="dxa"/>
            <w:gridSpan w:val="9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Обоснование необходимости установления переходного периода и (или) отсрочки вступления в силу нормативного правового акта Камчатского края либо необходимости распространения предлагаемого правового регулирования на ранее возникшие отношения:</w:t>
            </w:r>
          </w:p>
          <w:p>
            <w:pPr>
              <w:pStyle w:val="Normal"/>
              <w:widowControl/>
              <w:suppressAutoHyphens w:val="true"/>
              <w:spacing w:lineRule="auto" w:line="264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(место для текстового описания)</w:t>
            </w:r>
          </w:p>
        </w:tc>
      </w:tr>
      <w:tr>
        <w:trPr>
          <w:trHeight w:val="950" w:hRule="atLeast"/>
        </w:trPr>
        <w:tc>
          <w:tcPr>
            <w:tcW w:w="991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12.</w:t>
            </w:r>
          </w:p>
        </w:tc>
        <w:tc>
          <w:tcPr>
            <w:tcW w:w="9011" w:type="dxa"/>
            <w:gridSpan w:val="9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Заполняется по итогам проведения публичных консультаций по проекту нормативного правового акта и сводного отчета.</w:t>
            </w:r>
          </w:p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Информация о сроках проведения публичных консультаций по проекту нормативного правового акта Камчатского края:</w:t>
            </w:r>
          </w:p>
        </w:tc>
      </w:tr>
      <w:tr>
        <w:trPr>
          <w:trHeight w:val="730" w:hRule="atLeast"/>
        </w:trPr>
        <w:tc>
          <w:tcPr>
            <w:tcW w:w="9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12.1.</w:t>
            </w:r>
          </w:p>
        </w:tc>
        <w:tc>
          <w:tcPr>
            <w:tcW w:w="9011" w:type="dxa"/>
            <w:gridSpan w:val="9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kern w:val="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Срок, в течение которого принимались предложения в связи с проведением публичных консультаций по проекту нормативного правового акта Камчатского края и Сводному отчету:</w:t>
            </w:r>
          </w:p>
        </w:tc>
      </w:tr>
      <w:tr>
        <w:trPr>
          <w:trHeight w:val="345" w:hRule="atLeast"/>
        </w:trPr>
        <w:tc>
          <w:tcPr>
            <w:tcW w:w="991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3110" w:type="dxa"/>
            <w:gridSpan w:val="2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kern w:val="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начало:</w:t>
            </w:r>
          </w:p>
        </w:tc>
        <w:tc>
          <w:tcPr>
            <w:tcW w:w="5901" w:type="dxa"/>
            <w:gridSpan w:val="7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kern w:val="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09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.12.2024</w:t>
            </w:r>
          </w:p>
        </w:tc>
      </w:tr>
      <w:tr>
        <w:trPr>
          <w:trHeight w:val="345" w:hRule="atLeast"/>
        </w:trPr>
        <w:tc>
          <w:tcPr>
            <w:tcW w:w="991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3110" w:type="dxa"/>
            <w:gridSpan w:val="2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kern w:val="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окончание:</w:t>
            </w:r>
          </w:p>
        </w:tc>
        <w:tc>
          <w:tcPr>
            <w:tcW w:w="5901" w:type="dxa"/>
            <w:gridSpan w:val="7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kern w:val="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17.12.2024</w:t>
            </w:r>
          </w:p>
        </w:tc>
      </w:tr>
      <w:tr>
        <w:trPr>
          <w:trHeight w:val="450" w:hRule="atLeast"/>
        </w:trPr>
        <w:tc>
          <w:tcPr>
            <w:tcW w:w="99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12.2.</w:t>
            </w:r>
          </w:p>
        </w:tc>
        <w:tc>
          <w:tcPr>
            <w:tcW w:w="9011" w:type="dxa"/>
            <w:gridSpan w:val="9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kern w:val="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Сведения о количестве мнений/замечаний/предложений, полученных в ходе проведения публичных консультаций по проекту нормативного правового акта Камчатского края:</w:t>
            </w:r>
          </w:p>
        </w:tc>
      </w:tr>
      <w:tr>
        <w:trPr>
          <w:trHeight w:val="450" w:hRule="atLeast"/>
        </w:trPr>
        <w:tc>
          <w:tcPr>
            <w:tcW w:w="991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6242" w:type="dxa"/>
            <w:gridSpan w:val="7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всего мнений/замечаний/предложений</w:t>
            </w:r>
          </w:p>
        </w:tc>
        <w:tc>
          <w:tcPr>
            <w:tcW w:w="2769" w:type="dxa"/>
            <w:gridSpan w:val="2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991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6242" w:type="dxa"/>
            <w:gridSpan w:val="7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из них учтено полностью</w:t>
            </w:r>
          </w:p>
        </w:tc>
        <w:tc>
          <w:tcPr>
            <w:tcW w:w="2769" w:type="dxa"/>
            <w:gridSpan w:val="2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991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6242" w:type="dxa"/>
            <w:gridSpan w:val="7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учтено частично</w:t>
            </w:r>
          </w:p>
        </w:tc>
        <w:tc>
          <w:tcPr>
            <w:tcW w:w="2769" w:type="dxa"/>
            <w:gridSpan w:val="2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991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160"/>
              <w:jc w:val="left"/>
              <w:rPr>
                <w:kern w:val="0"/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</w:rPr>
            </w:r>
          </w:p>
        </w:tc>
        <w:tc>
          <w:tcPr>
            <w:tcW w:w="6242" w:type="dxa"/>
            <w:gridSpan w:val="7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не учтено</w:t>
            </w:r>
          </w:p>
        </w:tc>
        <w:tc>
          <w:tcPr>
            <w:tcW w:w="2769" w:type="dxa"/>
            <w:gridSpan w:val="2"/>
            <w:tcBorders/>
          </w:tcPr>
          <w:p>
            <w:pPr>
              <w:pStyle w:val="ConsPlusNonformat1"/>
              <w:widowControl w:val="false"/>
              <w:suppressAutoHyphens w:val="true"/>
              <w:spacing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trHeight w:val="848" w:hRule="atLeast"/>
        </w:trPr>
        <w:tc>
          <w:tcPr>
            <w:tcW w:w="991" w:type="dxa"/>
            <w:tcBorders/>
          </w:tcPr>
          <w:p>
            <w:pPr>
              <w:pStyle w:val="Normal"/>
              <w:widowControl/>
              <w:suppressAutoHyphens w:val="true"/>
              <w:spacing w:lineRule="auto" w:line="264" w:before="24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12.3.</w:t>
            </w:r>
          </w:p>
        </w:tc>
        <w:tc>
          <w:tcPr>
            <w:tcW w:w="9011" w:type="dxa"/>
            <w:gridSpan w:val="9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Полный электронный адрес размещения Свода предложений: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hanging="0" w:left="113" w:right="113"/>
              <w:jc w:val="center"/>
              <w:rPr>
                <w:rStyle w:val="Hyperlink"/>
              </w:rPr>
            </w:pPr>
            <w:r>
              <w:fldChar w:fldCharType="begin"/>
            </w:r>
            <w:r>
              <w:rPr>
                <w:rStyle w:val="Hyperlink"/>
                <w:sz w:val="28"/>
                <w:spacing w:val="0"/>
                <w:kern w:val="0"/>
                <w:szCs w:val="28"/>
                <w:rFonts w:eastAsia="NSimSun" w:cs="Lucida Sans" w:ascii="Times New Roman" w:hAnsi="Times New Roman"/>
                <w:color w:val="000000"/>
                <w:lang w:val="ru-RU" w:eastAsia="zh-CN" w:bidi="hi-IN"/>
              </w:rPr>
              <w:instrText xml:space="preserve"> HYPERLINK "https://regulation.kamgov.ru/projects" \l "npa=8812"</w:instrText>
            </w:r>
            <w:r>
              <w:rPr>
                <w:rStyle w:val="Hyperlink"/>
                <w:sz w:val="28"/>
                <w:spacing w:val="0"/>
                <w:kern w:val="0"/>
                <w:szCs w:val="28"/>
                <w:rFonts w:eastAsia="NSimSun" w:cs="Lucida Sans" w:ascii="Times New Roman" w:hAnsi="Times New Roman"/>
                <w:color w:val="000000"/>
                <w:lang w:val="ru-RU" w:eastAsia="zh-CN" w:bidi="hi-IN"/>
              </w:rPr>
              <w:fldChar w:fldCharType="separate"/>
            </w:r>
            <w:r>
              <w:rPr>
                <w:rStyle w:val="Hyperlink"/>
                <w:rFonts w:eastAsia="NSimSun" w:cs="Lucida Sans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https://regulation.kamgov.ru/projects#npa=8</w:t>
            </w:r>
            <w:r>
              <w:rPr>
                <w:rStyle w:val="Hyperlink"/>
                <w:sz w:val="28"/>
                <w:spacing w:val="0"/>
                <w:kern w:val="0"/>
                <w:szCs w:val="28"/>
                <w:rFonts w:eastAsia="NSimSun" w:cs="Lucida Sans" w:ascii="Times New Roman" w:hAnsi="Times New Roman"/>
                <w:color w:val="000000"/>
                <w:lang w:val="ru-RU" w:eastAsia="zh-CN" w:bidi="hi-IN"/>
              </w:rPr>
              <w:fldChar w:fldCharType="end"/>
            </w:r>
            <w:hyperlink r:id="rId3">
              <w:r>
                <w:rPr>
                  <w:rStyle w:val="Hyperlink"/>
                  <w:rFonts w:eastAsia="NSimSun" w:cs="Lucida Sans" w:ascii="Times New Roman" w:hAnsi="Times New Roman"/>
                  <w:color w:val="000000"/>
                  <w:spacing w:val="0"/>
                  <w:kern w:val="0"/>
                  <w:sz w:val="28"/>
                  <w:szCs w:val="28"/>
                  <w:lang w:val="ru-RU" w:eastAsia="zh-CN" w:bidi="hi-IN"/>
                </w:rPr>
                <w:t>812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64" w:before="0" w:after="0"/>
              <w:ind w:hanging="0" w:left="0" w:right="0"/>
              <w:jc w:val="center"/>
              <w:rPr>
                <w:rFonts w:ascii="Times New Roman" w:hAnsi="Times New Roman" w:eastAsia="NSimSun" w:cs="Lucida San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(место для текстового описания)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nformat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 Свод предложений. Иные приложения (по усмотрению регулирующего органа).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9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2542"/>
        <w:gridCol w:w="3839"/>
      </w:tblGrid>
      <w:tr>
        <w:trPr>
          <w:trHeight w:val="599" w:hRule="atLeast"/>
        </w:trPr>
        <w:tc>
          <w:tcPr>
            <w:tcW w:w="360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Заместитель Министра – начальник отдела торговли, лицензирования и контроля алкогольной продукции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О.Н. Бакнина</w:t>
            </w:r>
          </w:p>
        </w:tc>
      </w:tr>
      <w:tr>
        <w:trPr/>
        <w:tc>
          <w:tcPr>
            <w:tcW w:w="3606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(должность)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(подпись)</w:t>
            </w:r>
          </w:p>
        </w:tc>
        <w:tc>
          <w:tcPr>
            <w:tcW w:w="383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(ФИО)</w:t>
            </w:r>
          </w:p>
        </w:tc>
      </w:tr>
    </w:tbl>
    <w:p>
      <w:pPr>
        <w:pStyle w:val="ConsPlusNonformat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type w:val="nextPage"/>
      <w:pgSz w:w="11906" w:h="16838"/>
      <w:pgMar w:left="1276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sPlusTitle">
    <w:name w:val="ConsPlusTitle"/>
    <w:link w:val="ConsPlusTitle1"/>
    <w:qFormat/>
    <w:rPr>
      <w:rFonts w:ascii="Calibri" w:hAnsi="Calibri" w:asciiTheme="minorAscii" w:hAnsiTheme="minorHAnsi"/>
      <w:b/>
      <w:color w:val="000000"/>
      <w:spacing w:val="0"/>
      <w:sz w:val="22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3">
    <w:name w:val="Contents 3"/>
    <w:link w:val="Contents3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Header1">
    <w:name w:val="Header1"/>
    <w:qFormat/>
    <w:rPr/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9">
    <w:name w:val="Символ сноски"/>
    <w:basedOn w:val="DefaultParagraphFont"/>
    <w:link w:val="13"/>
    <w:qFormat/>
    <w:rPr>
      <w:vertAlign w:val="superscript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Style10">
    <w:name w:val="Заголовок"/>
    <w:link w:val="1111111111"/>
    <w:qFormat/>
    <w:rPr>
      <w:rFonts w:ascii="Liberation Sans" w:hAnsi="Liberation Sans"/>
      <w:sz w:val="28"/>
    </w:rPr>
  </w:style>
  <w:style w:type="character" w:styleId="ConsPlusNormal">
    <w:name w:val="ConsPlusNormal"/>
    <w:link w:val="ConsPlusNormal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List1">
    <w:name w:val="List1"/>
    <w:basedOn w:val="Textbody"/>
    <w:qFormat/>
    <w:rPr/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Contents31">
    <w:name w:val="Contents 31"/>
    <w:qFormat/>
    <w:rPr>
      <w:rFonts w:ascii="XO Thames" w:hAnsi="XO Thames"/>
      <w:color w:val="000000"/>
      <w:spacing w:val="0"/>
      <w:sz w:val="28"/>
    </w:rPr>
  </w:style>
  <w:style w:type="character" w:styleId="Style11">
    <w:name w:val="Указатель"/>
    <w:link w:val="1111111112"/>
    <w:qFormat/>
    <w:rPr/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FootnoteSymbol">
    <w:name w:val="Footnote Symbol"/>
    <w:basedOn w:val="DefaultParagraphFont"/>
    <w:link w:val="FootnoteSymbol1"/>
    <w:qFormat/>
    <w:rPr>
      <w:vertAlign w:val="superscript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tents8">
    <w:name w:val="Contents 8"/>
    <w:link w:val="Contents82"/>
    <w:qFormat/>
    <w:rPr>
      <w:rFonts w:ascii="XO Thames" w:hAnsi="XO Thames"/>
      <w:sz w:val="28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Internetlink">
    <w:name w:val="Internet link"/>
    <w:basedOn w:val="DefaultParagraphFont"/>
    <w:link w:val="Internetlink1"/>
    <w:qFormat/>
    <w:rPr>
      <w:color w:themeColor="hyperlink" w:val="0563C1"/>
      <w:u w:val="single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FootnoteReference">
    <w:name w:val="Footnote Reference"/>
    <w:rPr>
      <w:vertAlign w:val="superscript"/>
    </w:rPr>
  </w:style>
  <w:style w:type="character" w:styleId="Textbody">
    <w:name w:val="Text body"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Style12">
    <w:name w:val="Колонтитул"/>
    <w:link w:val="12"/>
    <w:qFormat/>
    <w:rPr>
      <w:rFonts w:ascii="XO Thames" w:hAnsi="XO Thames"/>
      <w:color w:val="000000"/>
      <w:spacing w:val="0"/>
      <w:sz w:val="20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i/>
      <w:sz w:val="24"/>
    </w:rPr>
  </w:style>
  <w:style w:type="character" w:styleId="Contents91">
    <w:name w:val="Contents 91"/>
    <w:link w:val="Contents92"/>
    <w:qFormat/>
    <w:rPr>
      <w:rFonts w:ascii="XO Thames" w:hAnsi="XO Thames"/>
      <w:sz w:val="28"/>
    </w:rPr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ListParagraph">
    <w:name w:val="List Paragraph"/>
    <w:link w:val="ListParagraph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Strong">
    <w:name w:val="Strong"/>
    <w:qFormat/>
    <w:rPr>
      <w:sz w:val="28"/>
      <w:szCs w:val="28"/>
    </w:rPr>
  </w:style>
  <w:style w:type="character" w:styleId="Strong1">
    <w:name w:val="Strong1"/>
    <w:qFormat/>
    <w:rPr>
      <w:sz w:val="28"/>
      <w:szCs w:val="28"/>
    </w:rPr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1">
    <w:name w:val="Указатель1"/>
    <w:basedOn w:val="Normal"/>
    <w:qFormat/>
    <w:pPr>
      <w:suppressLineNumbers/>
    </w:pPr>
    <w:rPr>
      <w:rFonts w:cs="Lucida 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cs="Lucida Sans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cs="Lucida Sans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112">
    <w:name w:val="Указатель1111"/>
    <w:basedOn w:val="Normal"/>
    <w:qFormat/>
    <w:pPr>
      <w:suppressLineNumbers/>
    </w:pPr>
    <w:rPr>
      <w:rFonts w:cs="Lucida Sans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1112">
    <w:name w:val="Указатель11111"/>
    <w:basedOn w:val="Normal"/>
    <w:qFormat/>
    <w:pPr>
      <w:suppressLineNumbers/>
    </w:pPr>
    <w:rPr>
      <w:rFonts w:cs="Lucida Sans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11112">
    <w:name w:val="Указатель111111"/>
    <w:basedOn w:val="Normal"/>
    <w:qFormat/>
    <w:pPr>
      <w:suppressLineNumbers/>
    </w:pPr>
    <w:rPr>
      <w:rFonts w:cs="Lucida Sans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111112">
    <w:name w:val="Указатель1111111"/>
    <w:basedOn w:val="Normal"/>
    <w:qFormat/>
    <w:pPr>
      <w:suppressLineNumbers/>
    </w:pPr>
    <w:rPr>
      <w:rFonts w:cs="Lucida Sans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1111112">
    <w:name w:val="Указатель11111111"/>
    <w:basedOn w:val="Normal"/>
    <w:qFormat/>
    <w:pPr>
      <w:suppressLineNumbers/>
    </w:pPr>
    <w:rPr>
      <w:rFonts w:cs="Lucida Sans"/>
    </w:rPr>
  </w:style>
  <w:style w:type="paragraph" w:styleId="1111111111">
    <w:name w:val="Заголовок111111111"/>
    <w:basedOn w:val="Normal"/>
    <w:next w:val="BodyText"/>
    <w:link w:val="Style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11112">
    <w:name w:val="Указатель111111111"/>
    <w:basedOn w:val="Normal"/>
    <w:link w:val="Style11"/>
    <w:qFormat/>
    <w:pPr/>
    <w:rPr/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Колонтитул1"/>
    <w:link w:val="Style12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">
    <w:name w:val="Колонтитул2"/>
    <w:basedOn w:val="Normal"/>
    <w:qFormat/>
    <w:pPr/>
    <w:rPr/>
  </w:style>
  <w:style w:type="paragraph" w:styleId="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5">
    <w:name w:val="Колонтитул5"/>
    <w:basedOn w:val="Normal"/>
    <w:qFormat/>
    <w:pPr/>
    <w:rPr/>
  </w:style>
  <w:style w:type="paragraph" w:styleId="6">
    <w:name w:val="Колонтитул6"/>
    <w:basedOn w:val="Normal"/>
    <w:qFormat/>
    <w:pPr/>
    <w:rPr/>
  </w:style>
  <w:style w:type="paragraph" w:styleId="7">
    <w:name w:val="Колонтитул7"/>
    <w:basedOn w:val="Normal"/>
    <w:qFormat/>
    <w:pPr/>
    <w:rPr/>
  </w:style>
  <w:style w:type="paragraph" w:styleId="8">
    <w:name w:val="Колонтитул8"/>
    <w:basedOn w:val="Normal"/>
    <w:qFormat/>
    <w:pPr/>
    <w:rPr/>
  </w:style>
  <w:style w:type="paragraph" w:styleId="9">
    <w:name w:val="Колонтитул9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Символ сноски1"/>
    <w:basedOn w:val="DefaultParagraphFont1"/>
    <w:link w:val="Style9"/>
    <w:qFormat/>
    <w:pPr/>
    <w:rPr>
      <w:vertAlign w:val="superscript"/>
    </w:rPr>
  </w:style>
  <w:style w:type="paragraph" w:styleId="ConsPlusNormal1">
    <w:name w:val="ConsPlusNormal1"/>
    <w:link w:val="ConsPlusNorma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1">
    <w:name w:val="Footnote Symbol1"/>
    <w:basedOn w:val="DefaultParagraphFont1"/>
    <w:link w:val="FootnoteSymbol"/>
    <w:qFormat/>
    <w:pPr/>
    <w:rPr>
      <w:vertAlign w:val="superscript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1"/>
    <w:basedOn w:val="DefaultParagraphFont1"/>
    <w:link w:val="Internetlink"/>
    <w:qFormat/>
    <w:pPr/>
    <w:rPr>
      <w:color w:themeColor="hyperlink" w:val="0563C1"/>
      <w:u w:val="single"/>
    </w:rPr>
  </w:style>
  <w:style w:type="paragraph" w:styleId="FootnoteSymbol2">
    <w:name w:val="Footnote Symbol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Internetlink2">
    <w:name w:val="Internet link2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160"/>
      <w:ind w:hanging="0" w:left="720" w:right="0"/>
      <w:contextualSpacing/>
    </w:pPr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2">
    <w:name w:val="ConsPlusNormal2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spacing w:val="0"/>
      <w:kern w:val="2"/>
      <w:sz w:val="24"/>
      <w:szCs w:val="24"/>
      <w:u w:val="none"/>
      <w:lang w:val="ru-RU" w:eastAsia="zh-CN" w:bidi="hi-IN"/>
    </w:rPr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table" w:styleId="Style_3">
    <w:name w:val="Table Grid"/>
    <w:basedOn w:val="Style_6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hogurNG@kamgov.ru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Application>LibreOffice/7.6.7.2$Windows_X86_64 LibreOffice_project/dd47e4b30cb7dab30588d6c79c651f218165e3c5</Application>
  <AppVersion>15.0000</AppVersion>
  <Pages>13</Pages>
  <Words>2268</Words>
  <Characters>17593</Characters>
  <CharactersWithSpaces>19549</CharactersWithSpaces>
  <Paragraphs>331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2024-08-20T15:13:53Z</cp:lastPrinted>
  <dcterms:modified xsi:type="dcterms:W3CDTF">2024-12-09T17:24:34Z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