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5529"/>
        <w:jc w:val="both"/>
        <w:rPr>
          <w:sz w:val="20"/>
        </w:rPr>
      </w:pPr>
      <w:bookmarkStart w:id="1" w:name="sub_16033"/>
      <w:bookmarkEnd w:id="1"/>
      <w:bookmarkStart w:id="2" w:name="sub_16031"/>
      <w:bookmarkEnd w:id="2"/>
      <w:r>
        <w:rPr>
          <w:sz w:val="20"/>
        </w:rPr>
        <w:t>Проект закона Камчатского края внесен Правительством Камчатского края</w:t>
      </w:r>
    </w:p>
    <w:p w14:paraId="02000000">
      <w:pPr>
        <w:ind/>
        <w:jc w:val="center"/>
        <w:rPr>
          <w:sz w:val="20"/>
        </w:rPr>
      </w:pPr>
    </w:p>
    <w:p w14:paraId="03000000">
      <w:pPr>
        <w:ind/>
        <w:jc w:val="center"/>
        <w:rPr>
          <w:sz w:val="32"/>
        </w:rPr>
      </w:pPr>
      <w:r>
        <w:drawing>
          <wp:inline>
            <wp:extent cx="647700" cy="8077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Закон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7000000">
      <w:pPr>
        <w:widowControl w:val="0"/>
        <w:ind w:firstLine="720" w:left="0"/>
        <w:jc w:val="both"/>
        <w:rPr>
          <w:rFonts w:ascii="Arial" w:hAnsi="Arial"/>
          <w:sz w:val="20"/>
        </w:rPr>
      </w:pPr>
    </w:p>
    <w:p w14:paraId="08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Закон Камчатского края </w:t>
      </w:r>
    </w:p>
    <w:p w14:paraId="09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 квотировании в Камчатском крае рабочих мест для отдельных категорий граждан, испытывающих трудности в поиске работы"</w:t>
      </w:r>
    </w:p>
    <w:p w14:paraId="0A000000">
      <w:pPr>
        <w:widowControl w:val="0"/>
        <w:ind/>
        <w:jc w:val="both"/>
        <w:rPr>
          <w:rFonts w:ascii="Arial" w:hAnsi="Arial"/>
          <w:sz w:val="20"/>
        </w:rPr>
      </w:pPr>
      <w:bookmarkStart w:id="3" w:name="sub_16033_Copy_1"/>
      <w:bookmarkEnd w:id="3"/>
      <w:bookmarkStart w:id="4" w:name="sub_16031_Copy_1"/>
      <w:bookmarkEnd w:id="4"/>
    </w:p>
    <w:p w14:paraId="0B000000">
      <w:pPr>
        <w:keepNext w:val="1"/>
        <w:widowControl w:val="0"/>
        <w:ind/>
        <w:jc w:val="center"/>
        <w:outlineLvl w:val="2"/>
        <w:rPr>
          <w:i w:val="1"/>
        </w:rPr>
      </w:pPr>
      <w:r>
        <w:rPr>
          <w:i w:val="1"/>
        </w:rPr>
        <w:t>Принят Законодательным Собранием Камчатского края</w:t>
      </w:r>
    </w:p>
    <w:p w14:paraId="0C000000">
      <w:pPr>
        <w:widowControl w:val="0"/>
        <w:ind/>
        <w:jc w:val="center"/>
        <w:rPr>
          <w:i w:val="1"/>
        </w:rPr>
      </w:pPr>
      <w:r>
        <w:rPr>
          <w:i w:val="1"/>
        </w:rPr>
        <w:t>"_____" ________________2024 года</w:t>
      </w:r>
    </w:p>
    <w:p w14:paraId="0D000000">
      <w:pPr>
        <w:ind w:firstLine="567" w:left="0"/>
        <w:jc w:val="both"/>
        <w:rPr>
          <w:b w:val="1"/>
          <w:sz w:val="28"/>
        </w:rPr>
      </w:pPr>
    </w:p>
    <w:p w14:paraId="0E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Статья 1</w:t>
      </w: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Внести в Закон Камчатского края от 11.06.2009 № 284 </w:t>
      </w:r>
      <w:r>
        <w:rPr>
          <w:sz w:val="28"/>
        </w:rPr>
        <w:br/>
      </w:r>
      <w:r>
        <w:rPr>
          <w:sz w:val="28"/>
        </w:rPr>
        <w:t>"О квотировании в Камчатском крае рабочих мест для отдельных категорий граждан, испытывающих трудности в поиске работы" (с изменениями</w:t>
      </w:r>
      <w:r>
        <w:br/>
      </w:r>
      <w:r>
        <w:rPr>
          <w:sz w:val="28"/>
        </w:rPr>
        <w:t xml:space="preserve">от 14.112011 № 699, от 05.07.2013 № 288, от 01.10.2013 № 308, от 01.04.2014 </w:t>
      </w:r>
      <w:r>
        <w:rPr>
          <w:sz w:val="28"/>
        </w:rPr>
        <w:br/>
      </w:r>
      <w:r>
        <w:rPr>
          <w:sz w:val="28"/>
        </w:rPr>
        <w:t>№ 410, от 01.04.2014 № 425, от 28.12.2015 № 739, от 02.07.2019 № 351,</w:t>
      </w:r>
      <w:r>
        <w:br/>
      </w:r>
      <w:r>
        <w:rPr>
          <w:sz w:val="28"/>
        </w:rPr>
        <w:t>от 17.06.2022 № 98, от 02.03.2023 № 186, от 31.10.2023 № 281) следующие изменения:</w:t>
      </w:r>
    </w:p>
    <w:p w14:paraId="10000000">
      <w:pPr>
        <w:numPr>
          <w:ilvl w:val="0"/>
          <w:numId w:val="1"/>
        </w:numPr>
        <w:ind w:firstLine="567" w:left="0"/>
        <w:jc w:val="both"/>
      </w:pPr>
      <w:r>
        <w:rPr>
          <w:sz w:val="28"/>
        </w:rPr>
        <w:t>в статье 2 слова "</w:t>
      </w:r>
      <w:r>
        <w:rPr>
          <w:sz w:val="28"/>
          <w:u w:color="000000"/>
        </w:rPr>
        <w:t>Закон</w:t>
      </w:r>
      <w:r>
        <w:rPr>
          <w:sz w:val="28"/>
        </w:rPr>
        <w:t xml:space="preserve"> Российской Федерации от 19.04.1991</w:t>
      </w:r>
      <w:r>
        <w:rPr>
          <w:sz w:val="28"/>
        </w:rPr>
        <w:br/>
      </w:r>
      <w:r>
        <w:rPr>
          <w:sz w:val="28"/>
        </w:rPr>
        <w:t>№ 1032-1 "О занятости населения в Российской Федерации"</w:t>
      </w:r>
      <w:bookmarkStart w:id="5" w:name="_GoBack"/>
      <w:bookmarkEnd w:id="5"/>
      <w:r>
        <w:rPr>
          <w:sz w:val="28"/>
        </w:rPr>
        <w:t xml:space="preserve"> заменить словами "Федеральный закон "О занятости населения в Российской Федерации"</w:t>
      </w:r>
      <w:r>
        <w:br/>
      </w:r>
      <w:r>
        <w:rPr>
          <w:sz w:val="28"/>
        </w:rPr>
        <w:t>от 12.12.2023 № 565-ФЗ;</w:t>
      </w:r>
    </w:p>
    <w:p w14:paraId="11000000">
      <w:pPr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пункт 7 статьи 3 изложить в следующей редакции: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"7) центр занятости населения – государственное учреждение, созданное Камчатским краем в целях осуществления полномочий в сфере занятости населения.";</w:t>
      </w:r>
    </w:p>
    <w:p w14:paraId="13000000">
      <w:pPr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в статье 4: </w:t>
      </w:r>
    </w:p>
    <w:p w14:paraId="14000000">
      <w:pPr>
        <w:numPr>
          <w:ilvl w:val="0"/>
          <w:numId w:val="2"/>
        </w:numPr>
        <w:ind w:firstLine="0" w:left="567"/>
        <w:jc w:val="both"/>
        <w:rPr>
          <w:sz w:val="28"/>
        </w:rPr>
      </w:pPr>
      <w:r>
        <w:rPr>
          <w:sz w:val="28"/>
        </w:rPr>
        <w:t>пункты 2 – 7 изложить в следующей редакции:</w:t>
      </w:r>
    </w:p>
    <w:p w14:paraId="15000000">
      <w:pPr>
        <w:ind w:firstLine="567" w:left="0"/>
        <w:jc w:val="both"/>
        <w:rPr>
          <w:sz w:val="28"/>
        </w:rPr>
      </w:pPr>
      <w:r>
        <w:rPr>
          <w:sz w:val="28"/>
        </w:rPr>
        <w:t>"2) лиц, освобожденных из учреждений, исполняющих наказание в виде лишения свободы, и ищущих работу в течение одного года с даты освобождения;</w:t>
      </w:r>
    </w:p>
    <w:p w14:paraId="16000000">
      <w:pPr>
        <w:ind w:firstLine="567" w:left="0"/>
        <w:jc w:val="both"/>
        <w:rPr>
          <w:sz w:val="28"/>
        </w:rPr>
      </w:pPr>
      <w:r>
        <w:rPr>
          <w:sz w:val="28"/>
        </w:rPr>
        <w:t>3) несовершеннолетних в возрасте от 14 до 18 лет;</w:t>
      </w:r>
    </w:p>
    <w:p w14:paraId="17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4) граждан </w:t>
      </w:r>
      <w:r>
        <w:rPr>
          <w:sz w:val="28"/>
        </w:rPr>
        <w:t>предпенсионного</w:t>
      </w:r>
      <w:r>
        <w:rPr>
          <w:sz w:val="28"/>
        </w:rPr>
        <w:t xml:space="preserve"> возраста (в течение пяти лет до наступления возраста, дающего право на страховую </w:t>
      </w:r>
      <w:r>
        <w:rPr>
          <w:sz w:val="28"/>
          <w:u w:color="000000"/>
        </w:rPr>
        <w:t>пенсию</w:t>
      </w:r>
      <w:r>
        <w:rPr>
          <w:sz w:val="28"/>
        </w:rPr>
        <w:t xml:space="preserve"> по старости, в том числе назначаемую досрочно);</w:t>
      </w:r>
    </w:p>
    <w:p w14:paraId="18000000">
      <w:pPr>
        <w:ind w:firstLine="567" w:left="0"/>
        <w:jc w:val="both"/>
        <w:rPr>
          <w:sz w:val="28"/>
        </w:rPr>
      </w:pPr>
      <w:r>
        <w:rPr>
          <w:sz w:val="28"/>
        </w:rPr>
        <w:t>5) беженцев и вынужденных переселенцев;</w:t>
      </w:r>
    </w:p>
    <w:p w14:paraId="19000000">
      <w:pPr>
        <w:ind w:firstLine="567" w:left="0"/>
        <w:jc w:val="both"/>
        <w:rPr>
          <w:sz w:val="28"/>
        </w:rPr>
      </w:pPr>
      <w:r>
        <w:rPr>
          <w:sz w:val="28"/>
        </w:rPr>
        <w:t>6) граждан, уволенных с военной службы, и членов их семей;</w:t>
      </w:r>
    </w:p>
    <w:p w14:paraId="1A000000">
      <w:pPr>
        <w:ind w:firstLine="567" w:left="0"/>
        <w:jc w:val="both"/>
        <w:rPr>
          <w:sz w:val="28"/>
        </w:rPr>
      </w:pPr>
      <w:r>
        <w:rPr>
          <w:sz w:val="28"/>
        </w:rPr>
        <w:t>7) одиноких и многодетных родителей, усыновителей, опекунов (попечителей), воспитывающих несовершеннолетних детей, детей-инвалидов;";</w:t>
      </w:r>
    </w:p>
    <w:p w14:paraId="1B000000">
      <w:pPr>
        <w:ind w:firstLine="567" w:left="0"/>
        <w:jc w:val="both"/>
        <w:rPr>
          <w:sz w:val="28"/>
        </w:rPr>
      </w:pPr>
      <w:r>
        <w:rPr>
          <w:sz w:val="28"/>
        </w:rPr>
        <w:t>б) дополнить пунктами 8 – 9 следующего содержания:</w:t>
      </w:r>
    </w:p>
    <w:p w14:paraId="1C000000">
      <w:pPr>
        <w:ind w:firstLine="567" w:left="0"/>
        <w:jc w:val="both"/>
        <w:rPr>
          <w:sz w:val="28"/>
        </w:rPr>
      </w:pPr>
      <w:r>
        <w:rPr>
          <w:sz w:val="28"/>
        </w:rPr>
        <w:t>"8) граждан, подвергшиеся воздействию радиации вследствие радиационных аварий и катастроф;</w:t>
      </w:r>
    </w:p>
    <w:p w14:paraId="1D000000">
      <w:pPr>
        <w:ind w:firstLine="567" w:left="0"/>
        <w:jc w:val="both"/>
        <w:rPr>
          <w:sz w:val="28"/>
        </w:rPr>
      </w:pPr>
      <w:r>
        <w:rPr>
          <w:sz w:val="28"/>
        </w:rPr>
        <w:t>9) граждан в возрасте от 18 до 25 лет, имеющих среднее профессиональное образование или высшее образование и ищущих работу в течение одного года с даты выдачи им документа об образовании и о квалификации (в случае прохождения указанными гражданами в данный период военной службы по призыву – с даты окончания прохождения военной службы по призыву).»;</w:t>
      </w:r>
    </w:p>
    <w:p w14:paraId="1E000000">
      <w:pPr>
        <w:ind w:firstLine="567" w:left="0"/>
        <w:jc w:val="both"/>
        <w:rPr>
          <w:sz w:val="28"/>
        </w:rPr>
      </w:pPr>
      <w:r>
        <w:rPr>
          <w:sz w:val="28"/>
        </w:rPr>
        <w:t>4) в статье 5:</w:t>
      </w:r>
    </w:p>
    <w:p w14:paraId="1F000000">
      <w:pPr>
        <w:numPr>
          <w:ilvl w:val="0"/>
          <w:numId w:val="3"/>
        </w:numPr>
        <w:ind w:firstLine="567" w:left="0"/>
        <w:jc w:val="both"/>
        <w:rPr>
          <w:sz w:val="28"/>
        </w:rPr>
      </w:pPr>
      <w:r>
        <w:rPr>
          <w:sz w:val="28"/>
        </w:rPr>
        <w:t>часть 1 изложить в следующей редакции:</w:t>
      </w:r>
    </w:p>
    <w:p w14:paraId="2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"1. Квота для категории граждан, определенной </w:t>
      </w:r>
      <w:r>
        <w:rPr>
          <w:sz w:val="28"/>
          <w:u w:color="000000"/>
        </w:rPr>
        <w:t>пунктом 1 статьи 4</w:t>
      </w:r>
      <w:r>
        <w:rPr>
          <w:sz w:val="28"/>
        </w:rPr>
        <w:t xml:space="preserve"> настоящего Закона, устанавливается работодателям, численность работников которых превышает 100 человек, в </w:t>
      </w:r>
      <w:r>
        <w:rPr>
          <w:sz w:val="28"/>
          <w:u w:color="000000"/>
        </w:rPr>
        <w:t>размере</w:t>
      </w:r>
      <w:r>
        <w:rPr>
          <w:sz w:val="28"/>
        </w:rPr>
        <w:t xml:space="preserve"> 2 процентов от среднесписочной численности работников, а работодателям численность работников которых составляет от 35 до 100 человек включительно, в </w:t>
      </w:r>
      <w:r>
        <w:rPr>
          <w:sz w:val="28"/>
          <w:u w:color="000000"/>
        </w:rPr>
        <w:t>размере</w:t>
      </w:r>
      <w:r>
        <w:rPr>
          <w:sz w:val="28"/>
        </w:rPr>
        <w:t xml:space="preserve"> 3 процентов от среднесписочной численности работников.";</w:t>
      </w:r>
    </w:p>
    <w:p w14:paraId="21000000">
      <w:pPr>
        <w:numPr>
          <w:ilvl w:val="0"/>
          <w:numId w:val="3"/>
        </w:numPr>
        <w:ind w:firstLine="567" w:left="0"/>
        <w:jc w:val="both"/>
        <w:rPr>
          <w:sz w:val="28"/>
        </w:rPr>
      </w:pPr>
      <w:r>
        <w:rPr>
          <w:sz w:val="28"/>
        </w:rPr>
        <w:t>часть 2 изложить в следующей редакции:</w:t>
      </w:r>
    </w:p>
    <w:p w14:paraId="22000000">
      <w:pPr>
        <w:ind w:firstLine="567" w:left="0"/>
        <w:jc w:val="both"/>
        <w:rPr>
          <w:sz w:val="28"/>
        </w:rPr>
      </w:pPr>
      <w:r>
        <w:rPr>
          <w:sz w:val="28"/>
        </w:rPr>
        <w:t>"2. Квота для категорий граждан, определенных пунктами 2 – 9 статьи 4 настоящего Закона устанавливается работодателями, численность работников которых превышает 100 человек, в размере 1 процента от среднесписочной численности работников."</w:t>
      </w:r>
    </w:p>
    <w:p w14:paraId="23000000">
      <w:pPr>
        <w:numPr>
          <w:ilvl w:val="0"/>
          <w:numId w:val="3"/>
        </w:numPr>
        <w:ind w:firstLine="567" w:left="0"/>
        <w:jc w:val="both"/>
        <w:rPr>
          <w:sz w:val="28"/>
        </w:rPr>
      </w:pPr>
      <w:r>
        <w:rPr>
          <w:sz w:val="28"/>
        </w:rPr>
        <w:t>часть 3 исключить;</w:t>
      </w:r>
    </w:p>
    <w:p w14:paraId="24000000">
      <w:pPr>
        <w:numPr>
          <w:ilvl w:val="0"/>
          <w:numId w:val="3"/>
        </w:numPr>
        <w:ind w:firstLine="567" w:left="0"/>
        <w:jc w:val="both"/>
        <w:rPr>
          <w:sz w:val="28"/>
        </w:rPr>
      </w:pPr>
      <w:r>
        <w:rPr>
          <w:sz w:val="28"/>
        </w:rPr>
        <w:t>часть 4 исключить;</w:t>
      </w:r>
    </w:p>
    <w:p w14:paraId="2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5) в части 5 статьи 6 слова "пунктами 2 – 7" заменить словами "пунктами </w:t>
      </w:r>
      <w:r>
        <w:rPr>
          <w:sz w:val="28"/>
        </w:rPr>
        <w:br/>
      </w:r>
      <w:r>
        <w:rPr>
          <w:sz w:val="28"/>
        </w:rPr>
        <w:t>2 – 9";</w:t>
      </w:r>
    </w:p>
    <w:p w14:paraId="26000000">
      <w:pPr>
        <w:ind w:firstLine="567" w:left="0"/>
        <w:jc w:val="both"/>
        <w:rPr>
          <w:sz w:val="28"/>
        </w:rPr>
      </w:pPr>
      <w:r>
        <w:rPr>
          <w:sz w:val="28"/>
        </w:rPr>
        <w:t>6) в статье 9:</w:t>
      </w:r>
    </w:p>
    <w:p w14:paraId="27000000">
      <w:pPr>
        <w:numPr>
          <w:ilvl w:val="0"/>
          <w:numId w:val="4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пункт 3 части 1 изложить в следующей редакции: </w:t>
      </w:r>
    </w:p>
    <w:p w14:paraId="28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"3) ежемесячно, в соответствии с нормативным правовым актом Камчатского края, предоставлять в центр занятости населения по месту своего нахождения информацию о среднесписочной численности работников, наличии свободных рабочих мест и вакантных должностей, созданных и (или) выделенных рабочих местах для трудоустройства граждан, относящихся к категориям, определенным в пунктах 2 – 9 </w:t>
      </w:r>
      <w:r>
        <w:rPr>
          <w:sz w:val="28"/>
          <w:u w:color="000000"/>
        </w:rPr>
        <w:t>статьи 4</w:t>
      </w:r>
      <w:r>
        <w:rPr>
          <w:sz w:val="28"/>
        </w:rPr>
        <w:t xml:space="preserve"> настоящего Закона, выполнении установленной квоты, а также информацию о локальных нормативных актах, указанных в </w:t>
      </w:r>
      <w:r>
        <w:rPr>
          <w:sz w:val="28"/>
          <w:u w:color="000000"/>
        </w:rPr>
        <w:t>пункте 5</w:t>
      </w:r>
      <w:r>
        <w:rPr>
          <w:sz w:val="28"/>
        </w:rPr>
        <w:t xml:space="preserve"> настоящей статьи;";</w:t>
      </w:r>
    </w:p>
    <w:p w14:paraId="29000000">
      <w:pPr>
        <w:numPr>
          <w:ilvl w:val="0"/>
          <w:numId w:val="4"/>
        </w:numPr>
        <w:ind w:firstLine="567" w:left="0"/>
        <w:jc w:val="both"/>
        <w:rPr>
          <w:sz w:val="28"/>
        </w:rPr>
      </w:pPr>
      <w:r>
        <w:rPr>
          <w:sz w:val="28"/>
        </w:rPr>
        <w:t>часть 2 исключить;</w:t>
      </w:r>
    </w:p>
    <w:p w14:paraId="2A000000">
      <w:pPr>
        <w:numPr>
          <w:ilvl w:val="0"/>
          <w:numId w:val="4"/>
        </w:numPr>
        <w:ind w:firstLine="567" w:left="0"/>
        <w:jc w:val="both"/>
        <w:rPr>
          <w:sz w:val="28"/>
        </w:rPr>
      </w:pPr>
      <w:r>
        <w:rPr>
          <w:sz w:val="28"/>
        </w:rPr>
        <w:t>часть 3 изложить в следующей редакции:</w:t>
      </w:r>
    </w:p>
    <w:p w14:paraId="2B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"3. Невозможность установления или выполнения квоты для категорий граждан, определенных пунктами 2 – 9 статьи 4 настоящего Закона означает отсутствие необходимого числа граждан, относящихся к указанным категориям </w:t>
      </w:r>
      <w:r>
        <w:rPr>
          <w:sz w:val="28"/>
        </w:rPr>
        <w:t>из числа граждан ищущих работу и безработных граждан, зарегистрированных в центре занятости населения.";</w:t>
      </w:r>
    </w:p>
    <w:p w14:paraId="2C000000">
      <w:pPr>
        <w:numPr>
          <w:ilvl w:val="0"/>
          <w:numId w:val="4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дополнить частью 3.1 следующего содержания: </w:t>
      </w:r>
    </w:p>
    <w:p w14:paraId="2D000000">
      <w:pPr>
        <w:ind w:firstLine="567" w:left="0"/>
        <w:jc w:val="both"/>
        <w:rPr>
          <w:sz w:val="28"/>
        </w:rPr>
      </w:pPr>
      <w:r>
        <w:rPr>
          <w:sz w:val="28"/>
        </w:rPr>
        <w:t>"3.1 ежемесячно предоставлять информацию о выполнении квоты для приема на работу инвалидов посредством размещения на единой цифровой платформе в сфере занятости и трудовых отношений "Работа в России" или иных информационных ресурсах, на которых может размещаться такая информация в соответствии с порядком, утвержденным Правительством Российской Федерации;".</w:t>
      </w:r>
    </w:p>
    <w:p w14:paraId="2E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Статья 2</w:t>
      </w:r>
    </w:p>
    <w:p w14:paraId="2F000000">
      <w:pPr>
        <w:ind w:firstLine="567" w:left="0"/>
        <w:jc w:val="both"/>
        <w:rPr>
          <w:sz w:val="28"/>
        </w:rPr>
      </w:pPr>
      <w:r>
        <w:rPr>
          <w:sz w:val="28"/>
        </w:rPr>
        <w:t>Настоящий Закон вступает в силу по истечении 10 дней после дня его официального опубликования.</w:t>
      </w:r>
    </w:p>
    <w:p w14:paraId="30000000">
      <w:pPr>
        <w:ind w:firstLine="567" w:left="0"/>
        <w:jc w:val="both"/>
        <w:rPr>
          <w:sz w:val="28"/>
        </w:rPr>
      </w:pPr>
    </w:p>
    <w:p w14:paraId="31000000">
      <w:pPr>
        <w:ind w:firstLine="567" w:left="0"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  <w:r>
        <w:rPr>
          <w:sz w:val="28"/>
        </w:rPr>
        <w:t>Губернатор Камчатского края                                                               В.В. Солодов</w:t>
      </w:r>
    </w:p>
    <w:sectPr>
      <w:pgSz w:h="16848" w:orient="portrait" w:w="11908"/>
      <w:pgMar w:bottom="1134" w:footer="0" w:gutter="0" w:header="0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Обычный1"/>
    <w:link w:val="Style_7_ch"/>
    <w:rPr>
      <w:sz w:val="24"/>
    </w:rPr>
  </w:style>
  <w:style w:styleId="Style_7_ch" w:type="character">
    <w:name w:val="Обычный1"/>
    <w:link w:val="Style_7"/>
    <w:rPr>
      <w:sz w:val="24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8_ch" w:type="character">
    <w:name w:val="heading 3"/>
    <w:basedOn w:val="Style_2_ch"/>
    <w:link w:val="Style_8"/>
    <w:rPr>
      <w:rFonts w:ascii="Calibri Light" w:hAnsi="Calibri Light"/>
      <w:b w:val="1"/>
      <w:sz w:val="26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Знак Знак Знак Знак Знак Знак"/>
    <w:basedOn w:val="Style_2"/>
    <w:link w:val="Style_10_ch"/>
    <w:pPr>
      <w:spacing w:after="160" w:line="240" w:lineRule="exact"/>
      <w:ind/>
    </w:pPr>
    <w:rPr>
      <w:rFonts w:ascii="Verdana" w:hAnsi="Verdana"/>
      <w:sz w:val="20"/>
    </w:rPr>
  </w:style>
  <w:style w:styleId="Style_10_ch" w:type="character">
    <w:name w:val="Знак Знак Знак Знак Знак Знак"/>
    <w:basedOn w:val="Style_2_ch"/>
    <w:link w:val="Style_10"/>
    <w:rPr>
      <w:rFonts w:ascii="Verdana" w:hAnsi="Verdana"/>
      <w:sz w:val="20"/>
    </w:rPr>
  </w:style>
  <w:style w:styleId="Style_11" w:type="paragraph">
    <w:name w:val="Заголовок 3 Знак"/>
    <w:link w:val="Style_11_ch"/>
    <w:rPr>
      <w:rFonts w:ascii="Calibri Light" w:hAnsi="Calibri Light"/>
      <w:b w:val="1"/>
      <w:sz w:val="26"/>
    </w:rPr>
  </w:style>
  <w:style w:styleId="Style_11_ch" w:type="character">
    <w:name w:val="Заголовок 3 Знак"/>
    <w:link w:val="Style_11"/>
    <w:rPr>
      <w:rFonts w:ascii="Calibri Light" w:hAnsi="Calibri Light"/>
      <w:b w:val="1"/>
      <w:sz w:val="26"/>
    </w:rPr>
  </w:style>
  <w:style w:styleId="Style_12" w:type="paragraph">
    <w:name w:val="Body Text"/>
    <w:basedOn w:val="Style_2"/>
    <w:link w:val="Style_12_ch"/>
    <w:pPr>
      <w:spacing w:after="140" w:line="276" w:lineRule="auto"/>
      <w:ind/>
    </w:pPr>
  </w:style>
  <w:style w:styleId="Style_12_ch" w:type="character">
    <w:name w:val="Body Text"/>
    <w:basedOn w:val="Style_2_ch"/>
    <w:link w:val="Style_12"/>
  </w:style>
  <w:style w:styleId="Style_13" w:type="paragraph">
    <w:name w:val="Гиперссылка1"/>
    <w:link w:val="Style_13_ch"/>
    <w:rPr>
      <w:color w:val="0563C1"/>
      <w:u w:val="single"/>
    </w:rPr>
  </w:style>
  <w:style w:styleId="Style_13_ch" w:type="character">
    <w:name w:val="Гиперссылка1"/>
    <w:link w:val="Style_13"/>
    <w:rPr>
      <w:color w:val="0563C1"/>
      <w:u w:val="single"/>
    </w:rPr>
  </w:style>
  <w:style w:styleId="Style_14" w:type="paragraph">
    <w:name w:val="Обычный1"/>
    <w:link w:val="Style_14_ch"/>
    <w:rPr>
      <w:sz w:val="24"/>
    </w:rPr>
  </w:style>
  <w:style w:styleId="Style_14_ch" w:type="character">
    <w:name w:val="Обычный1"/>
    <w:link w:val="Style_14"/>
    <w:rPr>
      <w:sz w:val="24"/>
    </w:rPr>
  </w:style>
  <w:style w:styleId="Style_15" w:type="paragraph">
    <w:name w:val="index heading"/>
    <w:basedOn w:val="Style_2"/>
    <w:link w:val="Style_15_ch"/>
  </w:style>
  <w:style w:styleId="Style_15_ch" w:type="character">
    <w:name w:val="index heading"/>
    <w:basedOn w:val="Style_2_ch"/>
    <w:link w:val="Style_15"/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caption"/>
    <w:basedOn w:val="Style_2"/>
    <w:link w:val="Style_17_ch"/>
    <w:pPr>
      <w:spacing w:after="120" w:before="120"/>
      <w:ind/>
    </w:pPr>
    <w:rPr>
      <w:i w:val="1"/>
    </w:rPr>
  </w:style>
  <w:style w:styleId="Style_17_ch" w:type="character">
    <w:name w:val="caption"/>
    <w:basedOn w:val="Style_2_ch"/>
    <w:link w:val="Style_17"/>
    <w:rPr>
      <w:i w:val="1"/>
    </w:rPr>
  </w:style>
  <w:style w:styleId="Style_18" w:type="paragraph">
    <w:name w:val="toc 3"/>
    <w:next w:val="Style_2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HTML Preformatted"/>
    <w:basedOn w:val="Style_2"/>
    <w:link w:val="Style_2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  <w:jc w:val="both"/>
    </w:pPr>
    <w:rPr>
      <w:rFonts w:ascii="Courier New" w:hAnsi="Courier New"/>
      <w:sz w:val="20"/>
    </w:rPr>
  </w:style>
  <w:style w:styleId="Style_20_ch" w:type="character">
    <w:name w:val="HTML Preformatted"/>
    <w:basedOn w:val="Style_2_ch"/>
    <w:link w:val="Style_20"/>
    <w:rPr>
      <w:rFonts w:ascii="Courier New" w:hAnsi="Courier New"/>
      <w:sz w:val="20"/>
    </w:rPr>
  </w:style>
  <w:style w:styleId="Style_21" w:type="paragraph">
    <w:name w:val="Основной текст с отступом Знак"/>
    <w:link w:val="Style_21_ch"/>
    <w:rPr>
      <w:b w:val="1"/>
      <w:sz w:val="32"/>
    </w:rPr>
  </w:style>
  <w:style w:styleId="Style_21_ch" w:type="character">
    <w:name w:val="Основной текст с отступом Знак"/>
    <w:link w:val="Style_21"/>
    <w:rPr>
      <w:b w:val="1"/>
      <w:sz w:val="32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heading 5"/>
    <w:next w:val="Style_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Balloon Text"/>
    <w:basedOn w:val="Style_2"/>
    <w:link w:val="Style_25_ch"/>
    <w:rPr>
      <w:rFonts w:ascii="Tahoma" w:hAnsi="Tahoma"/>
      <w:sz w:val="16"/>
    </w:rPr>
  </w:style>
  <w:style w:styleId="Style_25_ch" w:type="character">
    <w:name w:val="Balloon Text"/>
    <w:basedOn w:val="Style_2_ch"/>
    <w:link w:val="Style_25"/>
    <w:rPr>
      <w:rFonts w:ascii="Tahoma" w:hAnsi="Tahoma"/>
      <w:sz w:val="16"/>
    </w:rPr>
  </w:style>
  <w:style w:styleId="Style_26" w:type="paragraph">
    <w:name w:val="heading 1"/>
    <w:basedOn w:val="Style_2"/>
    <w:next w:val="Style_2"/>
    <w:link w:val="Style_26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6_ch" w:type="character">
    <w:name w:val="heading 1"/>
    <w:basedOn w:val="Style_2_ch"/>
    <w:link w:val="Style_26"/>
    <w:rPr>
      <w:rFonts w:ascii="Arial" w:hAnsi="Arial"/>
      <w:b w:val="1"/>
      <w:sz w:val="32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List"/>
    <w:basedOn w:val="Style_12"/>
    <w:link w:val="Style_28_ch"/>
  </w:style>
  <w:style w:styleId="Style_28_ch" w:type="character">
    <w:name w:val="List"/>
    <w:basedOn w:val="Style_12_ch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2"/>
    <w:link w:val="Style_31_ch"/>
    <w:uiPriority w:val="39"/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Знак1 Знак Знак"/>
    <w:basedOn w:val="Style_2"/>
    <w:link w:val="Style_33_ch"/>
    <w:pPr>
      <w:spacing w:after="160" w:line="240" w:lineRule="exact"/>
      <w:ind/>
    </w:pPr>
    <w:rPr>
      <w:rFonts w:ascii="Verdana" w:hAnsi="Verdana"/>
    </w:rPr>
  </w:style>
  <w:style w:styleId="Style_33_ch" w:type="character">
    <w:name w:val="Знак1 Знак Знак"/>
    <w:basedOn w:val="Style_2_ch"/>
    <w:link w:val="Style_33"/>
    <w:rPr>
      <w:rFonts w:ascii="Verdana" w:hAnsi="Verdana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Обычный1"/>
    <w:link w:val="Style_35_ch"/>
    <w:rPr>
      <w:sz w:val="24"/>
    </w:rPr>
  </w:style>
  <w:style w:styleId="Style_35_ch" w:type="character">
    <w:name w:val="Обычный1"/>
    <w:link w:val="Style_35"/>
    <w:rPr>
      <w:sz w:val="24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toc 9"/>
    <w:next w:val="Style_2"/>
    <w:link w:val="Style_37_ch"/>
    <w:uiPriority w:val="39"/>
    <w:pPr>
      <w:ind w:firstLine="0" w:left="1600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Прижатый влево"/>
    <w:basedOn w:val="Style_2"/>
    <w:next w:val="Style_2"/>
    <w:link w:val="Style_38_ch"/>
    <w:rPr>
      <w:rFonts w:ascii="Arial" w:hAnsi="Arial"/>
      <w:sz w:val="20"/>
    </w:rPr>
  </w:style>
  <w:style w:styleId="Style_38_ch" w:type="character">
    <w:name w:val="Прижатый влево"/>
    <w:basedOn w:val="Style_2_ch"/>
    <w:link w:val="Style_38"/>
    <w:rPr>
      <w:rFonts w:ascii="Arial" w:hAnsi="Arial"/>
      <w:sz w:val="20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39" w:type="paragraph">
    <w:name w:val="toc 8"/>
    <w:next w:val="Style_2"/>
    <w:link w:val="Style_39_ch"/>
    <w:uiPriority w:val="39"/>
    <w:pPr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Font Style22"/>
    <w:link w:val="Style_40_ch"/>
    <w:rPr>
      <w:sz w:val="26"/>
    </w:rPr>
  </w:style>
  <w:style w:styleId="Style_40_ch" w:type="character">
    <w:name w:val="Font Style22"/>
    <w:link w:val="Style_40"/>
    <w:rPr>
      <w:sz w:val="26"/>
    </w:rPr>
  </w:style>
  <w:style w:styleId="Style_41" w:type="paragraph">
    <w:name w:val="ConsPlusTitlePage"/>
    <w:link w:val="Style_41_ch"/>
    <w:pPr>
      <w:widowControl w:val="0"/>
      <w:ind/>
    </w:pPr>
    <w:rPr>
      <w:rFonts w:ascii="Tahoma" w:hAnsi="Tahoma"/>
    </w:rPr>
  </w:style>
  <w:style w:styleId="Style_41_ch" w:type="character">
    <w:name w:val="ConsPlusTitlePage"/>
    <w:link w:val="Style_41"/>
    <w:rPr>
      <w:rFonts w:ascii="Tahoma" w:hAnsi="Tahoma"/>
    </w:rPr>
  </w:style>
  <w:style w:styleId="Style_42" w:type="paragraph">
    <w:name w:val="toc 5"/>
    <w:next w:val="Style_2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Заголовок1"/>
    <w:basedOn w:val="Style_7"/>
    <w:link w:val="Style_43_ch"/>
    <w:rPr>
      <w:rFonts w:ascii="Open Sans" w:hAnsi="Open Sans"/>
      <w:sz w:val="28"/>
    </w:rPr>
  </w:style>
  <w:style w:styleId="Style_43_ch" w:type="character">
    <w:name w:val="Заголовок1"/>
    <w:basedOn w:val="Style_7_ch"/>
    <w:link w:val="Style_43"/>
    <w:rPr>
      <w:rFonts w:ascii="Open Sans" w:hAnsi="Open Sans"/>
      <w:sz w:val="28"/>
    </w:rPr>
  </w:style>
  <w:style w:styleId="Style_44" w:type="paragraph">
    <w:name w:val="Обычный1"/>
    <w:link w:val="Style_44_ch"/>
    <w:rPr>
      <w:sz w:val="24"/>
    </w:rPr>
  </w:style>
  <w:style w:styleId="Style_44_ch" w:type="character">
    <w:name w:val="Обычный1"/>
    <w:link w:val="Style_44"/>
    <w:rPr>
      <w:sz w:val="24"/>
    </w:rPr>
  </w:style>
  <w:style w:styleId="Style_45" w:type="paragraph">
    <w:name w:val="Subtitle"/>
    <w:next w:val="Style_2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ConsPlusNormal"/>
    <w:link w:val="Style_46_ch"/>
    <w:pPr>
      <w:widowControl w:val="0"/>
      <w:ind w:firstLine="720" w:left="0"/>
    </w:pPr>
    <w:rPr>
      <w:rFonts w:ascii="Arial" w:hAnsi="Arial"/>
    </w:rPr>
  </w:style>
  <w:style w:styleId="Style_46_ch" w:type="character">
    <w:name w:val="ConsPlusNormal"/>
    <w:link w:val="Style_46"/>
    <w:rPr>
      <w:rFonts w:ascii="Arial" w:hAnsi="Arial"/>
    </w:rPr>
  </w:style>
  <w:style w:styleId="Style_47" w:type="paragraph">
    <w:name w:val="Title"/>
    <w:next w:val="Style_12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2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Номер страницы1"/>
    <w:basedOn w:val="Style_22"/>
    <w:link w:val="Style_49_ch"/>
  </w:style>
  <w:style w:styleId="Style_49_ch" w:type="character">
    <w:name w:val="Номер страницы1"/>
    <w:basedOn w:val="Style_22_ch"/>
    <w:link w:val="Style_49"/>
  </w:style>
  <w:style w:styleId="Style_50" w:type="paragraph">
    <w:name w:val="heading 2"/>
    <w:next w:val="Style_2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End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Endnote"/>
    <w:link w:val="Style_51"/>
    <w:rPr>
      <w:rFonts w:ascii="XO Thames" w:hAnsi="XO Thames"/>
      <w:sz w:val="22"/>
    </w:rPr>
  </w:style>
  <w:style w:styleId="Style_52" w:type="paragraph">
    <w:name w:val="Body Text Indent"/>
    <w:basedOn w:val="Style_2"/>
    <w:link w:val="Style_52_ch"/>
    <w:pPr>
      <w:ind/>
      <w:jc w:val="center"/>
    </w:pPr>
    <w:rPr>
      <w:b w:val="1"/>
      <w:sz w:val="32"/>
    </w:rPr>
  </w:style>
  <w:style w:styleId="Style_52_ch" w:type="character">
    <w:name w:val="Body Text Indent"/>
    <w:basedOn w:val="Style_2_ch"/>
    <w:link w:val="Style_52"/>
    <w:rPr>
      <w:b w:val="1"/>
      <w:sz w:val="32"/>
    </w:rPr>
  </w:style>
  <w:style w:default="1" w:styleId="Style_5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Table Grid"/>
    <w:basedOn w:val="Style_5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2025-01-24T01:20:55Z</dcterms:modified>
</cp:coreProperties>
</file>