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pStyle w:val="Style_1"/>
        <w:ind/>
        <w:jc w:val="both"/>
        <w:outlineLvl w:val="0"/>
      </w:pPr>
    </w:p>
    <w:p w14:paraId="0C000000">
      <w:pPr>
        <w:pStyle w:val="Style_2"/>
        <w:ind/>
        <w:jc w:val="center"/>
        <w:outlineLvl w:val="0"/>
      </w:pPr>
      <w:r>
        <w:rPr>
          <w:sz w:val="24"/>
        </w:rPr>
        <w:t>ПРАВИТЕЛЬСТВО КАМЧАТСКОГО КРАЯ</w:t>
      </w:r>
    </w:p>
    <w:p w14:paraId="0D000000">
      <w:pPr>
        <w:pStyle w:val="Style_2"/>
        <w:ind/>
        <w:jc w:val="center"/>
      </w:pPr>
    </w:p>
    <w:p w14:paraId="0E000000">
      <w:pPr>
        <w:pStyle w:val="Style_2"/>
        <w:ind/>
        <w:jc w:val="center"/>
      </w:pPr>
      <w:r>
        <w:rPr>
          <w:sz w:val="24"/>
        </w:rPr>
        <w:t>ПОСТАНОВЛЕНИЕ</w:t>
      </w:r>
    </w:p>
    <w:p w14:paraId="0F000000">
      <w:pPr>
        <w:pStyle w:val="Style_2"/>
        <w:ind/>
        <w:jc w:val="center"/>
      </w:pPr>
      <w:r>
        <w:rPr>
          <w:sz w:val="24"/>
        </w:rPr>
        <w:t>от 27 января 2025 г. N 25-П</w:t>
      </w:r>
    </w:p>
    <w:p w14:paraId="10000000">
      <w:pPr>
        <w:pStyle w:val="Style_2"/>
        <w:ind w:firstLine="540" w:left="0"/>
        <w:jc w:val="both"/>
      </w:pPr>
    </w:p>
    <w:p w14:paraId="11000000">
      <w:pPr>
        <w:pStyle w:val="Style_2"/>
        <w:ind/>
        <w:jc w:val="center"/>
      </w:pPr>
      <w:r>
        <w:rPr>
          <w:sz w:val="24"/>
        </w:rPr>
        <w:t>ОБ ОПРЕДЕЛЕНИИ МЕСТ НАХОЖДЕНИЯ ИСТОЧНИКОВ ПОВЫШЕННОЙ</w:t>
      </w:r>
    </w:p>
    <w:p w14:paraId="12000000">
      <w:pPr>
        <w:pStyle w:val="Style_2"/>
        <w:ind/>
        <w:jc w:val="center"/>
      </w:pPr>
      <w:r>
        <w:rPr>
          <w:sz w:val="24"/>
        </w:rPr>
        <w:t>ОПАСНОСТИ, В КОТОРЫХ НЕ ДОПУСКАЮТСЯ РОЗНИЧНАЯ ПРОДАЖА</w:t>
      </w:r>
    </w:p>
    <w:p w14:paraId="13000000">
      <w:pPr>
        <w:pStyle w:val="Style_2"/>
        <w:ind/>
        <w:jc w:val="center"/>
      </w:pPr>
      <w:r>
        <w:rPr>
          <w:sz w:val="24"/>
        </w:rPr>
        <w:t>АЛКОГОЛЬНОЙ ПРОДУКЦИИ И РОЗНИЧНАЯ ПРОДАЖА АЛКОГОЛЬНОЙ</w:t>
      </w:r>
    </w:p>
    <w:p w14:paraId="14000000">
      <w:pPr>
        <w:pStyle w:val="Style_2"/>
        <w:ind/>
        <w:jc w:val="center"/>
      </w:pPr>
      <w:r>
        <w:rPr>
          <w:sz w:val="24"/>
        </w:rPr>
        <w:t>ПРОДУКЦИИ ПРИ ОКАЗАНИИ УСЛУГ ОБЩЕСТВЕННОГО ПИТАНИЯ</w:t>
      </w:r>
    </w:p>
    <w:p w14:paraId="15000000">
      <w:pPr>
        <w:pStyle w:val="Style_1"/>
        <w:ind/>
        <w:jc w:val="both"/>
      </w:pPr>
    </w:p>
    <w:p w14:paraId="16000000">
      <w:pPr>
        <w:pStyle w:val="Style_1"/>
        <w:ind w:firstLine="540" w:left="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>Постановлением</w:t>
      </w:r>
      <w:r>
        <w:rPr>
          <w:sz w:val="24"/>
        </w:rPr>
        <w:t xml:space="preserve"> Правительства Российской Федерации от 23.12.2020 N 2219 "О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питания", </w:t>
      </w:r>
      <w:r>
        <w:rPr>
          <w:sz w:val="24"/>
        </w:rPr>
        <w:t>статьей 4</w:t>
      </w:r>
      <w:r>
        <w:rPr>
          <w:sz w:val="24"/>
        </w:rPr>
        <w:t xml:space="preserve"> Закона Камчатского края от 04.05.2011 N 598 "Об отдельных вопросах в области производства и оборота этилового спирта, алкогольной и спиртосодержащей продукции в Камчатском крае"</w:t>
      </w:r>
    </w:p>
    <w:p w14:paraId="17000000">
      <w:pPr>
        <w:pStyle w:val="Style_1"/>
        <w:ind/>
        <w:jc w:val="both"/>
      </w:pPr>
    </w:p>
    <w:p w14:paraId="18000000">
      <w:pPr>
        <w:pStyle w:val="Style_1"/>
        <w:ind w:firstLine="540" w:left="0"/>
        <w:jc w:val="both"/>
      </w:pPr>
      <w:r>
        <w:rPr>
          <w:sz w:val="24"/>
        </w:rPr>
        <w:t>ПРАВИТЕЛЬСТВО ПОСТАНОВЛЯЕТ:</w:t>
      </w:r>
    </w:p>
    <w:p w14:paraId="19000000">
      <w:pPr>
        <w:pStyle w:val="Style_1"/>
        <w:ind/>
        <w:jc w:val="both"/>
      </w:pPr>
    </w:p>
    <w:p w14:paraId="1A000000">
      <w:pPr>
        <w:pStyle w:val="Style_1"/>
        <w:ind w:firstLine="540" w:left="0"/>
        <w:jc w:val="both"/>
      </w:pPr>
      <w:r>
        <w:rPr>
          <w:sz w:val="24"/>
        </w:rPr>
        <w:t xml:space="preserve">1. Определить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"P35" \o "МЕСТА НАХОЖДЕНИЯ ИСТОЧНИКОВ"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места нахождения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 согласно приложению к настоящему Постановлению.</w:t>
      </w:r>
    </w:p>
    <w:p w14:paraId="1B000000">
      <w:pPr>
        <w:pStyle w:val="Style_1"/>
        <w:spacing w:before="240"/>
        <w:ind w:firstLine="540" w:left="0"/>
        <w:jc w:val="both"/>
      </w:pPr>
      <w:r>
        <w:rPr>
          <w:sz w:val="24"/>
        </w:rPr>
        <w:t>2. Признать утратившим силу:</w:t>
      </w:r>
    </w:p>
    <w:p w14:paraId="1C000000">
      <w:pPr>
        <w:pStyle w:val="Style_1"/>
        <w:spacing w:before="240"/>
        <w:ind w:firstLine="540" w:left="0"/>
        <w:jc w:val="both"/>
      </w:pPr>
      <w:r>
        <w:rPr>
          <w:sz w:val="24"/>
        </w:rPr>
        <w:t xml:space="preserve">1) </w:t>
      </w:r>
      <w:r>
        <w:rPr>
          <w:sz w:val="24"/>
        </w:rPr>
        <w:t>Постановление</w:t>
      </w:r>
      <w:r>
        <w:rPr>
          <w:sz w:val="24"/>
        </w:rPr>
        <w:t xml:space="preserve"> Правительства Камчатского края от 27.05.2013 N 212-П "Об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продукции";</w:t>
      </w:r>
    </w:p>
    <w:p w14:paraId="1D000000">
      <w:pPr>
        <w:pStyle w:val="Style_1"/>
        <w:spacing w:before="240"/>
        <w:ind w:firstLine="540" w:left="0"/>
        <w:jc w:val="both"/>
      </w:pPr>
      <w:r>
        <w:rPr>
          <w:sz w:val="24"/>
        </w:rPr>
        <w:t xml:space="preserve">2) </w:t>
      </w:r>
      <w:r>
        <w:rPr>
          <w:sz w:val="24"/>
        </w:rPr>
        <w:t>Постановление</w:t>
      </w:r>
      <w:r>
        <w:rPr>
          <w:sz w:val="24"/>
        </w:rPr>
        <w:t xml:space="preserve"> Правительства Камчатского края от 20.09.2013 N 413-П "О внесении изменения в приложение 1 к Постановлению Правительства Камчатского края от 27.05.2013 N 212-П "Об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продукции";</w:t>
      </w:r>
    </w:p>
    <w:p w14:paraId="1E000000">
      <w:pPr>
        <w:pStyle w:val="Style_1"/>
        <w:spacing w:before="240"/>
        <w:ind w:firstLine="540" w:left="0"/>
        <w:jc w:val="both"/>
      </w:pPr>
      <w:r>
        <w:rPr>
          <w:sz w:val="24"/>
        </w:rPr>
        <w:t xml:space="preserve">3) </w:t>
      </w:r>
      <w:r>
        <w:rPr>
          <w:sz w:val="24"/>
        </w:rPr>
        <w:t>Постановление</w:t>
      </w:r>
      <w:r>
        <w:rPr>
          <w:sz w:val="24"/>
        </w:rPr>
        <w:t xml:space="preserve"> Правительства Камчатского края от 24.03.2014 N 140-П "О внесении изменения в приложение 1 к Постановлению Правительства Камчатского края от 27.05.2013 N 212-П "Об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продукции".</w:t>
      </w:r>
    </w:p>
    <w:p w14:paraId="1F000000">
      <w:pPr>
        <w:pStyle w:val="Style_1"/>
        <w:spacing w:before="240"/>
        <w:ind w:firstLine="540" w:left="0"/>
        <w:jc w:val="both"/>
      </w:pPr>
      <w:r>
        <w:rPr>
          <w:sz w:val="24"/>
        </w:rPr>
        <w:t>3. Настоящее Постановление вступает в силу после дня его официального опубликования.</w:t>
      </w:r>
    </w:p>
    <w:p w14:paraId="20000000">
      <w:pPr>
        <w:pStyle w:val="Style_1"/>
        <w:ind/>
        <w:jc w:val="both"/>
      </w:pPr>
    </w:p>
    <w:p w14:paraId="21000000">
      <w:pPr>
        <w:pStyle w:val="Style_1"/>
        <w:ind/>
        <w:jc w:val="right"/>
      </w:pPr>
      <w:r>
        <w:rPr>
          <w:sz w:val="24"/>
        </w:rPr>
        <w:t>Председатель Правительства</w:t>
      </w:r>
    </w:p>
    <w:p w14:paraId="22000000">
      <w:pPr>
        <w:pStyle w:val="Style_1"/>
        <w:ind/>
        <w:jc w:val="right"/>
      </w:pPr>
      <w:r>
        <w:rPr>
          <w:sz w:val="24"/>
        </w:rPr>
        <w:t>Камчатского края</w:t>
      </w:r>
    </w:p>
    <w:p w14:paraId="23000000">
      <w:pPr>
        <w:pStyle w:val="Style_1"/>
        <w:ind/>
        <w:jc w:val="right"/>
      </w:pPr>
      <w:r>
        <w:rPr>
          <w:sz w:val="24"/>
        </w:rPr>
        <w:t>Е.А.ЧЕКИН</w:t>
      </w:r>
    </w:p>
    <w:p w14:paraId="24000000">
      <w:pPr>
        <w:pStyle w:val="Style_1"/>
        <w:ind/>
        <w:jc w:val="both"/>
      </w:pPr>
    </w:p>
    <w:p w14:paraId="25000000">
      <w:pPr>
        <w:pStyle w:val="Style_1"/>
        <w:ind/>
        <w:jc w:val="both"/>
      </w:pPr>
    </w:p>
    <w:p w14:paraId="26000000">
      <w:pPr>
        <w:pStyle w:val="Style_1"/>
        <w:ind/>
        <w:jc w:val="both"/>
      </w:pPr>
    </w:p>
    <w:p w14:paraId="27000000">
      <w:pPr>
        <w:pStyle w:val="Style_1"/>
        <w:ind/>
        <w:jc w:val="both"/>
      </w:pPr>
    </w:p>
    <w:p w14:paraId="28000000">
      <w:pPr>
        <w:pStyle w:val="Style_1"/>
        <w:ind/>
        <w:jc w:val="both"/>
      </w:pPr>
    </w:p>
    <w:p w14:paraId="29000000">
      <w:pPr>
        <w:pStyle w:val="Style_1"/>
        <w:ind/>
        <w:jc w:val="both"/>
      </w:pPr>
    </w:p>
    <w:p w14:paraId="2A000000">
      <w:pPr>
        <w:pStyle w:val="Style_1"/>
        <w:ind/>
        <w:jc w:val="both"/>
      </w:pPr>
    </w:p>
    <w:p w14:paraId="2B000000">
      <w:pPr>
        <w:pStyle w:val="Style_1"/>
        <w:ind/>
        <w:jc w:val="both"/>
      </w:pPr>
    </w:p>
    <w:p w14:paraId="2C000000">
      <w:pPr>
        <w:pStyle w:val="Style_1"/>
        <w:ind/>
        <w:jc w:val="both"/>
      </w:pPr>
    </w:p>
    <w:p w14:paraId="2D000000">
      <w:pPr>
        <w:pStyle w:val="Style_1"/>
        <w:ind/>
        <w:jc w:val="right"/>
        <w:outlineLvl w:val="0"/>
      </w:pPr>
      <w:r>
        <w:rPr>
          <w:sz w:val="24"/>
        </w:rPr>
        <w:t>Приложение</w:t>
      </w:r>
    </w:p>
    <w:p w14:paraId="2E000000">
      <w:pPr>
        <w:pStyle w:val="Style_1"/>
        <w:ind/>
        <w:jc w:val="right"/>
      </w:pPr>
      <w:r>
        <w:rPr>
          <w:sz w:val="24"/>
        </w:rPr>
        <w:t>к Постановлению Правительства</w:t>
      </w:r>
    </w:p>
    <w:p w14:paraId="2F000000">
      <w:pPr>
        <w:pStyle w:val="Style_1"/>
        <w:ind/>
        <w:jc w:val="right"/>
      </w:pPr>
      <w:r>
        <w:rPr>
          <w:sz w:val="24"/>
        </w:rPr>
        <w:t>Камчатского края</w:t>
      </w:r>
    </w:p>
    <w:p w14:paraId="30000000">
      <w:pPr>
        <w:pStyle w:val="Style_1"/>
        <w:ind/>
        <w:jc w:val="right"/>
      </w:pPr>
      <w:r>
        <w:rPr>
          <w:sz w:val="24"/>
        </w:rPr>
        <w:t>от 27.01.2025 N 25-П</w:t>
      </w:r>
    </w:p>
    <w:p w14:paraId="31000000">
      <w:pPr>
        <w:pStyle w:val="Style_1"/>
        <w:ind/>
        <w:jc w:val="both"/>
      </w:pPr>
    </w:p>
    <w:p w14:paraId="32000000">
      <w:pPr>
        <w:pStyle w:val="Style_2"/>
        <w:ind/>
        <w:jc w:val="center"/>
      </w:pPr>
      <w:bookmarkStart w:id="1" w:name="P35"/>
      <w:bookmarkEnd w:id="1"/>
      <w:r>
        <w:rPr>
          <w:sz w:val="24"/>
        </w:rPr>
        <w:t>МЕСТА НАХОЖДЕНИЯ ИСТОЧНИКОВ</w:t>
      </w:r>
    </w:p>
    <w:p w14:paraId="33000000">
      <w:pPr>
        <w:pStyle w:val="Style_2"/>
        <w:ind/>
        <w:jc w:val="center"/>
      </w:pPr>
      <w:r>
        <w:rPr>
          <w:sz w:val="24"/>
        </w:rPr>
        <w:t>ПОВЫШЕННОЙ ОПАСНОСТИ, В КОТОРЫХ НЕ ДОПУСКАЮТСЯ</w:t>
      </w:r>
    </w:p>
    <w:p w14:paraId="34000000">
      <w:pPr>
        <w:pStyle w:val="Style_2"/>
        <w:ind/>
        <w:jc w:val="center"/>
      </w:pPr>
      <w:r>
        <w:rPr>
          <w:sz w:val="24"/>
        </w:rPr>
        <w:t>РОЗНИЧНАЯ ПРОДАЖА АЛКОГОЛЬНОЙ ПРОДУКЦИИ И РОЗНИЧНАЯ ПРОДАЖА</w:t>
      </w:r>
    </w:p>
    <w:p w14:paraId="35000000">
      <w:pPr>
        <w:pStyle w:val="Style_2"/>
        <w:ind/>
        <w:jc w:val="center"/>
      </w:pPr>
      <w:r>
        <w:rPr>
          <w:sz w:val="24"/>
        </w:rPr>
        <w:t>АЛКОГОЛЬНОЙ ПРОДУКЦИИ ПРИ ОКАЗАНИИ УСЛУГ</w:t>
      </w:r>
    </w:p>
    <w:p w14:paraId="36000000">
      <w:pPr>
        <w:pStyle w:val="Style_2"/>
        <w:ind/>
        <w:jc w:val="center"/>
      </w:pPr>
      <w:r>
        <w:rPr>
          <w:sz w:val="24"/>
        </w:rPr>
        <w:t>ОБЩЕСТВЕННОГО ПИТАНИЯ</w:t>
      </w:r>
    </w:p>
    <w:p w14:paraId="37000000">
      <w:pPr>
        <w:pStyle w:val="Style_1"/>
        <w:ind/>
        <w:jc w:val="both"/>
      </w:pPr>
    </w:p>
    <w:tbl>
      <w:tblPr>
        <w:tblInd w:type="dxa" w:w="0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3061"/>
        <w:gridCol w:w="3005"/>
        <w:gridCol w:w="3288"/>
      </w:tblGrid>
      <w:tr>
        <w:tc>
          <w:tcPr>
            <w:tcW w:type="dxa" w:w="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00000">
            <w:pPr>
              <w:pStyle w:val="Style_1"/>
              <w:ind/>
              <w:jc w:val="center"/>
            </w:pPr>
            <w:r>
              <w:rPr>
                <w:sz w:val="24"/>
              </w:rPr>
              <w:t>N п/п</w:t>
            </w:r>
          </w:p>
        </w:tc>
        <w:tc>
          <w:tcPr>
            <w:tcW w:type="dxa" w:w="30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00000">
            <w:pPr>
              <w:pStyle w:val="Style_1"/>
              <w:ind/>
              <w:jc w:val="center"/>
            </w:pPr>
            <w:r>
              <w:rPr>
                <w:sz w:val="24"/>
              </w:rPr>
              <w:t>Наименование муниципального образования в Камчатском крае</w:t>
            </w:r>
          </w:p>
        </w:tc>
        <w:tc>
          <w:tcPr>
            <w:tcW w:type="dxa" w:w="30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00000">
            <w:pPr>
              <w:pStyle w:val="Style_1"/>
              <w:ind/>
              <w:jc w:val="center"/>
            </w:pPr>
            <w:r>
              <w:rPr>
                <w:sz w:val="24"/>
              </w:rPr>
              <w:t>Наименование места нахождения источника повышенной опасности</w:t>
            </w:r>
          </w:p>
        </w:tc>
        <w:tc>
          <w:tcPr>
            <w:tcW w:type="dxa" w:w="3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00000">
            <w:pPr>
              <w:pStyle w:val="Style_1"/>
              <w:ind/>
              <w:jc w:val="center"/>
            </w:pPr>
            <w:r>
              <w:rPr>
                <w:sz w:val="24"/>
              </w:rPr>
              <w:t>Адрес места нахождения источника повышенной опасности</w:t>
            </w:r>
          </w:p>
        </w:tc>
      </w:tr>
      <w:tr>
        <w:tc>
          <w:tcPr>
            <w:tcW w:type="dxa" w:w="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00000">
            <w:pPr>
              <w:pStyle w:val="Style_1"/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30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00000">
            <w:pPr>
              <w:pStyle w:val="Style_1"/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30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00000">
            <w:pPr>
              <w:pStyle w:val="Style_1"/>
              <w:ind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type="dxa" w:w="3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00000">
            <w:pPr>
              <w:pStyle w:val="Style_1"/>
              <w:ind/>
              <w:jc w:val="center"/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00000">
            <w:pPr>
              <w:pStyle w:val="Style_1"/>
              <w:ind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type="dxa" w:w="30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00000">
            <w:pPr>
              <w:pStyle w:val="Style_1"/>
            </w:pPr>
            <w:r>
              <w:rPr>
                <w:sz w:val="24"/>
              </w:rPr>
              <w:t>Быстринский муниципальный округ</w:t>
            </w:r>
          </w:p>
        </w:tc>
        <w:tc>
          <w:tcPr>
            <w:tcW w:type="dxa" w:w="30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00000">
            <w:pPr>
              <w:pStyle w:val="Style_1"/>
              <w:ind/>
              <w:jc w:val="both"/>
            </w:pPr>
            <w:r>
              <w:rPr>
                <w:sz w:val="24"/>
              </w:rPr>
              <w:t>Комплекс ГТС накопителя отходов обогащения ЗИФ Агинского ГОКа</w:t>
            </w:r>
          </w:p>
        </w:tc>
        <w:tc>
          <w:tcPr>
            <w:tcW w:type="dxa" w:w="3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00000">
            <w:pPr>
              <w:pStyle w:val="Style_1"/>
              <w:ind/>
              <w:jc w:val="both"/>
            </w:pPr>
            <w:r>
              <w:rPr>
                <w:sz w:val="24"/>
              </w:rPr>
              <w:t>Быстринский муниципальный округ</w:t>
            </w:r>
          </w:p>
        </w:tc>
      </w:tr>
      <w:tr>
        <w:tc>
          <w:tcPr>
            <w:tcW w:type="dxa" w:w="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00000">
            <w:pPr>
              <w:pStyle w:val="Style_1"/>
              <w:ind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type="dxa" w:w="30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00000">
            <w:pPr>
              <w:pStyle w:val="Style_1"/>
            </w:pPr>
            <w:r>
              <w:rPr>
                <w:sz w:val="24"/>
              </w:rPr>
              <w:t>Елизовский муниципальный район</w:t>
            </w:r>
          </w:p>
        </w:tc>
        <w:tc>
          <w:tcPr>
            <w:tcW w:type="dxa" w:w="30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00000">
            <w:pPr>
              <w:pStyle w:val="Style_1"/>
              <w:ind/>
              <w:jc w:val="both"/>
            </w:pPr>
            <w:r>
              <w:rPr>
                <w:sz w:val="24"/>
              </w:rPr>
              <w:t>Склад ВВ-120 тн</w:t>
            </w:r>
          </w:p>
          <w:p w14:paraId="47000000">
            <w:pPr>
              <w:pStyle w:val="Style_1"/>
              <w:ind/>
              <w:jc w:val="both"/>
            </w:pPr>
            <w:r>
              <w:rPr>
                <w:sz w:val="24"/>
              </w:rPr>
              <w:t>Хвостохранилище ЗИФ месторождение Асачинское (строящееся)</w:t>
            </w:r>
          </w:p>
        </w:tc>
        <w:tc>
          <w:tcPr>
            <w:tcW w:type="dxa" w:w="3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00000">
            <w:pPr>
              <w:pStyle w:val="Style_1"/>
              <w:ind/>
              <w:jc w:val="both"/>
            </w:pPr>
            <w:r>
              <w:rPr>
                <w:sz w:val="24"/>
              </w:rPr>
              <w:t>Елизовский муниципальный район, п. Зеленый</w:t>
            </w:r>
          </w:p>
          <w:p w14:paraId="49000000">
            <w:pPr>
              <w:pStyle w:val="Style_1"/>
              <w:ind/>
              <w:jc w:val="both"/>
            </w:pPr>
            <w:r>
              <w:rPr>
                <w:sz w:val="24"/>
              </w:rPr>
              <w:t>Елизовский муниципальный район, ЗИФ месторождение Асачинское</w:t>
            </w:r>
          </w:p>
        </w:tc>
      </w:tr>
      <w:tr>
        <w:tc>
          <w:tcPr>
            <w:tcW w:type="dxa" w:w="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00000">
            <w:pPr>
              <w:pStyle w:val="Style_1"/>
              <w:ind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type="dxa" w:w="30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00000">
            <w:pPr>
              <w:pStyle w:val="Style_1"/>
            </w:pPr>
            <w:r>
              <w:rPr>
                <w:sz w:val="24"/>
              </w:rPr>
              <w:t>Петропавловск-Камчатский городской округ</w:t>
            </w:r>
          </w:p>
        </w:tc>
        <w:tc>
          <w:tcPr>
            <w:tcW w:type="dxa" w:w="30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00000">
            <w:pPr>
              <w:pStyle w:val="Style_1"/>
              <w:ind/>
              <w:jc w:val="both"/>
            </w:pPr>
            <w:r>
              <w:rPr>
                <w:sz w:val="24"/>
              </w:rPr>
              <w:t>Внеплощадочный склад мазута, склад ГСМ-111600 тн</w:t>
            </w:r>
          </w:p>
        </w:tc>
        <w:tc>
          <w:tcPr>
            <w:tcW w:type="dxa" w:w="3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00000">
            <w:pPr>
              <w:pStyle w:val="Style_1"/>
              <w:ind/>
              <w:jc w:val="both"/>
            </w:pPr>
            <w:r>
              <w:rPr>
                <w:sz w:val="24"/>
              </w:rPr>
              <w:t>г. Петропавловск-Камчатский, восточный склон</w:t>
            </w:r>
          </w:p>
          <w:p w14:paraId="4E000000">
            <w:pPr>
              <w:pStyle w:val="Style_1"/>
              <w:ind/>
              <w:jc w:val="both"/>
            </w:pPr>
            <w:r>
              <w:rPr>
                <w:sz w:val="24"/>
              </w:rPr>
              <w:t>г. Раковой, вне жилой зоны</w:t>
            </w:r>
          </w:p>
        </w:tc>
      </w:tr>
      <w:tr>
        <w:tc>
          <w:tcPr>
            <w:tcW w:type="dxa" w:w="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00000">
            <w:pPr>
              <w:pStyle w:val="Style_1"/>
              <w:ind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type="dxa" w:w="30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00000">
            <w:pPr>
              <w:pStyle w:val="Style_1"/>
            </w:pPr>
            <w:r>
              <w:rPr>
                <w:sz w:val="24"/>
              </w:rPr>
              <w:t>Усть-Большерецкий муниципальный округ</w:t>
            </w:r>
          </w:p>
        </w:tc>
        <w:tc>
          <w:tcPr>
            <w:tcW w:type="dxa" w:w="30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00000">
            <w:pPr>
              <w:pStyle w:val="Style_1"/>
              <w:ind/>
              <w:jc w:val="both"/>
            </w:pPr>
            <w:r>
              <w:rPr>
                <w:sz w:val="24"/>
              </w:rPr>
              <w:t>Толмачевская ГЭС-1 Каскада ГЭС на р. Толмачева</w:t>
            </w:r>
          </w:p>
          <w:p w14:paraId="52000000">
            <w:pPr>
              <w:pStyle w:val="Style_1"/>
              <w:ind/>
              <w:jc w:val="both"/>
            </w:pPr>
            <w:r>
              <w:rPr>
                <w:sz w:val="24"/>
              </w:rPr>
              <w:t>Толмачевская ГЭС-2 Каскада ГЭС на р. Толмачева</w:t>
            </w:r>
          </w:p>
          <w:p w14:paraId="53000000">
            <w:pPr>
              <w:pStyle w:val="Style_1"/>
              <w:ind/>
              <w:jc w:val="both"/>
            </w:pPr>
            <w:r>
              <w:rPr>
                <w:sz w:val="24"/>
              </w:rPr>
              <w:t>Толмачевская ГЭС-3 Каскада ГЭС на р. Толмачева</w:t>
            </w:r>
          </w:p>
        </w:tc>
        <w:tc>
          <w:tcPr>
            <w:tcW w:type="dxa" w:w="3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00000">
            <w:pPr>
              <w:pStyle w:val="Style_1"/>
              <w:ind/>
              <w:jc w:val="both"/>
            </w:pPr>
            <w:r>
              <w:rPr>
                <w:sz w:val="24"/>
              </w:rPr>
              <w:t>Усть-Большерецкий муниципальный округ, р. Толмачева</w:t>
            </w:r>
          </w:p>
          <w:p w14:paraId="55000000">
            <w:pPr>
              <w:pStyle w:val="Style_1"/>
              <w:ind/>
              <w:jc w:val="both"/>
            </w:pPr>
            <w:r>
              <w:rPr>
                <w:sz w:val="24"/>
              </w:rPr>
              <w:t>Усть-Большерецкий муниципальный округ, р. Толмачева</w:t>
            </w:r>
          </w:p>
          <w:p w14:paraId="56000000">
            <w:pPr>
              <w:pStyle w:val="Style_1"/>
              <w:ind/>
              <w:jc w:val="both"/>
            </w:pPr>
            <w:r>
              <w:rPr>
                <w:sz w:val="24"/>
              </w:rPr>
              <w:t>Усть-Большерецкий муниципальный округ, р. Толмачева</w:t>
            </w:r>
          </w:p>
        </w:tc>
      </w:tr>
    </w:tbl>
    <w:p w14:paraId="57000000">
      <w:pPr>
        <w:pStyle w:val="Style_1"/>
        <w:ind/>
        <w:jc w:val="both"/>
      </w:pPr>
    </w:p>
    <w:p w14:paraId="58000000">
      <w:pPr>
        <w:pStyle w:val="Style_1"/>
        <w:ind/>
        <w:jc w:val="both"/>
      </w:pPr>
    </w:p>
    <w:p w14:paraId="59000000">
      <w:pPr>
        <w:pStyle w:val="Style_1"/>
        <w:spacing w:after="100" w:before="100"/>
        <w:ind/>
        <w:jc w:val="both"/>
        <w:rPr>
          <w:sz w:val="2"/>
        </w:rPr>
      </w:pPr>
    </w:p>
    <w:sectPr>
      <w:pgSz w:h="16838" w:orient="portrait" w:w="11906"/>
      <w:pgMar w:bottom="841" w:footer="0" w:gutter="0" w:header="0" w:left="595" w:right="595" w:top="84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3402"/>
      <w:gridCol w:w="3402"/>
      <w:gridCol w:w="3402"/>
    </w:tblGrid>
    <w:tr>
      <w:trPr>
        <w:trHeight w:hRule="exact" w:val="1663"/>
      </w:trPr>
      <w:tc>
        <w:tcPr>
          <w:tcW w:type="dxa" w:w="3402"/>
          <w:tcMar>
            <w:left w:type="dxa" w:w="40"/>
            <w:right w:type="dxa" w:w="40"/>
          </w:tcMar>
          <w:vAlign w:val="center"/>
        </w:tcPr>
        <w:p/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/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/>
      </w:tc>
    </w:tr>
  </w:tbl>
  <w:p w14:paraId="04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rPr>
        <w:sz w:val="2"/>
      </w:rPr>
    </w:pPr>
  </w:p>
  <w:p w14:paraId="0A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rPr>
        <w:sz w:val="2"/>
      </w:rPr>
    </w:pPr>
  </w:p>
  <w:p w14:paraId="02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5104"/>
      <w:gridCol w:w="5104"/>
    </w:tblGrid>
    <w:tr>
      <w:trPr>
        <w:trHeight w:hRule="exact" w:val="1683"/>
      </w:trPr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5000000">
          <w:pPr>
            <w:rPr>
              <w:rFonts w:ascii="Tahoma" w:hAnsi="Tahoma"/>
            </w:rPr>
          </w:pPr>
        </w:p>
      </w:tc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6000000">
          <w:pPr>
            <w:rPr>
              <w:rFonts w:ascii="Tahoma" w:hAnsi="Tahoma"/>
            </w:rPr>
          </w:pPr>
        </w:p>
      </w:tc>
    </w:tr>
  </w:tbl>
  <w:p w14:paraId="07000000">
    <w:pPr>
      <w:rPr>
        <w:sz w:val="2"/>
      </w:rPr>
    </w:pPr>
  </w:p>
  <w:p w14:paraId="08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ConsPlusNormal"/>
    <w:link w:val="Style_1"/>
    <w:rPr>
      <w:rFonts w:ascii="Times New Roman" w:hAnsi="Times New Roman"/>
      <w:sz w:val="24"/>
    </w:rPr>
  </w:style>
  <w:style w:styleId="Style_3" w:type="paragraph">
    <w:name w:val="toc 2"/>
    <w:next w:val="Style_4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5" w:type="paragraph">
    <w:name w:val="toc 4"/>
    <w:next w:val="Style_4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4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4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4" w:type="paragraph">
    <w:name w:val="Normal"/>
    <w:link w:val="Style_4_ch"/>
    <w:uiPriority w:val="0"/>
    <w:qFormat/>
  </w:style>
  <w:style w:styleId="Style_4_ch" w:type="character">
    <w:name w:val="Normal"/>
    <w:link w:val="Style_4"/>
  </w:style>
  <w:style w:styleId="Style_8" w:type="paragraph">
    <w:name w:val="heading 3"/>
    <w:next w:val="Style_4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TextList"/>
    <w:link w:val="Style_9_ch"/>
    <w:pPr>
      <w:widowControl w:val="0"/>
      <w:ind/>
    </w:pPr>
    <w:rPr>
      <w:rFonts w:ascii="Times New Roman" w:hAnsi="Times New Roman"/>
      <w:sz w:val="24"/>
    </w:rPr>
  </w:style>
  <w:style w:styleId="Style_9_ch" w:type="character">
    <w:name w:val="ConsPlusTextList"/>
    <w:link w:val="Style_9"/>
    <w:rPr>
      <w:rFonts w:ascii="Times New Roman" w:hAnsi="Times New Roman"/>
      <w:sz w:val="24"/>
    </w:rPr>
  </w:style>
  <w:style w:styleId="Style_10" w:type="paragraph">
    <w:name w:val="ConsPlusNonformat"/>
    <w:link w:val="Style_10_ch"/>
    <w:pPr>
      <w:widowControl w:val="0"/>
      <w:ind/>
    </w:pPr>
    <w:rPr>
      <w:rFonts w:ascii="Courier New" w:hAnsi="Courier New"/>
      <w:sz w:val="20"/>
    </w:rPr>
  </w:style>
  <w:style w:styleId="Style_10_ch" w:type="character">
    <w:name w:val="ConsPlusNonformat"/>
    <w:link w:val="Style_10"/>
    <w:rPr>
      <w:rFonts w:ascii="Courier New" w:hAnsi="Courier New"/>
      <w:sz w:val="20"/>
    </w:rPr>
  </w:style>
  <w:style w:styleId="Style_11" w:type="paragraph">
    <w:name w:val="ConsPlusTextList"/>
    <w:link w:val="Style_11_ch"/>
    <w:pPr>
      <w:widowControl w:val="0"/>
      <w:ind/>
    </w:pPr>
    <w:rPr>
      <w:rFonts w:ascii="Times New Roman" w:hAnsi="Times New Roman"/>
      <w:sz w:val="24"/>
    </w:rPr>
  </w:style>
  <w:style w:styleId="Style_11_ch" w:type="character">
    <w:name w:val="ConsPlusTextList"/>
    <w:link w:val="Style_11"/>
    <w:rPr>
      <w:rFonts w:ascii="Times New Roman" w:hAnsi="Times New Roman"/>
      <w:sz w:val="24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13" w:type="paragraph">
    <w:name w:val="ConsPlusTextList"/>
    <w:link w:val="Style_13_ch"/>
    <w:pPr>
      <w:widowControl w:val="0"/>
      <w:ind/>
    </w:pPr>
    <w:rPr>
      <w:rFonts w:ascii="Times New Roman" w:hAnsi="Times New Roman"/>
      <w:sz w:val="24"/>
    </w:rPr>
  </w:style>
  <w:style w:styleId="Style_13_ch" w:type="character">
    <w:name w:val="ConsPlusTextList"/>
    <w:link w:val="Style_13"/>
    <w:rPr>
      <w:rFonts w:ascii="Times New Roman" w:hAnsi="Times New Roman"/>
      <w:sz w:val="24"/>
    </w:rPr>
  </w:style>
  <w:style w:styleId="Style_14" w:type="paragraph">
    <w:name w:val="ConsPlusTitlePage"/>
    <w:link w:val="Style_14_ch"/>
    <w:pPr>
      <w:widowControl w:val="0"/>
      <w:ind/>
    </w:pPr>
    <w:rPr>
      <w:rFonts w:ascii="Tahoma" w:hAnsi="Tahoma"/>
      <w:sz w:val="20"/>
    </w:rPr>
  </w:style>
  <w:style w:styleId="Style_14_ch" w:type="character">
    <w:name w:val="ConsPlusTitlePage"/>
    <w:link w:val="Style_14"/>
    <w:rPr>
      <w:rFonts w:ascii="Tahoma" w:hAnsi="Tahoma"/>
      <w:sz w:val="20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ConsPlusCell"/>
    <w:link w:val="Style_16_ch"/>
    <w:pPr>
      <w:widowControl w:val="0"/>
      <w:ind/>
    </w:pPr>
    <w:rPr>
      <w:rFonts w:ascii="Courier New" w:hAnsi="Courier New"/>
      <w:sz w:val="20"/>
    </w:rPr>
  </w:style>
  <w:style w:styleId="Style_16_ch" w:type="character">
    <w:name w:val="ConsPlusCell"/>
    <w:link w:val="Style_16"/>
    <w:rPr>
      <w:rFonts w:ascii="Courier New" w:hAnsi="Courier New"/>
      <w:sz w:val="20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ConsPlusDocList"/>
    <w:link w:val="Style_23_ch"/>
    <w:pPr>
      <w:widowControl w:val="0"/>
      <w:ind/>
    </w:pPr>
    <w:rPr>
      <w:rFonts w:ascii="Tahoma" w:hAnsi="Tahoma"/>
      <w:sz w:val="18"/>
    </w:rPr>
  </w:style>
  <w:style w:styleId="Style_23_ch" w:type="character">
    <w:name w:val="ConsPlusDocList"/>
    <w:link w:val="Style_23"/>
    <w:rPr>
      <w:rFonts w:ascii="Tahoma" w:hAnsi="Tahoma"/>
      <w:sz w:val="1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TitlePage"/>
    <w:link w:val="Style_25_ch"/>
    <w:pPr>
      <w:widowControl w:val="0"/>
      <w:ind/>
    </w:pPr>
    <w:rPr>
      <w:rFonts w:ascii="Tahoma" w:hAnsi="Tahoma"/>
      <w:sz w:val="20"/>
    </w:rPr>
  </w:style>
  <w:style w:styleId="Style_25_ch" w:type="character">
    <w:name w:val="ConsPlusTitlePage"/>
    <w:link w:val="Style_25"/>
    <w:rPr>
      <w:rFonts w:ascii="Tahoma" w:hAnsi="Tahoma"/>
      <w:sz w:val="20"/>
    </w:rPr>
  </w:style>
  <w:style w:styleId="Style_26" w:type="paragraph">
    <w:name w:val="ConsPlusJurTerm"/>
    <w:link w:val="Style_26_ch"/>
    <w:pPr>
      <w:widowControl w:val="0"/>
      <w:ind/>
    </w:pPr>
    <w:rPr>
      <w:rFonts w:ascii="Tahoma" w:hAnsi="Tahoma"/>
      <w:sz w:val="26"/>
    </w:rPr>
  </w:style>
  <w:style w:styleId="Style_26_ch" w:type="character">
    <w:name w:val="ConsPlusJurTerm"/>
    <w:link w:val="Style_26"/>
    <w:rPr>
      <w:rFonts w:ascii="Tahoma" w:hAnsi="Tahoma"/>
      <w:sz w:val="26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ConsPlusJurTerm"/>
    <w:link w:val="Style_28_ch"/>
    <w:pPr>
      <w:widowControl w:val="0"/>
      <w:ind/>
    </w:pPr>
    <w:rPr>
      <w:rFonts w:ascii="Tahoma" w:hAnsi="Tahoma"/>
      <w:sz w:val="26"/>
    </w:rPr>
  </w:style>
  <w:style w:styleId="Style_28_ch" w:type="character">
    <w:name w:val="ConsPlusJurTerm"/>
    <w:link w:val="Style_28"/>
    <w:rPr>
      <w:rFonts w:ascii="Tahoma" w:hAnsi="Tahoma"/>
      <w:sz w:val="26"/>
    </w:rPr>
  </w:style>
  <w:style w:styleId="Style_29" w:type="paragraph">
    <w:name w:val="ConsPlusNonformat"/>
    <w:link w:val="Style_29_ch"/>
    <w:pPr>
      <w:widowControl w:val="0"/>
      <w:ind/>
    </w:pPr>
    <w:rPr>
      <w:rFonts w:ascii="Courier New" w:hAnsi="Courier New"/>
      <w:sz w:val="20"/>
    </w:rPr>
  </w:style>
  <w:style w:styleId="Style_29_ch" w:type="character">
    <w:name w:val="ConsPlusNonformat"/>
    <w:link w:val="Style_29"/>
    <w:rPr>
      <w:rFonts w:ascii="Courier New" w:hAnsi="Courier New"/>
      <w:sz w:val="20"/>
    </w:rPr>
  </w:style>
  <w:style w:styleId="Style_30" w:type="paragraph">
    <w:name w:val="ConsPlusCell"/>
    <w:link w:val="Style_30_ch"/>
    <w:pPr>
      <w:widowControl w:val="0"/>
      <w:ind/>
    </w:pPr>
    <w:rPr>
      <w:rFonts w:ascii="Courier New" w:hAnsi="Courier New"/>
      <w:sz w:val="20"/>
    </w:rPr>
  </w:style>
  <w:style w:styleId="Style_30_ch" w:type="character">
    <w:name w:val="ConsPlusCell"/>
    <w:link w:val="Style_30"/>
    <w:rPr>
      <w:rFonts w:ascii="Courier New" w:hAnsi="Courier New"/>
      <w:sz w:val="20"/>
    </w:rPr>
  </w:style>
  <w:style w:styleId="Style_31" w:type="paragraph">
    <w:name w:val="Subtitle"/>
    <w:next w:val="Style_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ConsPlusTitle"/>
    <w:link w:val="Style_32_ch"/>
    <w:pPr>
      <w:widowControl w:val="0"/>
      <w:ind/>
    </w:pPr>
    <w:rPr>
      <w:rFonts w:ascii="Arial" w:hAnsi="Arial"/>
      <w:b w:val="1"/>
      <w:sz w:val="24"/>
    </w:rPr>
  </w:style>
  <w:style w:styleId="Style_32_ch" w:type="character">
    <w:name w:val="ConsPlusTitle"/>
    <w:link w:val="Style_32"/>
    <w:rPr>
      <w:rFonts w:ascii="Arial" w:hAnsi="Arial"/>
      <w:b w:val="1"/>
      <w:sz w:val="24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ConsPlusTextList"/>
    <w:link w:val="Style_35_ch"/>
    <w:pPr>
      <w:widowControl w:val="0"/>
      <w:ind/>
    </w:pPr>
    <w:rPr>
      <w:rFonts w:ascii="Times New Roman" w:hAnsi="Times New Roman"/>
      <w:sz w:val="24"/>
    </w:rPr>
  </w:style>
  <w:style w:styleId="Style_35_ch" w:type="character">
    <w:name w:val="ConsPlusTextList"/>
    <w:link w:val="Style_35"/>
    <w:rPr>
      <w:rFonts w:ascii="Times New Roman" w:hAnsi="Times New Roman"/>
      <w:sz w:val="24"/>
    </w:rPr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ConsPlusDocList"/>
    <w:link w:val="Style_37_ch"/>
    <w:pPr>
      <w:widowControl w:val="0"/>
      <w:ind/>
    </w:pPr>
    <w:rPr>
      <w:rFonts w:ascii="Tahoma" w:hAnsi="Tahoma"/>
      <w:sz w:val="18"/>
    </w:rPr>
  </w:style>
  <w:style w:styleId="Style_37_ch" w:type="character">
    <w:name w:val="ConsPlusDocList"/>
    <w:link w:val="Style_37"/>
    <w:rPr>
      <w:rFonts w:ascii="Tahoma" w:hAnsi="Tahoma"/>
      <w:sz w:val="1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2025-04-15T23:25:54Z</dcterms:modified>
</cp:coreProperties>
</file>